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50723" w14:textId="73546A91" w:rsidR="00E64564" w:rsidRDefault="00620872" w:rsidP="00620872">
      <w:pPr>
        <w:pStyle w:val="Pagedecouverture"/>
        <w:rPr>
          <w:noProof/>
          <w:lang w:val="en-IE"/>
        </w:rPr>
      </w:pPr>
      <w:bookmarkStart w:id="0" w:name="LW_BM_COVERPAGE"/>
      <w:r>
        <w:rPr>
          <w:noProof/>
          <w:lang w:val="en-IE"/>
        </w:rPr>
        <w:pict w14:anchorId="159E0F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36FADBF8-EBA2-42A9-852E-356E7F273330" style="width:455.25pt;height:627.75pt">
            <v:imagedata r:id="rId11" o:title=""/>
          </v:shape>
        </w:pict>
      </w:r>
    </w:p>
    <w:bookmarkEnd w:id="0"/>
    <w:p w14:paraId="63260D17" w14:textId="15A0384D" w:rsidR="006B087E" w:rsidRPr="00264192" w:rsidRDefault="006B087E" w:rsidP="00E64564">
      <w:pPr>
        <w:pStyle w:val="Pagedecouverture"/>
        <w:rPr>
          <w:noProof/>
          <w:lang w:val="en-IE"/>
        </w:rPr>
        <w:sectPr w:rsidR="006B087E" w:rsidRPr="00264192" w:rsidSect="00620872">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26"/>
        </w:sectPr>
      </w:pPr>
    </w:p>
    <w:sdt>
      <w:sdtPr>
        <w:rPr>
          <w:rFonts w:eastAsiaTheme="minorEastAsia"/>
          <w:b/>
          <w:noProof/>
          <w:lang w:val="en-IE"/>
        </w:rPr>
        <w:id w:val="993150067"/>
        <w:docPartObj>
          <w:docPartGallery w:val="Table of Contents"/>
          <w:docPartUnique/>
        </w:docPartObj>
      </w:sdtPr>
      <w:sdtEndPr>
        <w:rPr>
          <w:b w:val="0"/>
        </w:rPr>
      </w:sdtEndPr>
      <w:sdtContent>
        <w:p w14:paraId="23B763AB" w14:textId="66D1E70B" w:rsidR="00947EDC" w:rsidRPr="00C87B29" w:rsidRDefault="00947EDC" w:rsidP="00E64564">
          <w:pPr>
            <w:pStyle w:val="Pagedecouverture"/>
            <w:rPr>
              <w:noProof/>
              <w:lang w:val="en-IE"/>
            </w:rPr>
          </w:pPr>
          <w:r w:rsidRPr="00C87B29">
            <w:rPr>
              <w:noProof/>
              <w:lang w:val="en-IE"/>
            </w:rPr>
            <w:t>Table of Contents</w:t>
          </w:r>
        </w:p>
        <w:p w14:paraId="3453D01B" w14:textId="7B0EE092" w:rsidR="00B4643E" w:rsidRDefault="00605B96">
          <w:pPr>
            <w:pStyle w:val="TOC1"/>
            <w:rPr>
              <w:rFonts w:asciiTheme="minorHAnsi" w:eastAsiaTheme="minorEastAsia" w:hAnsiTheme="minorHAnsi" w:cstheme="minorBidi"/>
              <w:caps w:val="0"/>
              <w:noProof/>
              <w:kern w:val="2"/>
              <w:sz w:val="24"/>
              <w:szCs w:val="24"/>
              <w:lang w:val="en-US"/>
              <w14:ligatures w14:val="standardContextual"/>
            </w:rPr>
          </w:pPr>
          <w:r>
            <w:rPr>
              <w:b/>
              <w:bCs/>
              <w:noProof/>
              <w:lang w:val="en-IE"/>
            </w:rPr>
            <w:fldChar w:fldCharType="begin"/>
          </w:r>
          <w:r>
            <w:rPr>
              <w:b/>
              <w:bCs/>
              <w:noProof/>
              <w:lang w:val="en-IE"/>
            </w:rPr>
            <w:instrText xml:space="preserve"> TOC \o "1-2" \h \z \u </w:instrText>
          </w:r>
          <w:r>
            <w:rPr>
              <w:b/>
              <w:bCs/>
              <w:noProof/>
              <w:lang w:val="en-IE"/>
            </w:rPr>
            <w:fldChar w:fldCharType="separate"/>
          </w:r>
          <w:hyperlink w:anchor="_Toc203043632" w:history="1">
            <w:r w:rsidR="00B4643E" w:rsidRPr="00117FCE">
              <w:rPr>
                <w:rStyle w:val="Hyperlink"/>
                <w:noProof/>
                <w:lang w:val="en-IE"/>
              </w:rPr>
              <w:t>1. Introduction: Political and legal context</w:t>
            </w:r>
            <w:r w:rsidR="00B4643E">
              <w:rPr>
                <w:noProof/>
                <w:webHidden/>
              </w:rPr>
              <w:tab/>
            </w:r>
            <w:r w:rsidR="00B4643E">
              <w:rPr>
                <w:noProof/>
                <w:webHidden/>
              </w:rPr>
              <w:fldChar w:fldCharType="begin"/>
            </w:r>
            <w:r w:rsidR="00B4643E">
              <w:rPr>
                <w:noProof/>
                <w:webHidden/>
              </w:rPr>
              <w:instrText xml:space="preserve"> PAGEREF _Toc203043632 \h </w:instrText>
            </w:r>
            <w:r w:rsidR="00B4643E">
              <w:rPr>
                <w:noProof/>
                <w:webHidden/>
              </w:rPr>
            </w:r>
            <w:r w:rsidR="00B4643E">
              <w:rPr>
                <w:noProof/>
                <w:webHidden/>
              </w:rPr>
              <w:fldChar w:fldCharType="separate"/>
            </w:r>
            <w:r w:rsidR="007722AE">
              <w:rPr>
                <w:noProof/>
                <w:webHidden/>
              </w:rPr>
              <w:t>7</w:t>
            </w:r>
            <w:r w:rsidR="00B4643E">
              <w:rPr>
                <w:noProof/>
                <w:webHidden/>
              </w:rPr>
              <w:fldChar w:fldCharType="end"/>
            </w:r>
          </w:hyperlink>
        </w:p>
        <w:p w14:paraId="0E637E7E" w14:textId="3C1B16A3" w:rsidR="00B4643E" w:rsidRDefault="00620872">
          <w:pPr>
            <w:pStyle w:val="TOC1"/>
            <w:rPr>
              <w:rFonts w:asciiTheme="minorHAnsi" w:eastAsiaTheme="minorEastAsia" w:hAnsiTheme="minorHAnsi" w:cstheme="minorBidi"/>
              <w:caps w:val="0"/>
              <w:noProof/>
              <w:kern w:val="2"/>
              <w:sz w:val="24"/>
              <w:szCs w:val="24"/>
              <w:lang w:val="en-US"/>
              <w14:ligatures w14:val="standardContextual"/>
            </w:rPr>
          </w:pPr>
          <w:hyperlink w:anchor="_Toc203043633" w:history="1">
            <w:r w:rsidR="00B4643E" w:rsidRPr="00117FCE">
              <w:rPr>
                <w:rStyle w:val="Hyperlink"/>
                <w:noProof/>
                <w:lang w:val="en-IE"/>
              </w:rPr>
              <w:t>2.</w:t>
            </w:r>
            <w:r w:rsidR="00B4643E">
              <w:rPr>
                <w:rFonts w:asciiTheme="minorHAnsi" w:eastAsiaTheme="minorEastAsia" w:hAnsiTheme="minorHAnsi" w:cstheme="minorBidi"/>
                <w:caps w:val="0"/>
                <w:noProof/>
                <w:kern w:val="2"/>
                <w:sz w:val="24"/>
                <w:szCs w:val="24"/>
                <w:lang w:val="en-US"/>
                <w14:ligatures w14:val="standardContextual"/>
              </w:rPr>
              <w:tab/>
            </w:r>
            <w:r w:rsidR="00B4643E" w:rsidRPr="00117FCE">
              <w:rPr>
                <w:rStyle w:val="Hyperlink"/>
                <w:noProof/>
                <w:lang w:val="en-IE"/>
              </w:rPr>
              <w:t>Problem definition</w:t>
            </w:r>
            <w:r w:rsidR="00B4643E">
              <w:rPr>
                <w:noProof/>
                <w:webHidden/>
              </w:rPr>
              <w:tab/>
            </w:r>
            <w:r w:rsidR="00B4643E">
              <w:rPr>
                <w:noProof/>
                <w:webHidden/>
              </w:rPr>
              <w:fldChar w:fldCharType="begin"/>
            </w:r>
            <w:r w:rsidR="00B4643E">
              <w:rPr>
                <w:noProof/>
                <w:webHidden/>
              </w:rPr>
              <w:instrText xml:space="preserve"> PAGEREF _Toc203043633 \h </w:instrText>
            </w:r>
            <w:r w:rsidR="00B4643E">
              <w:rPr>
                <w:noProof/>
                <w:webHidden/>
              </w:rPr>
            </w:r>
            <w:r w:rsidR="00B4643E">
              <w:rPr>
                <w:noProof/>
                <w:webHidden/>
              </w:rPr>
              <w:fldChar w:fldCharType="separate"/>
            </w:r>
            <w:r w:rsidR="007722AE">
              <w:rPr>
                <w:noProof/>
                <w:webHidden/>
              </w:rPr>
              <w:t>10</w:t>
            </w:r>
            <w:r w:rsidR="00B4643E">
              <w:rPr>
                <w:noProof/>
                <w:webHidden/>
              </w:rPr>
              <w:fldChar w:fldCharType="end"/>
            </w:r>
          </w:hyperlink>
        </w:p>
        <w:p w14:paraId="19F863B8" w14:textId="198688B1"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34" w:history="1">
            <w:r w:rsidR="00B4643E" w:rsidRPr="00117FCE">
              <w:rPr>
                <w:rStyle w:val="Hyperlink"/>
                <w:noProof/>
                <w:lang w:val="en-IE"/>
              </w:rPr>
              <w:t>2.1.</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noProof/>
                <w:lang w:val="en-IE"/>
              </w:rPr>
              <w:t>What are the problems?</w:t>
            </w:r>
            <w:r w:rsidR="00B4643E">
              <w:rPr>
                <w:noProof/>
                <w:webHidden/>
              </w:rPr>
              <w:tab/>
            </w:r>
            <w:r w:rsidR="00B4643E">
              <w:rPr>
                <w:noProof/>
                <w:webHidden/>
              </w:rPr>
              <w:fldChar w:fldCharType="begin"/>
            </w:r>
            <w:r w:rsidR="00B4643E">
              <w:rPr>
                <w:noProof/>
                <w:webHidden/>
              </w:rPr>
              <w:instrText xml:space="preserve"> PAGEREF _Toc203043634 \h </w:instrText>
            </w:r>
            <w:r w:rsidR="00B4643E">
              <w:rPr>
                <w:noProof/>
                <w:webHidden/>
              </w:rPr>
            </w:r>
            <w:r w:rsidR="00B4643E">
              <w:rPr>
                <w:noProof/>
                <w:webHidden/>
              </w:rPr>
              <w:fldChar w:fldCharType="separate"/>
            </w:r>
            <w:r w:rsidR="007722AE">
              <w:rPr>
                <w:noProof/>
                <w:webHidden/>
              </w:rPr>
              <w:t>10</w:t>
            </w:r>
            <w:r w:rsidR="00B4643E">
              <w:rPr>
                <w:noProof/>
                <w:webHidden/>
              </w:rPr>
              <w:fldChar w:fldCharType="end"/>
            </w:r>
          </w:hyperlink>
        </w:p>
        <w:p w14:paraId="6916494E" w14:textId="2421F057"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35" w:history="1">
            <w:r w:rsidR="00B4643E" w:rsidRPr="00117FCE">
              <w:rPr>
                <w:rStyle w:val="Hyperlink"/>
                <w:noProof/>
              </w:rPr>
              <w:t>2.2.</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noProof/>
                <w:lang w:val="en-IE"/>
              </w:rPr>
              <w:t>What are the problem drivers?</w:t>
            </w:r>
            <w:r w:rsidR="00B4643E">
              <w:rPr>
                <w:noProof/>
                <w:webHidden/>
              </w:rPr>
              <w:tab/>
            </w:r>
            <w:r w:rsidR="00B4643E">
              <w:rPr>
                <w:noProof/>
                <w:webHidden/>
              </w:rPr>
              <w:fldChar w:fldCharType="begin"/>
            </w:r>
            <w:r w:rsidR="00B4643E">
              <w:rPr>
                <w:noProof/>
                <w:webHidden/>
              </w:rPr>
              <w:instrText xml:space="preserve"> PAGEREF _Toc203043635 \h </w:instrText>
            </w:r>
            <w:r w:rsidR="00B4643E">
              <w:rPr>
                <w:noProof/>
                <w:webHidden/>
              </w:rPr>
            </w:r>
            <w:r w:rsidR="00B4643E">
              <w:rPr>
                <w:noProof/>
                <w:webHidden/>
              </w:rPr>
              <w:fldChar w:fldCharType="separate"/>
            </w:r>
            <w:r w:rsidR="007722AE">
              <w:rPr>
                <w:noProof/>
                <w:webHidden/>
              </w:rPr>
              <w:t>13</w:t>
            </w:r>
            <w:r w:rsidR="00B4643E">
              <w:rPr>
                <w:noProof/>
                <w:webHidden/>
              </w:rPr>
              <w:fldChar w:fldCharType="end"/>
            </w:r>
          </w:hyperlink>
        </w:p>
        <w:p w14:paraId="17072FC6" w14:textId="45BCA8BA" w:rsidR="00B4643E" w:rsidRDefault="00620872">
          <w:pPr>
            <w:pStyle w:val="TOC1"/>
            <w:rPr>
              <w:rFonts w:asciiTheme="minorHAnsi" w:eastAsiaTheme="minorEastAsia" w:hAnsiTheme="minorHAnsi" w:cstheme="minorBidi"/>
              <w:caps w:val="0"/>
              <w:noProof/>
              <w:kern w:val="2"/>
              <w:sz w:val="24"/>
              <w:szCs w:val="24"/>
              <w:lang w:val="en-US"/>
              <w14:ligatures w14:val="standardContextual"/>
            </w:rPr>
          </w:pPr>
          <w:hyperlink w:anchor="_Toc203043636" w:history="1">
            <w:r w:rsidR="00B4643E" w:rsidRPr="00117FCE">
              <w:rPr>
                <w:rStyle w:val="Hyperlink"/>
                <w:noProof/>
                <w:lang w:val="en-IE"/>
              </w:rPr>
              <w:t>3.</w:t>
            </w:r>
            <w:r w:rsidR="00B4643E">
              <w:rPr>
                <w:rFonts w:asciiTheme="minorHAnsi" w:eastAsiaTheme="minorEastAsia" w:hAnsiTheme="minorHAnsi" w:cstheme="minorBidi"/>
                <w:caps w:val="0"/>
                <w:noProof/>
                <w:kern w:val="2"/>
                <w:sz w:val="24"/>
                <w:szCs w:val="24"/>
                <w:lang w:val="en-US"/>
                <w14:ligatures w14:val="standardContextual"/>
              </w:rPr>
              <w:tab/>
            </w:r>
            <w:r w:rsidR="00B4643E" w:rsidRPr="00117FCE">
              <w:rPr>
                <w:rStyle w:val="Hyperlink"/>
                <w:noProof/>
                <w:lang w:val="en-IE"/>
              </w:rPr>
              <w:t>Why should the EU act?</w:t>
            </w:r>
            <w:r w:rsidR="00B4643E">
              <w:rPr>
                <w:noProof/>
                <w:webHidden/>
              </w:rPr>
              <w:tab/>
            </w:r>
            <w:r w:rsidR="00B4643E">
              <w:rPr>
                <w:noProof/>
                <w:webHidden/>
              </w:rPr>
              <w:fldChar w:fldCharType="begin"/>
            </w:r>
            <w:r w:rsidR="00B4643E">
              <w:rPr>
                <w:noProof/>
                <w:webHidden/>
              </w:rPr>
              <w:instrText xml:space="preserve"> PAGEREF _Toc203043636 \h </w:instrText>
            </w:r>
            <w:r w:rsidR="00B4643E">
              <w:rPr>
                <w:noProof/>
                <w:webHidden/>
              </w:rPr>
            </w:r>
            <w:r w:rsidR="00B4643E">
              <w:rPr>
                <w:noProof/>
                <w:webHidden/>
              </w:rPr>
              <w:fldChar w:fldCharType="separate"/>
            </w:r>
            <w:r w:rsidR="007722AE">
              <w:rPr>
                <w:noProof/>
                <w:webHidden/>
              </w:rPr>
              <w:t>27</w:t>
            </w:r>
            <w:r w:rsidR="00B4643E">
              <w:rPr>
                <w:noProof/>
                <w:webHidden/>
              </w:rPr>
              <w:fldChar w:fldCharType="end"/>
            </w:r>
          </w:hyperlink>
        </w:p>
        <w:p w14:paraId="09C06AC4" w14:textId="6632230E"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37" w:history="1">
            <w:r w:rsidR="00B4643E" w:rsidRPr="00117FCE">
              <w:rPr>
                <w:rStyle w:val="Hyperlink"/>
                <w:noProof/>
                <w:lang w:val="en-IE"/>
              </w:rPr>
              <w:t>3.1.</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noProof/>
                <w:lang w:val="en-IE"/>
              </w:rPr>
              <w:t>Legal basis</w:t>
            </w:r>
            <w:r w:rsidR="00B4643E">
              <w:rPr>
                <w:noProof/>
                <w:webHidden/>
              </w:rPr>
              <w:tab/>
            </w:r>
            <w:r w:rsidR="00B4643E">
              <w:rPr>
                <w:noProof/>
                <w:webHidden/>
              </w:rPr>
              <w:fldChar w:fldCharType="begin"/>
            </w:r>
            <w:r w:rsidR="00B4643E">
              <w:rPr>
                <w:noProof/>
                <w:webHidden/>
              </w:rPr>
              <w:instrText xml:space="preserve"> PAGEREF _Toc203043637 \h </w:instrText>
            </w:r>
            <w:r w:rsidR="00B4643E">
              <w:rPr>
                <w:noProof/>
                <w:webHidden/>
              </w:rPr>
            </w:r>
            <w:r w:rsidR="00B4643E">
              <w:rPr>
                <w:noProof/>
                <w:webHidden/>
              </w:rPr>
              <w:fldChar w:fldCharType="separate"/>
            </w:r>
            <w:r w:rsidR="007722AE">
              <w:rPr>
                <w:noProof/>
                <w:webHidden/>
              </w:rPr>
              <w:t>27</w:t>
            </w:r>
            <w:r w:rsidR="00B4643E">
              <w:rPr>
                <w:noProof/>
                <w:webHidden/>
              </w:rPr>
              <w:fldChar w:fldCharType="end"/>
            </w:r>
          </w:hyperlink>
        </w:p>
        <w:p w14:paraId="35CC9EA5" w14:textId="08E39690"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38" w:history="1">
            <w:r w:rsidR="00B4643E" w:rsidRPr="00117FCE">
              <w:rPr>
                <w:rStyle w:val="Hyperlink"/>
                <w:noProof/>
                <w:lang w:val="en-IE"/>
              </w:rPr>
              <w:t>3.2.</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noProof/>
                <w:lang w:val="en-IE"/>
              </w:rPr>
              <w:t>Subsidiarity: Necessity of EU action</w:t>
            </w:r>
            <w:r w:rsidR="00B4643E">
              <w:rPr>
                <w:noProof/>
                <w:webHidden/>
              </w:rPr>
              <w:tab/>
            </w:r>
            <w:r w:rsidR="00B4643E">
              <w:rPr>
                <w:noProof/>
                <w:webHidden/>
              </w:rPr>
              <w:fldChar w:fldCharType="begin"/>
            </w:r>
            <w:r w:rsidR="00B4643E">
              <w:rPr>
                <w:noProof/>
                <w:webHidden/>
              </w:rPr>
              <w:instrText xml:space="preserve"> PAGEREF _Toc203043638 \h </w:instrText>
            </w:r>
            <w:r w:rsidR="00B4643E">
              <w:rPr>
                <w:noProof/>
                <w:webHidden/>
              </w:rPr>
            </w:r>
            <w:r w:rsidR="00B4643E">
              <w:rPr>
                <w:noProof/>
                <w:webHidden/>
              </w:rPr>
              <w:fldChar w:fldCharType="separate"/>
            </w:r>
            <w:r w:rsidR="007722AE">
              <w:rPr>
                <w:noProof/>
                <w:webHidden/>
              </w:rPr>
              <w:t>27</w:t>
            </w:r>
            <w:r w:rsidR="00B4643E">
              <w:rPr>
                <w:noProof/>
                <w:webHidden/>
              </w:rPr>
              <w:fldChar w:fldCharType="end"/>
            </w:r>
          </w:hyperlink>
        </w:p>
        <w:p w14:paraId="05EEF7B0" w14:textId="77136E00"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39" w:history="1">
            <w:r w:rsidR="00B4643E" w:rsidRPr="00117FCE">
              <w:rPr>
                <w:rStyle w:val="Hyperlink"/>
                <w:noProof/>
                <w:lang w:val="en-IE"/>
              </w:rPr>
              <w:t>3.3.</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noProof/>
                <w:lang w:val="en-IE"/>
              </w:rPr>
              <w:t>Subsidiarity: Added value of EU action</w:t>
            </w:r>
            <w:r w:rsidR="00B4643E">
              <w:rPr>
                <w:noProof/>
                <w:webHidden/>
              </w:rPr>
              <w:tab/>
            </w:r>
            <w:r w:rsidR="00B4643E">
              <w:rPr>
                <w:noProof/>
                <w:webHidden/>
              </w:rPr>
              <w:fldChar w:fldCharType="begin"/>
            </w:r>
            <w:r w:rsidR="00B4643E">
              <w:rPr>
                <w:noProof/>
                <w:webHidden/>
              </w:rPr>
              <w:instrText xml:space="preserve"> PAGEREF _Toc203043639 \h </w:instrText>
            </w:r>
            <w:r w:rsidR="00B4643E">
              <w:rPr>
                <w:noProof/>
                <w:webHidden/>
              </w:rPr>
            </w:r>
            <w:r w:rsidR="00B4643E">
              <w:rPr>
                <w:noProof/>
                <w:webHidden/>
              </w:rPr>
              <w:fldChar w:fldCharType="separate"/>
            </w:r>
            <w:r w:rsidR="007722AE">
              <w:rPr>
                <w:noProof/>
                <w:webHidden/>
              </w:rPr>
              <w:t>28</w:t>
            </w:r>
            <w:r w:rsidR="00B4643E">
              <w:rPr>
                <w:noProof/>
                <w:webHidden/>
              </w:rPr>
              <w:fldChar w:fldCharType="end"/>
            </w:r>
          </w:hyperlink>
        </w:p>
        <w:p w14:paraId="3BA0C2F3" w14:textId="44DD7F4B" w:rsidR="00B4643E" w:rsidRDefault="00620872">
          <w:pPr>
            <w:pStyle w:val="TOC1"/>
            <w:rPr>
              <w:rFonts w:asciiTheme="minorHAnsi" w:eastAsiaTheme="minorEastAsia" w:hAnsiTheme="minorHAnsi" w:cstheme="minorBidi"/>
              <w:caps w:val="0"/>
              <w:noProof/>
              <w:kern w:val="2"/>
              <w:sz w:val="24"/>
              <w:szCs w:val="24"/>
              <w:lang w:val="en-US"/>
              <w14:ligatures w14:val="standardContextual"/>
            </w:rPr>
          </w:pPr>
          <w:hyperlink w:anchor="_Toc203043640" w:history="1">
            <w:r w:rsidR="00B4643E" w:rsidRPr="00117FCE">
              <w:rPr>
                <w:rStyle w:val="Hyperlink"/>
                <w:rFonts w:eastAsiaTheme="minorHAnsi"/>
                <w:bCs/>
                <w:noProof/>
                <w:lang w:val="en-IE"/>
              </w:rPr>
              <w:t>4.</w:t>
            </w:r>
            <w:r w:rsidR="00B4643E">
              <w:rPr>
                <w:rFonts w:asciiTheme="minorHAnsi" w:eastAsiaTheme="minorEastAsia" w:hAnsiTheme="minorHAnsi" w:cstheme="minorBidi"/>
                <w:caps w:val="0"/>
                <w:noProof/>
                <w:kern w:val="2"/>
                <w:sz w:val="24"/>
                <w:szCs w:val="24"/>
                <w:lang w:val="en-US"/>
                <w14:ligatures w14:val="standardContextual"/>
              </w:rPr>
              <w:tab/>
            </w:r>
            <w:r w:rsidR="00B4643E" w:rsidRPr="00117FCE">
              <w:rPr>
                <w:rStyle w:val="Hyperlink"/>
                <w:rFonts w:eastAsiaTheme="minorHAnsi"/>
                <w:bCs/>
                <w:noProof/>
                <w:lang w:val="en-IE"/>
              </w:rPr>
              <w:t>Objectives: What is to be achieved?</w:t>
            </w:r>
            <w:r w:rsidR="00B4643E">
              <w:rPr>
                <w:noProof/>
                <w:webHidden/>
              </w:rPr>
              <w:tab/>
            </w:r>
            <w:r w:rsidR="00B4643E">
              <w:rPr>
                <w:noProof/>
                <w:webHidden/>
              </w:rPr>
              <w:fldChar w:fldCharType="begin"/>
            </w:r>
            <w:r w:rsidR="00B4643E">
              <w:rPr>
                <w:noProof/>
                <w:webHidden/>
              </w:rPr>
              <w:instrText xml:space="preserve"> PAGEREF _Toc203043640 \h </w:instrText>
            </w:r>
            <w:r w:rsidR="00B4643E">
              <w:rPr>
                <w:noProof/>
                <w:webHidden/>
              </w:rPr>
            </w:r>
            <w:r w:rsidR="00B4643E">
              <w:rPr>
                <w:noProof/>
                <w:webHidden/>
              </w:rPr>
              <w:fldChar w:fldCharType="separate"/>
            </w:r>
            <w:r w:rsidR="007722AE">
              <w:rPr>
                <w:noProof/>
                <w:webHidden/>
              </w:rPr>
              <w:t>29</w:t>
            </w:r>
            <w:r w:rsidR="00B4643E">
              <w:rPr>
                <w:noProof/>
                <w:webHidden/>
              </w:rPr>
              <w:fldChar w:fldCharType="end"/>
            </w:r>
          </w:hyperlink>
        </w:p>
        <w:p w14:paraId="2163BDF8" w14:textId="601CCD35"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41" w:history="1">
            <w:r w:rsidR="00B4643E" w:rsidRPr="00117FCE">
              <w:rPr>
                <w:rStyle w:val="Hyperlink"/>
                <w:noProof/>
                <w:lang w:val="en-IE"/>
              </w:rPr>
              <w:t>4.1.</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noProof/>
                <w:lang w:val="en-IE"/>
              </w:rPr>
              <w:t>General objectives</w:t>
            </w:r>
            <w:r w:rsidR="00B4643E">
              <w:rPr>
                <w:noProof/>
                <w:webHidden/>
              </w:rPr>
              <w:tab/>
            </w:r>
            <w:r w:rsidR="00B4643E">
              <w:rPr>
                <w:noProof/>
                <w:webHidden/>
              </w:rPr>
              <w:fldChar w:fldCharType="begin"/>
            </w:r>
            <w:r w:rsidR="00B4643E">
              <w:rPr>
                <w:noProof/>
                <w:webHidden/>
              </w:rPr>
              <w:instrText xml:space="preserve"> PAGEREF _Toc203043641 \h </w:instrText>
            </w:r>
            <w:r w:rsidR="00B4643E">
              <w:rPr>
                <w:noProof/>
                <w:webHidden/>
              </w:rPr>
            </w:r>
            <w:r w:rsidR="00B4643E">
              <w:rPr>
                <w:noProof/>
                <w:webHidden/>
              </w:rPr>
              <w:fldChar w:fldCharType="separate"/>
            </w:r>
            <w:r w:rsidR="007722AE">
              <w:rPr>
                <w:noProof/>
                <w:webHidden/>
              </w:rPr>
              <w:t>29</w:t>
            </w:r>
            <w:r w:rsidR="00B4643E">
              <w:rPr>
                <w:noProof/>
                <w:webHidden/>
              </w:rPr>
              <w:fldChar w:fldCharType="end"/>
            </w:r>
          </w:hyperlink>
        </w:p>
        <w:p w14:paraId="0A7B96D5" w14:textId="34689045"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42" w:history="1">
            <w:r w:rsidR="00B4643E" w:rsidRPr="00117FCE">
              <w:rPr>
                <w:rStyle w:val="Hyperlink"/>
                <w:noProof/>
                <w:lang w:val="en-IE"/>
              </w:rPr>
              <w:t>4.2.</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noProof/>
                <w:lang w:val="en-IE"/>
              </w:rPr>
              <w:t>Specific objectives</w:t>
            </w:r>
            <w:r w:rsidR="00B4643E">
              <w:rPr>
                <w:noProof/>
                <w:webHidden/>
              </w:rPr>
              <w:tab/>
            </w:r>
            <w:r w:rsidR="00B4643E">
              <w:rPr>
                <w:noProof/>
                <w:webHidden/>
              </w:rPr>
              <w:fldChar w:fldCharType="begin"/>
            </w:r>
            <w:r w:rsidR="00B4643E">
              <w:rPr>
                <w:noProof/>
                <w:webHidden/>
              </w:rPr>
              <w:instrText xml:space="preserve"> PAGEREF _Toc203043642 \h </w:instrText>
            </w:r>
            <w:r w:rsidR="00B4643E">
              <w:rPr>
                <w:noProof/>
                <w:webHidden/>
              </w:rPr>
            </w:r>
            <w:r w:rsidR="00B4643E">
              <w:rPr>
                <w:noProof/>
                <w:webHidden/>
              </w:rPr>
              <w:fldChar w:fldCharType="separate"/>
            </w:r>
            <w:r w:rsidR="007722AE">
              <w:rPr>
                <w:noProof/>
                <w:webHidden/>
              </w:rPr>
              <w:t>29</w:t>
            </w:r>
            <w:r w:rsidR="00B4643E">
              <w:rPr>
                <w:noProof/>
                <w:webHidden/>
              </w:rPr>
              <w:fldChar w:fldCharType="end"/>
            </w:r>
          </w:hyperlink>
        </w:p>
        <w:p w14:paraId="425624A6" w14:textId="2AC9459A"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43" w:history="1">
            <w:r w:rsidR="00B4643E" w:rsidRPr="00117FCE">
              <w:rPr>
                <w:rStyle w:val="Hyperlink"/>
                <w:noProof/>
                <w:lang w:val="en-IE"/>
              </w:rPr>
              <w:t>4.3.</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noProof/>
                <w:lang w:val="en-IE"/>
              </w:rPr>
              <w:t>Problem tree</w:t>
            </w:r>
            <w:r w:rsidR="00B4643E">
              <w:rPr>
                <w:noProof/>
                <w:webHidden/>
              </w:rPr>
              <w:tab/>
            </w:r>
            <w:r w:rsidR="00B4643E">
              <w:rPr>
                <w:noProof/>
                <w:webHidden/>
              </w:rPr>
              <w:fldChar w:fldCharType="begin"/>
            </w:r>
            <w:r w:rsidR="00B4643E">
              <w:rPr>
                <w:noProof/>
                <w:webHidden/>
              </w:rPr>
              <w:instrText xml:space="preserve"> PAGEREF _Toc203043643 \h </w:instrText>
            </w:r>
            <w:r w:rsidR="00B4643E">
              <w:rPr>
                <w:noProof/>
                <w:webHidden/>
              </w:rPr>
            </w:r>
            <w:r w:rsidR="00B4643E">
              <w:rPr>
                <w:noProof/>
                <w:webHidden/>
              </w:rPr>
              <w:fldChar w:fldCharType="separate"/>
            </w:r>
            <w:r w:rsidR="007722AE">
              <w:rPr>
                <w:noProof/>
                <w:webHidden/>
              </w:rPr>
              <w:t>29</w:t>
            </w:r>
            <w:r w:rsidR="00B4643E">
              <w:rPr>
                <w:noProof/>
                <w:webHidden/>
              </w:rPr>
              <w:fldChar w:fldCharType="end"/>
            </w:r>
          </w:hyperlink>
        </w:p>
        <w:p w14:paraId="7DC8C1C7" w14:textId="774A1798" w:rsidR="00B4643E" w:rsidRDefault="00620872">
          <w:pPr>
            <w:pStyle w:val="TOC1"/>
            <w:rPr>
              <w:rFonts w:asciiTheme="minorHAnsi" w:eastAsiaTheme="minorEastAsia" w:hAnsiTheme="minorHAnsi" w:cstheme="minorBidi"/>
              <w:caps w:val="0"/>
              <w:noProof/>
              <w:kern w:val="2"/>
              <w:sz w:val="24"/>
              <w:szCs w:val="24"/>
              <w:lang w:val="en-US"/>
              <w14:ligatures w14:val="standardContextual"/>
            </w:rPr>
          </w:pPr>
          <w:hyperlink w:anchor="_Toc203043644" w:history="1">
            <w:r w:rsidR="00B4643E" w:rsidRPr="00117FCE">
              <w:rPr>
                <w:rStyle w:val="Hyperlink"/>
                <w:rFonts w:eastAsiaTheme="minorHAnsi"/>
                <w:noProof/>
                <w:lang w:val="en-IE"/>
              </w:rPr>
              <w:t>5.</w:t>
            </w:r>
            <w:r w:rsidR="00B4643E">
              <w:rPr>
                <w:rFonts w:asciiTheme="minorHAnsi" w:eastAsiaTheme="minorEastAsia" w:hAnsiTheme="minorHAnsi" w:cstheme="minorBidi"/>
                <w:caps w:val="0"/>
                <w:noProof/>
                <w:kern w:val="2"/>
                <w:sz w:val="24"/>
                <w:szCs w:val="24"/>
                <w:lang w:val="en-US"/>
                <w14:ligatures w14:val="standardContextual"/>
              </w:rPr>
              <w:tab/>
            </w:r>
            <w:r w:rsidR="00B4643E" w:rsidRPr="00117FCE">
              <w:rPr>
                <w:rStyle w:val="Hyperlink"/>
                <w:rFonts w:eastAsiaTheme="minorHAnsi"/>
                <w:noProof/>
                <w:lang w:val="en-IE"/>
              </w:rPr>
              <w:t>What are the available policy options?</w:t>
            </w:r>
            <w:r w:rsidR="00B4643E">
              <w:rPr>
                <w:noProof/>
                <w:webHidden/>
              </w:rPr>
              <w:tab/>
            </w:r>
            <w:r w:rsidR="00B4643E">
              <w:rPr>
                <w:noProof/>
                <w:webHidden/>
              </w:rPr>
              <w:fldChar w:fldCharType="begin"/>
            </w:r>
            <w:r w:rsidR="00B4643E">
              <w:rPr>
                <w:noProof/>
                <w:webHidden/>
              </w:rPr>
              <w:instrText xml:space="preserve"> PAGEREF _Toc203043644 \h </w:instrText>
            </w:r>
            <w:r w:rsidR="00B4643E">
              <w:rPr>
                <w:noProof/>
                <w:webHidden/>
              </w:rPr>
            </w:r>
            <w:r w:rsidR="00B4643E">
              <w:rPr>
                <w:noProof/>
                <w:webHidden/>
              </w:rPr>
              <w:fldChar w:fldCharType="separate"/>
            </w:r>
            <w:r w:rsidR="007722AE">
              <w:rPr>
                <w:noProof/>
                <w:webHidden/>
              </w:rPr>
              <w:t>30</w:t>
            </w:r>
            <w:r w:rsidR="00B4643E">
              <w:rPr>
                <w:noProof/>
                <w:webHidden/>
              </w:rPr>
              <w:fldChar w:fldCharType="end"/>
            </w:r>
          </w:hyperlink>
        </w:p>
        <w:p w14:paraId="19BEE874" w14:textId="4A4F0C42"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45" w:history="1">
            <w:r w:rsidR="00B4643E" w:rsidRPr="00117FCE">
              <w:rPr>
                <w:rStyle w:val="Hyperlink"/>
                <w:noProof/>
              </w:rPr>
              <w:t>5.1.</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noProof/>
              </w:rPr>
              <w:t>What is the baseline from which options are assessed?</w:t>
            </w:r>
            <w:r w:rsidR="00B4643E">
              <w:rPr>
                <w:noProof/>
                <w:webHidden/>
              </w:rPr>
              <w:tab/>
            </w:r>
            <w:r w:rsidR="00B4643E">
              <w:rPr>
                <w:noProof/>
                <w:webHidden/>
              </w:rPr>
              <w:fldChar w:fldCharType="begin"/>
            </w:r>
            <w:r w:rsidR="00B4643E">
              <w:rPr>
                <w:noProof/>
                <w:webHidden/>
              </w:rPr>
              <w:instrText xml:space="preserve"> PAGEREF _Toc203043645 \h </w:instrText>
            </w:r>
            <w:r w:rsidR="00B4643E">
              <w:rPr>
                <w:noProof/>
                <w:webHidden/>
              </w:rPr>
            </w:r>
            <w:r w:rsidR="00B4643E">
              <w:rPr>
                <w:noProof/>
                <w:webHidden/>
              </w:rPr>
              <w:fldChar w:fldCharType="separate"/>
            </w:r>
            <w:r w:rsidR="007722AE">
              <w:rPr>
                <w:noProof/>
                <w:webHidden/>
              </w:rPr>
              <w:t>30</w:t>
            </w:r>
            <w:r w:rsidR="00B4643E">
              <w:rPr>
                <w:noProof/>
                <w:webHidden/>
              </w:rPr>
              <w:fldChar w:fldCharType="end"/>
            </w:r>
          </w:hyperlink>
        </w:p>
        <w:p w14:paraId="4BE8790A" w14:textId="78585064"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46" w:history="1">
            <w:r w:rsidR="00B4643E" w:rsidRPr="00117FCE">
              <w:rPr>
                <w:rStyle w:val="Hyperlink"/>
                <w:noProof/>
              </w:rPr>
              <w:t>5.2.</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noProof/>
              </w:rPr>
              <w:t>Description of the policy options</w:t>
            </w:r>
            <w:r w:rsidR="00B4643E">
              <w:rPr>
                <w:noProof/>
                <w:webHidden/>
              </w:rPr>
              <w:tab/>
            </w:r>
            <w:r w:rsidR="00B4643E">
              <w:rPr>
                <w:noProof/>
                <w:webHidden/>
              </w:rPr>
              <w:fldChar w:fldCharType="begin"/>
            </w:r>
            <w:r w:rsidR="00B4643E">
              <w:rPr>
                <w:noProof/>
                <w:webHidden/>
              </w:rPr>
              <w:instrText xml:space="preserve"> PAGEREF _Toc203043646 \h </w:instrText>
            </w:r>
            <w:r w:rsidR="00B4643E">
              <w:rPr>
                <w:noProof/>
                <w:webHidden/>
              </w:rPr>
            </w:r>
            <w:r w:rsidR="00B4643E">
              <w:rPr>
                <w:noProof/>
                <w:webHidden/>
              </w:rPr>
              <w:fldChar w:fldCharType="separate"/>
            </w:r>
            <w:r w:rsidR="007722AE">
              <w:rPr>
                <w:noProof/>
                <w:webHidden/>
              </w:rPr>
              <w:t>30</w:t>
            </w:r>
            <w:r w:rsidR="00B4643E">
              <w:rPr>
                <w:noProof/>
                <w:webHidden/>
              </w:rPr>
              <w:fldChar w:fldCharType="end"/>
            </w:r>
          </w:hyperlink>
        </w:p>
        <w:p w14:paraId="307858BD" w14:textId="7AB05F72"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47" w:history="1">
            <w:r w:rsidR="00B4643E" w:rsidRPr="00117FCE">
              <w:rPr>
                <w:rStyle w:val="Hyperlink"/>
                <w:noProof/>
              </w:rPr>
              <w:t>5.3.</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noProof/>
              </w:rPr>
              <w:t>Options discarded at an early stage</w:t>
            </w:r>
            <w:r w:rsidR="00B4643E">
              <w:rPr>
                <w:noProof/>
                <w:webHidden/>
              </w:rPr>
              <w:tab/>
            </w:r>
            <w:r w:rsidR="00B4643E">
              <w:rPr>
                <w:noProof/>
                <w:webHidden/>
              </w:rPr>
              <w:fldChar w:fldCharType="begin"/>
            </w:r>
            <w:r w:rsidR="00B4643E">
              <w:rPr>
                <w:noProof/>
                <w:webHidden/>
              </w:rPr>
              <w:instrText xml:space="preserve"> PAGEREF _Toc203043647 \h </w:instrText>
            </w:r>
            <w:r w:rsidR="00B4643E">
              <w:rPr>
                <w:noProof/>
                <w:webHidden/>
              </w:rPr>
            </w:r>
            <w:r w:rsidR="00B4643E">
              <w:rPr>
                <w:noProof/>
                <w:webHidden/>
              </w:rPr>
              <w:fldChar w:fldCharType="separate"/>
            </w:r>
            <w:r w:rsidR="007722AE">
              <w:rPr>
                <w:noProof/>
                <w:webHidden/>
              </w:rPr>
              <w:t>32</w:t>
            </w:r>
            <w:r w:rsidR="00B4643E">
              <w:rPr>
                <w:noProof/>
                <w:webHidden/>
              </w:rPr>
              <w:fldChar w:fldCharType="end"/>
            </w:r>
          </w:hyperlink>
        </w:p>
        <w:p w14:paraId="13F117EA" w14:textId="561E8A8B" w:rsidR="00B4643E" w:rsidRDefault="00620872">
          <w:pPr>
            <w:pStyle w:val="TOC1"/>
            <w:rPr>
              <w:rFonts w:asciiTheme="minorHAnsi" w:eastAsiaTheme="minorEastAsia" w:hAnsiTheme="minorHAnsi" w:cstheme="minorBidi"/>
              <w:caps w:val="0"/>
              <w:noProof/>
              <w:kern w:val="2"/>
              <w:sz w:val="24"/>
              <w:szCs w:val="24"/>
              <w:lang w:val="en-US"/>
              <w14:ligatures w14:val="standardContextual"/>
            </w:rPr>
          </w:pPr>
          <w:hyperlink w:anchor="_Toc203043648" w:history="1">
            <w:r w:rsidR="00B4643E" w:rsidRPr="00117FCE">
              <w:rPr>
                <w:rStyle w:val="Hyperlink"/>
                <w:noProof/>
                <w:lang w:val="en-IE"/>
              </w:rPr>
              <w:t>6.</w:t>
            </w:r>
            <w:r w:rsidR="00B4643E">
              <w:rPr>
                <w:rFonts w:asciiTheme="minorHAnsi" w:eastAsiaTheme="minorEastAsia" w:hAnsiTheme="minorHAnsi" w:cstheme="minorBidi"/>
                <w:caps w:val="0"/>
                <w:noProof/>
                <w:kern w:val="2"/>
                <w:sz w:val="24"/>
                <w:szCs w:val="24"/>
                <w:lang w:val="en-US"/>
                <w14:ligatures w14:val="standardContextual"/>
              </w:rPr>
              <w:tab/>
            </w:r>
            <w:r w:rsidR="00B4643E" w:rsidRPr="00117FCE">
              <w:rPr>
                <w:rStyle w:val="Hyperlink"/>
                <w:noProof/>
                <w:lang w:val="en-IE"/>
              </w:rPr>
              <w:t>What are the impacts of the policy options?</w:t>
            </w:r>
            <w:r w:rsidR="00B4643E">
              <w:rPr>
                <w:noProof/>
                <w:webHidden/>
              </w:rPr>
              <w:tab/>
            </w:r>
            <w:r w:rsidR="00B4643E">
              <w:rPr>
                <w:noProof/>
                <w:webHidden/>
              </w:rPr>
              <w:fldChar w:fldCharType="begin"/>
            </w:r>
            <w:r w:rsidR="00B4643E">
              <w:rPr>
                <w:noProof/>
                <w:webHidden/>
              </w:rPr>
              <w:instrText xml:space="preserve"> PAGEREF _Toc203043648 \h </w:instrText>
            </w:r>
            <w:r w:rsidR="00B4643E">
              <w:rPr>
                <w:noProof/>
                <w:webHidden/>
              </w:rPr>
            </w:r>
            <w:r w:rsidR="00B4643E">
              <w:rPr>
                <w:noProof/>
                <w:webHidden/>
              </w:rPr>
              <w:fldChar w:fldCharType="separate"/>
            </w:r>
            <w:r w:rsidR="007722AE">
              <w:rPr>
                <w:noProof/>
                <w:webHidden/>
              </w:rPr>
              <w:t>32</w:t>
            </w:r>
            <w:r w:rsidR="00B4643E">
              <w:rPr>
                <w:noProof/>
                <w:webHidden/>
              </w:rPr>
              <w:fldChar w:fldCharType="end"/>
            </w:r>
          </w:hyperlink>
        </w:p>
        <w:p w14:paraId="232F29E7" w14:textId="17A7122A"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49" w:history="1">
            <w:r w:rsidR="00B4643E" w:rsidRPr="00117FCE">
              <w:rPr>
                <w:rStyle w:val="Hyperlink"/>
                <w:noProof/>
                <w:lang w:val="en-IE"/>
              </w:rPr>
              <w:t>6.1.</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noProof/>
                <w:lang w:val="en-IE"/>
              </w:rPr>
              <w:t>Baseline scenario</w:t>
            </w:r>
            <w:r w:rsidR="00B4643E">
              <w:rPr>
                <w:noProof/>
                <w:webHidden/>
              </w:rPr>
              <w:tab/>
            </w:r>
            <w:r w:rsidR="00B4643E">
              <w:rPr>
                <w:noProof/>
                <w:webHidden/>
              </w:rPr>
              <w:fldChar w:fldCharType="begin"/>
            </w:r>
            <w:r w:rsidR="00B4643E">
              <w:rPr>
                <w:noProof/>
                <w:webHidden/>
              </w:rPr>
              <w:instrText xml:space="preserve"> PAGEREF _Toc203043649 \h </w:instrText>
            </w:r>
            <w:r w:rsidR="00B4643E">
              <w:rPr>
                <w:noProof/>
                <w:webHidden/>
              </w:rPr>
            </w:r>
            <w:r w:rsidR="00B4643E">
              <w:rPr>
                <w:noProof/>
                <w:webHidden/>
              </w:rPr>
              <w:fldChar w:fldCharType="separate"/>
            </w:r>
            <w:r w:rsidR="007722AE">
              <w:rPr>
                <w:noProof/>
                <w:webHidden/>
              </w:rPr>
              <w:t>32</w:t>
            </w:r>
            <w:r w:rsidR="00B4643E">
              <w:rPr>
                <w:noProof/>
                <w:webHidden/>
              </w:rPr>
              <w:fldChar w:fldCharType="end"/>
            </w:r>
          </w:hyperlink>
        </w:p>
        <w:p w14:paraId="636737BE" w14:textId="1D9BCA8E"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50" w:history="1">
            <w:r w:rsidR="00B4643E" w:rsidRPr="00117FCE">
              <w:rPr>
                <w:rStyle w:val="Hyperlink"/>
                <w:noProof/>
                <w:lang w:val="en-IE"/>
              </w:rPr>
              <w:t>6.2.</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noProof/>
                <w:lang w:val="en-IE"/>
              </w:rPr>
              <w:t>Assessment of the three options</w:t>
            </w:r>
            <w:r w:rsidR="00B4643E">
              <w:rPr>
                <w:noProof/>
                <w:webHidden/>
              </w:rPr>
              <w:tab/>
            </w:r>
            <w:r w:rsidR="00B4643E">
              <w:rPr>
                <w:noProof/>
                <w:webHidden/>
              </w:rPr>
              <w:fldChar w:fldCharType="begin"/>
            </w:r>
            <w:r w:rsidR="00B4643E">
              <w:rPr>
                <w:noProof/>
                <w:webHidden/>
              </w:rPr>
              <w:instrText xml:space="preserve"> PAGEREF _Toc203043650 \h </w:instrText>
            </w:r>
            <w:r w:rsidR="00B4643E">
              <w:rPr>
                <w:noProof/>
                <w:webHidden/>
              </w:rPr>
            </w:r>
            <w:r w:rsidR="00B4643E">
              <w:rPr>
                <w:noProof/>
                <w:webHidden/>
              </w:rPr>
              <w:fldChar w:fldCharType="separate"/>
            </w:r>
            <w:r w:rsidR="007722AE">
              <w:rPr>
                <w:noProof/>
                <w:webHidden/>
              </w:rPr>
              <w:t>36</w:t>
            </w:r>
            <w:r w:rsidR="00B4643E">
              <w:rPr>
                <w:noProof/>
                <w:webHidden/>
              </w:rPr>
              <w:fldChar w:fldCharType="end"/>
            </w:r>
          </w:hyperlink>
        </w:p>
        <w:p w14:paraId="09D2500A" w14:textId="7C5EF1FF" w:rsidR="00B4643E" w:rsidRDefault="00620872">
          <w:pPr>
            <w:pStyle w:val="TOC1"/>
            <w:rPr>
              <w:rFonts w:asciiTheme="minorHAnsi" w:eastAsiaTheme="minorEastAsia" w:hAnsiTheme="minorHAnsi" w:cstheme="minorBidi"/>
              <w:caps w:val="0"/>
              <w:noProof/>
              <w:kern w:val="2"/>
              <w:sz w:val="24"/>
              <w:szCs w:val="24"/>
              <w:lang w:val="en-US"/>
              <w14:ligatures w14:val="standardContextual"/>
            </w:rPr>
          </w:pPr>
          <w:hyperlink w:anchor="_Toc203043651" w:history="1">
            <w:r w:rsidR="00B4643E" w:rsidRPr="00117FCE">
              <w:rPr>
                <w:rStyle w:val="Hyperlink"/>
                <w:noProof/>
                <w:lang w:val="en-IE"/>
              </w:rPr>
              <w:t>7.</w:t>
            </w:r>
            <w:r w:rsidR="00B4643E">
              <w:rPr>
                <w:rFonts w:asciiTheme="minorHAnsi" w:eastAsiaTheme="minorEastAsia" w:hAnsiTheme="minorHAnsi" w:cstheme="minorBidi"/>
                <w:caps w:val="0"/>
                <w:noProof/>
                <w:kern w:val="2"/>
                <w:sz w:val="24"/>
                <w:szCs w:val="24"/>
                <w:lang w:val="en-US"/>
                <w14:ligatures w14:val="standardContextual"/>
              </w:rPr>
              <w:tab/>
            </w:r>
            <w:r w:rsidR="00B4643E" w:rsidRPr="00117FCE">
              <w:rPr>
                <w:rStyle w:val="Hyperlink"/>
                <w:noProof/>
                <w:lang w:val="en-IE"/>
              </w:rPr>
              <w:t>How do the options compare?</w:t>
            </w:r>
            <w:r w:rsidR="00B4643E">
              <w:rPr>
                <w:noProof/>
                <w:webHidden/>
              </w:rPr>
              <w:tab/>
            </w:r>
            <w:r w:rsidR="00B4643E">
              <w:rPr>
                <w:noProof/>
                <w:webHidden/>
              </w:rPr>
              <w:fldChar w:fldCharType="begin"/>
            </w:r>
            <w:r w:rsidR="00B4643E">
              <w:rPr>
                <w:noProof/>
                <w:webHidden/>
              </w:rPr>
              <w:instrText xml:space="preserve"> PAGEREF _Toc203043651 \h </w:instrText>
            </w:r>
            <w:r w:rsidR="00B4643E">
              <w:rPr>
                <w:noProof/>
                <w:webHidden/>
              </w:rPr>
            </w:r>
            <w:r w:rsidR="00B4643E">
              <w:rPr>
                <w:noProof/>
                <w:webHidden/>
              </w:rPr>
              <w:fldChar w:fldCharType="separate"/>
            </w:r>
            <w:r w:rsidR="007722AE">
              <w:rPr>
                <w:noProof/>
                <w:webHidden/>
              </w:rPr>
              <w:t>43</w:t>
            </w:r>
            <w:r w:rsidR="00B4643E">
              <w:rPr>
                <w:noProof/>
                <w:webHidden/>
              </w:rPr>
              <w:fldChar w:fldCharType="end"/>
            </w:r>
          </w:hyperlink>
        </w:p>
        <w:p w14:paraId="64554534" w14:textId="240A6371"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52" w:history="1">
            <w:r w:rsidR="00B4643E" w:rsidRPr="00117FCE">
              <w:rPr>
                <w:rStyle w:val="Hyperlink"/>
                <w:noProof/>
                <w:lang w:val="en-IE"/>
              </w:rPr>
              <w:t>7.1.</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rFonts w:eastAsia="Aptos"/>
                <w:noProof/>
                <w:lang w:val="en-IE"/>
              </w:rPr>
              <w:t>Effectiveness</w:t>
            </w:r>
            <w:r w:rsidR="00B4643E">
              <w:rPr>
                <w:noProof/>
                <w:webHidden/>
              </w:rPr>
              <w:tab/>
            </w:r>
            <w:r w:rsidR="00B4643E">
              <w:rPr>
                <w:noProof/>
                <w:webHidden/>
              </w:rPr>
              <w:fldChar w:fldCharType="begin"/>
            </w:r>
            <w:r w:rsidR="00B4643E">
              <w:rPr>
                <w:noProof/>
                <w:webHidden/>
              </w:rPr>
              <w:instrText xml:space="preserve"> PAGEREF _Toc203043652 \h </w:instrText>
            </w:r>
            <w:r w:rsidR="00B4643E">
              <w:rPr>
                <w:noProof/>
                <w:webHidden/>
              </w:rPr>
            </w:r>
            <w:r w:rsidR="00B4643E">
              <w:rPr>
                <w:noProof/>
                <w:webHidden/>
              </w:rPr>
              <w:fldChar w:fldCharType="separate"/>
            </w:r>
            <w:r w:rsidR="007722AE">
              <w:rPr>
                <w:noProof/>
                <w:webHidden/>
              </w:rPr>
              <w:t>43</w:t>
            </w:r>
            <w:r w:rsidR="00B4643E">
              <w:rPr>
                <w:noProof/>
                <w:webHidden/>
              </w:rPr>
              <w:fldChar w:fldCharType="end"/>
            </w:r>
          </w:hyperlink>
        </w:p>
        <w:p w14:paraId="364CD739" w14:textId="31042CA3"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53" w:history="1">
            <w:r w:rsidR="00B4643E" w:rsidRPr="00117FCE">
              <w:rPr>
                <w:rStyle w:val="Hyperlink"/>
                <w:noProof/>
                <w:lang w:val="en-IE"/>
              </w:rPr>
              <w:t>7.2.</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noProof/>
                <w:lang w:val="en-IE"/>
              </w:rPr>
              <w:t>Efficiency</w:t>
            </w:r>
            <w:r w:rsidR="00B4643E">
              <w:rPr>
                <w:noProof/>
                <w:webHidden/>
              </w:rPr>
              <w:tab/>
            </w:r>
            <w:r w:rsidR="00B4643E">
              <w:rPr>
                <w:noProof/>
                <w:webHidden/>
              </w:rPr>
              <w:fldChar w:fldCharType="begin"/>
            </w:r>
            <w:r w:rsidR="00B4643E">
              <w:rPr>
                <w:noProof/>
                <w:webHidden/>
              </w:rPr>
              <w:instrText xml:space="preserve"> PAGEREF _Toc203043653 \h </w:instrText>
            </w:r>
            <w:r w:rsidR="00B4643E">
              <w:rPr>
                <w:noProof/>
                <w:webHidden/>
              </w:rPr>
            </w:r>
            <w:r w:rsidR="00B4643E">
              <w:rPr>
                <w:noProof/>
                <w:webHidden/>
              </w:rPr>
              <w:fldChar w:fldCharType="separate"/>
            </w:r>
            <w:r w:rsidR="007722AE">
              <w:rPr>
                <w:noProof/>
                <w:webHidden/>
              </w:rPr>
              <w:t>44</w:t>
            </w:r>
            <w:r w:rsidR="00B4643E">
              <w:rPr>
                <w:noProof/>
                <w:webHidden/>
              </w:rPr>
              <w:fldChar w:fldCharType="end"/>
            </w:r>
          </w:hyperlink>
        </w:p>
        <w:p w14:paraId="3CE97ECC" w14:textId="61E6C449" w:rsidR="00B4643E" w:rsidRDefault="00620872">
          <w:pPr>
            <w:pStyle w:val="TOC2"/>
            <w:tabs>
              <w:tab w:val="left" w:pos="1200"/>
            </w:tabs>
            <w:rPr>
              <w:rFonts w:asciiTheme="minorHAnsi" w:eastAsiaTheme="minorEastAsia" w:hAnsiTheme="minorHAnsi" w:cstheme="minorBidi"/>
              <w:noProof/>
              <w:kern w:val="2"/>
              <w:szCs w:val="24"/>
              <w:lang w:val="en-US"/>
              <w14:ligatures w14:val="standardContextual"/>
            </w:rPr>
          </w:pPr>
          <w:hyperlink w:anchor="_Toc203043654" w:history="1">
            <w:r w:rsidR="00B4643E" w:rsidRPr="00117FCE">
              <w:rPr>
                <w:rStyle w:val="Hyperlink"/>
                <w:noProof/>
                <w:lang w:val="en-IE"/>
              </w:rPr>
              <w:t>7.3.</w:t>
            </w:r>
            <w:r w:rsidR="00B4643E">
              <w:rPr>
                <w:rFonts w:asciiTheme="minorHAnsi" w:eastAsiaTheme="minorEastAsia" w:hAnsiTheme="minorHAnsi" w:cstheme="minorBidi"/>
                <w:noProof/>
                <w:kern w:val="2"/>
                <w:szCs w:val="24"/>
                <w:lang w:val="en-US"/>
                <w14:ligatures w14:val="standardContextual"/>
              </w:rPr>
              <w:tab/>
            </w:r>
            <w:r w:rsidR="00B4643E" w:rsidRPr="00117FCE">
              <w:rPr>
                <w:rStyle w:val="Hyperlink"/>
                <w:noProof/>
                <w:lang w:val="en-IE"/>
              </w:rPr>
              <w:t>Coherence</w:t>
            </w:r>
            <w:r w:rsidR="00B4643E">
              <w:rPr>
                <w:noProof/>
                <w:webHidden/>
              </w:rPr>
              <w:tab/>
            </w:r>
            <w:r w:rsidR="00B4643E">
              <w:rPr>
                <w:noProof/>
                <w:webHidden/>
              </w:rPr>
              <w:fldChar w:fldCharType="begin"/>
            </w:r>
            <w:r w:rsidR="00B4643E">
              <w:rPr>
                <w:noProof/>
                <w:webHidden/>
              </w:rPr>
              <w:instrText xml:space="preserve"> PAGEREF _Toc203043654 \h </w:instrText>
            </w:r>
            <w:r w:rsidR="00B4643E">
              <w:rPr>
                <w:noProof/>
                <w:webHidden/>
              </w:rPr>
            </w:r>
            <w:r w:rsidR="00B4643E">
              <w:rPr>
                <w:noProof/>
                <w:webHidden/>
              </w:rPr>
              <w:fldChar w:fldCharType="separate"/>
            </w:r>
            <w:r w:rsidR="007722AE">
              <w:rPr>
                <w:noProof/>
                <w:webHidden/>
              </w:rPr>
              <w:t>47</w:t>
            </w:r>
            <w:r w:rsidR="00B4643E">
              <w:rPr>
                <w:noProof/>
                <w:webHidden/>
              </w:rPr>
              <w:fldChar w:fldCharType="end"/>
            </w:r>
          </w:hyperlink>
        </w:p>
        <w:p w14:paraId="64B230D3" w14:textId="7778D4BB" w:rsidR="00B4643E" w:rsidRDefault="00620872">
          <w:pPr>
            <w:pStyle w:val="TOC1"/>
            <w:rPr>
              <w:rFonts w:asciiTheme="minorHAnsi" w:eastAsiaTheme="minorEastAsia" w:hAnsiTheme="minorHAnsi" w:cstheme="minorBidi"/>
              <w:caps w:val="0"/>
              <w:noProof/>
              <w:kern w:val="2"/>
              <w:sz w:val="24"/>
              <w:szCs w:val="24"/>
              <w:lang w:val="en-US"/>
              <w14:ligatures w14:val="standardContextual"/>
            </w:rPr>
          </w:pPr>
          <w:hyperlink w:anchor="_Toc203043655" w:history="1">
            <w:r w:rsidR="00B4643E" w:rsidRPr="00117FCE">
              <w:rPr>
                <w:rStyle w:val="Hyperlink"/>
                <w:noProof/>
                <w:lang w:val="en-IE"/>
              </w:rPr>
              <w:t>8.</w:t>
            </w:r>
            <w:r w:rsidR="00B4643E">
              <w:rPr>
                <w:rFonts w:asciiTheme="minorHAnsi" w:eastAsiaTheme="minorEastAsia" w:hAnsiTheme="minorHAnsi" w:cstheme="minorBidi"/>
                <w:caps w:val="0"/>
                <w:noProof/>
                <w:kern w:val="2"/>
                <w:sz w:val="24"/>
                <w:szCs w:val="24"/>
                <w:lang w:val="en-US"/>
                <w14:ligatures w14:val="standardContextual"/>
              </w:rPr>
              <w:tab/>
            </w:r>
            <w:r w:rsidR="00B4643E" w:rsidRPr="00117FCE">
              <w:rPr>
                <w:rStyle w:val="Hyperlink"/>
                <w:noProof/>
                <w:lang w:val="en-IE"/>
              </w:rPr>
              <w:t>Preferred option</w:t>
            </w:r>
            <w:r w:rsidR="00B4643E">
              <w:rPr>
                <w:noProof/>
                <w:webHidden/>
              </w:rPr>
              <w:tab/>
            </w:r>
            <w:r w:rsidR="00B4643E">
              <w:rPr>
                <w:noProof/>
                <w:webHidden/>
              </w:rPr>
              <w:fldChar w:fldCharType="begin"/>
            </w:r>
            <w:r w:rsidR="00B4643E">
              <w:rPr>
                <w:noProof/>
                <w:webHidden/>
              </w:rPr>
              <w:instrText xml:space="preserve"> PAGEREF _Toc203043655 \h </w:instrText>
            </w:r>
            <w:r w:rsidR="00B4643E">
              <w:rPr>
                <w:noProof/>
                <w:webHidden/>
              </w:rPr>
            </w:r>
            <w:r w:rsidR="00B4643E">
              <w:rPr>
                <w:noProof/>
                <w:webHidden/>
              </w:rPr>
              <w:fldChar w:fldCharType="separate"/>
            </w:r>
            <w:r w:rsidR="007722AE">
              <w:rPr>
                <w:noProof/>
                <w:webHidden/>
              </w:rPr>
              <w:t>49</w:t>
            </w:r>
            <w:r w:rsidR="00B4643E">
              <w:rPr>
                <w:noProof/>
                <w:webHidden/>
              </w:rPr>
              <w:fldChar w:fldCharType="end"/>
            </w:r>
          </w:hyperlink>
        </w:p>
        <w:p w14:paraId="2307EAE4" w14:textId="3F1468E4" w:rsidR="00B4643E" w:rsidRDefault="00620872">
          <w:pPr>
            <w:pStyle w:val="TOC1"/>
            <w:rPr>
              <w:rFonts w:asciiTheme="minorHAnsi" w:eastAsiaTheme="minorEastAsia" w:hAnsiTheme="minorHAnsi" w:cstheme="minorBidi"/>
              <w:caps w:val="0"/>
              <w:noProof/>
              <w:kern w:val="2"/>
              <w:sz w:val="24"/>
              <w:szCs w:val="24"/>
              <w:lang w:val="en-US"/>
              <w14:ligatures w14:val="standardContextual"/>
            </w:rPr>
          </w:pPr>
          <w:hyperlink w:anchor="_Toc203043656" w:history="1">
            <w:r w:rsidR="00B4643E" w:rsidRPr="00117FCE">
              <w:rPr>
                <w:rStyle w:val="Hyperlink"/>
                <w:noProof/>
                <w:lang w:val="en-IE"/>
              </w:rPr>
              <w:t>9.</w:t>
            </w:r>
            <w:r w:rsidR="00B4643E">
              <w:rPr>
                <w:rFonts w:asciiTheme="minorHAnsi" w:eastAsiaTheme="minorEastAsia" w:hAnsiTheme="minorHAnsi" w:cstheme="minorBidi"/>
                <w:caps w:val="0"/>
                <w:noProof/>
                <w:kern w:val="2"/>
                <w:sz w:val="24"/>
                <w:szCs w:val="24"/>
                <w:lang w:val="en-US"/>
                <w14:ligatures w14:val="standardContextual"/>
              </w:rPr>
              <w:tab/>
            </w:r>
            <w:r w:rsidR="00B4643E" w:rsidRPr="00117FCE">
              <w:rPr>
                <w:rStyle w:val="Hyperlink"/>
                <w:noProof/>
                <w:lang w:val="en-IE"/>
              </w:rPr>
              <w:t>How will actual impacts be monitored and evaluated?</w:t>
            </w:r>
            <w:r w:rsidR="00B4643E">
              <w:rPr>
                <w:noProof/>
                <w:webHidden/>
              </w:rPr>
              <w:tab/>
            </w:r>
            <w:r w:rsidR="00B4643E">
              <w:rPr>
                <w:noProof/>
                <w:webHidden/>
              </w:rPr>
              <w:fldChar w:fldCharType="begin"/>
            </w:r>
            <w:r w:rsidR="00B4643E">
              <w:rPr>
                <w:noProof/>
                <w:webHidden/>
              </w:rPr>
              <w:instrText xml:space="preserve"> PAGEREF _Toc203043656 \h </w:instrText>
            </w:r>
            <w:r w:rsidR="00B4643E">
              <w:rPr>
                <w:noProof/>
                <w:webHidden/>
              </w:rPr>
            </w:r>
            <w:r w:rsidR="00B4643E">
              <w:rPr>
                <w:noProof/>
                <w:webHidden/>
              </w:rPr>
              <w:fldChar w:fldCharType="separate"/>
            </w:r>
            <w:r w:rsidR="007722AE">
              <w:rPr>
                <w:noProof/>
                <w:webHidden/>
              </w:rPr>
              <w:t>49</w:t>
            </w:r>
            <w:r w:rsidR="00B4643E">
              <w:rPr>
                <w:noProof/>
                <w:webHidden/>
              </w:rPr>
              <w:fldChar w:fldCharType="end"/>
            </w:r>
          </w:hyperlink>
        </w:p>
        <w:p w14:paraId="01CAF750" w14:textId="26E83F0D" w:rsidR="00B4643E" w:rsidRDefault="00620872">
          <w:pPr>
            <w:pStyle w:val="TOC2"/>
            <w:rPr>
              <w:rFonts w:asciiTheme="minorHAnsi" w:eastAsiaTheme="minorEastAsia" w:hAnsiTheme="minorHAnsi" w:cstheme="minorBidi"/>
              <w:noProof/>
              <w:kern w:val="2"/>
              <w:szCs w:val="24"/>
              <w:lang w:val="en-US"/>
              <w14:ligatures w14:val="standardContextual"/>
            </w:rPr>
          </w:pPr>
          <w:hyperlink w:anchor="_Toc203043657" w:history="1">
            <w:r w:rsidR="00B4643E" w:rsidRPr="00117FCE">
              <w:rPr>
                <w:rStyle w:val="Hyperlink"/>
                <w:noProof/>
                <w:lang w:val="en-US"/>
              </w:rPr>
              <w:t>Annex 1: Procedural Information</w:t>
            </w:r>
            <w:r w:rsidR="00B4643E">
              <w:rPr>
                <w:noProof/>
                <w:webHidden/>
              </w:rPr>
              <w:tab/>
            </w:r>
            <w:r w:rsidR="00B4643E">
              <w:rPr>
                <w:noProof/>
                <w:webHidden/>
              </w:rPr>
              <w:fldChar w:fldCharType="begin"/>
            </w:r>
            <w:r w:rsidR="00B4643E">
              <w:rPr>
                <w:noProof/>
                <w:webHidden/>
              </w:rPr>
              <w:instrText xml:space="preserve"> PAGEREF _Toc203043657 \h </w:instrText>
            </w:r>
            <w:r w:rsidR="00B4643E">
              <w:rPr>
                <w:noProof/>
                <w:webHidden/>
              </w:rPr>
            </w:r>
            <w:r w:rsidR="00B4643E">
              <w:rPr>
                <w:noProof/>
                <w:webHidden/>
              </w:rPr>
              <w:fldChar w:fldCharType="separate"/>
            </w:r>
            <w:r w:rsidR="007722AE">
              <w:rPr>
                <w:noProof/>
                <w:webHidden/>
              </w:rPr>
              <w:t>50</w:t>
            </w:r>
            <w:r w:rsidR="00B4643E">
              <w:rPr>
                <w:noProof/>
                <w:webHidden/>
              </w:rPr>
              <w:fldChar w:fldCharType="end"/>
            </w:r>
          </w:hyperlink>
        </w:p>
        <w:p w14:paraId="627E5A4E" w14:textId="242B8A0F" w:rsidR="00B4643E" w:rsidRDefault="00620872">
          <w:pPr>
            <w:pStyle w:val="TOC2"/>
            <w:rPr>
              <w:rFonts w:asciiTheme="minorHAnsi" w:eastAsiaTheme="minorEastAsia" w:hAnsiTheme="minorHAnsi" w:cstheme="minorBidi"/>
              <w:noProof/>
              <w:kern w:val="2"/>
              <w:szCs w:val="24"/>
              <w:lang w:val="en-US"/>
              <w14:ligatures w14:val="standardContextual"/>
            </w:rPr>
          </w:pPr>
          <w:hyperlink w:anchor="_Toc203043658" w:history="1">
            <w:r w:rsidR="00B4643E" w:rsidRPr="00117FCE">
              <w:rPr>
                <w:rStyle w:val="Hyperlink"/>
                <w:rFonts w:eastAsia="MS Mincho"/>
                <w:noProof/>
                <w:lang w:val="en-IE"/>
              </w:rPr>
              <w:t>Annex 2: Stakeholder consultation (Synopsis report)</w:t>
            </w:r>
            <w:r w:rsidR="00B4643E">
              <w:rPr>
                <w:noProof/>
                <w:webHidden/>
              </w:rPr>
              <w:tab/>
            </w:r>
            <w:r w:rsidR="00B4643E">
              <w:rPr>
                <w:noProof/>
                <w:webHidden/>
              </w:rPr>
              <w:fldChar w:fldCharType="begin"/>
            </w:r>
            <w:r w:rsidR="00B4643E">
              <w:rPr>
                <w:noProof/>
                <w:webHidden/>
              </w:rPr>
              <w:instrText xml:space="preserve"> PAGEREF _Toc203043658 \h </w:instrText>
            </w:r>
            <w:r w:rsidR="00B4643E">
              <w:rPr>
                <w:noProof/>
                <w:webHidden/>
              </w:rPr>
            </w:r>
            <w:r w:rsidR="00B4643E">
              <w:rPr>
                <w:noProof/>
                <w:webHidden/>
              </w:rPr>
              <w:fldChar w:fldCharType="separate"/>
            </w:r>
            <w:r w:rsidR="007722AE">
              <w:rPr>
                <w:noProof/>
                <w:webHidden/>
              </w:rPr>
              <w:t>57</w:t>
            </w:r>
            <w:r w:rsidR="00B4643E">
              <w:rPr>
                <w:noProof/>
                <w:webHidden/>
              </w:rPr>
              <w:fldChar w:fldCharType="end"/>
            </w:r>
          </w:hyperlink>
        </w:p>
        <w:p w14:paraId="245B3C8E" w14:textId="2992CEA6" w:rsidR="00B4643E" w:rsidRDefault="00620872">
          <w:pPr>
            <w:pStyle w:val="TOC2"/>
            <w:rPr>
              <w:rFonts w:asciiTheme="minorHAnsi" w:eastAsiaTheme="minorEastAsia" w:hAnsiTheme="minorHAnsi" w:cstheme="minorBidi"/>
              <w:noProof/>
              <w:kern w:val="2"/>
              <w:szCs w:val="24"/>
              <w:lang w:val="en-US"/>
              <w14:ligatures w14:val="standardContextual"/>
            </w:rPr>
          </w:pPr>
          <w:hyperlink w:anchor="_Toc203043659" w:history="1">
            <w:r w:rsidR="00B4643E" w:rsidRPr="00117FCE">
              <w:rPr>
                <w:rStyle w:val="Hyperlink"/>
                <w:noProof/>
                <w:lang w:val="en-IE"/>
              </w:rPr>
              <w:t>Annex 3: Who is affected and how?</w:t>
            </w:r>
            <w:r w:rsidR="00B4643E">
              <w:rPr>
                <w:noProof/>
                <w:webHidden/>
              </w:rPr>
              <w:tab/>
            </w:r>
            <w:r w:rsidR="00B4643E">
              <w:rPr>
                <w:noProof/>
                <w:webHidden/>
              </w:rPr>
              <w:fldChar w:fldCharType="begin"/>
            </w:r>
            <w:r w:rsidR="00B4643E">
              <w:rPr>
                <w:noProof/>
                <w:webHidden/>
              </w:rPr>
              <w:instrText xml:space="preserve"> PAGEREF _Toc203043659 \h </w:instrText>
            </w:r>
            <w:r w:rsidR="00B4643E">
              <w:rPr>
                <w:noProof/>
                <w:webHidden/>
              </w:rPr>
            </w:r>
            <w:r w:rsidR="00B4643E">
              <w:rPr>
                <w:noProof/>
                <w:webHidden/>
              </w:rPr>
              <w:fldChar w:fldCharType="separate"/>
            </w:r>
            <w:r w:rsidR="007722AE">
              <w:rPr>
                <w:noProof/>
                <w:webHidden/>
              </w:rPr>
              <w:t>72</w:t>
            </w:r>
            <w:r w:rsidR="00B4643E">
              <w:rPr>
                <w:noProof/>
                <w:webHidden/>
              </w:rPr>
              <w:fldChar w:fldCharType="end"/>
            </w:r>
          </w:hyperlink>
        </w:p>
        <w:p w14:paraId="5B2ED260" w14:textId="484CBDAB" w:rsidR="00B4643E" w:rsidRDefault="00620872">
          <w:pPr>
            <w:pStyle w:val="TOC2"/>
            <w:rPr>
              <w:rFonts w:asciiTheme="minorHAnsi" w:eastAsiaTheme="minorEastAsia" w:hAnsiTheme="minorHAnsi" w:cstheme="minorBidi"/>
              <w:noProof/>
              <w:kern w:val="2"/>
              <w:szCs w:val="24"/>
              <w:lang w:val="en-US"/>
              <w14:ligatures w14:val="standardContextual"/>
            </w:rPr>
          </w:pPr>
          <w:hyperlink w:anchor="_Toc203043660" w:history="1">
            <w:r w:rsidR="00B4643E" w:rsidRPr="00117FCE">
              <w:rPr>
                <w:rStyle w:val="Hyperlink"/>
                <w:noProof/>
                <w:lang w:val="en-IE"/>
              </w:rPr>
              <w:t>Annex 4: Analytical Methods</w:t>
            </w:r>
            <w:r w:rsidR="00B4643E">
              <w:rPr>
                <w:noProof/>
                <w:webHidden/>
              </w:rPr>
              <w:tab/>
            </w:r>
            <w:r w:rsidR="00B4643E">
              <w:rPr>
                <w:noProof/>
                <w:webHidden/>
              </w:rPr>
              <w:fldChar w:fldCharType="begin"/>
            </w:r>
            <w:r w:rsidR="00B4643E">
              <w:rPr>
                <w:noProof/>
                <w:webHidden/>
              </w:rPr>
              <w:instrText xml:space="preserve"> PAGEREF _Toc203043660 \h </w:instrText>
            </w:r>
            <w:r w:rsidR="00B4643E">
              <w:rPr>
                <w:noProof/>
                <w:webHidden/>
              </w:rPr>
            </w:r>
            <w:r w:rsidR="00B4643E">
              <w:rPr>
                <w:noProof/>
                <w:webHidden/>
              </w:rPr>
              <w:fldChar w:fldCharType="separate"/>
            </w:r>
            <w:r w:rsidR="007722AE">
              <w:rPr>
                <w:noProof/>
                <w:webHidden/>
              </w:rPr>
              <w:t>77</w:t>
            </w:r>
            <w:r w:rsidR="00B4643E">
              <w:rPr>
                <w:noProof/>
                <w:webHidden/>
              </w:rPr>
              <w:fldChar w:fldCharType="end"/>
            </w:r>
          </w:hyperlink>
        </w:p>
        <w:p w14:paraId="2E498EF5" w14:textId="1B69E802" w:rsidR="00B4643E" w:rsidRDefault="00620872">
          <w:pPr>
            <w:pStyle w:val="TOC2"/>
            <w:rPr>
              <w:rFonts w:asciiTheme="minorHAnsi" w:eastAsiaTheme="minorEastAsia" w:hAnsiTheme="minorHAnsi" w:cstheme="minorBidi"/>
              <w:noProof/>
              <w:kern w:val="2"/>
              <w:szCs w:val="24"/>
              <w:lang w:val="en-US"/>
              <w14:ligatures w14:val="standardContextual"/>
            </w:rPr>
          </w:pPr>
          <w:hyperlink w:anchor="_Toc203043661" w:history="1">
            <w:r w:rsidR="00B4643E" w:rsidRPr="00117FCE">
              <w:rPr>
                <w:rStyle w:val="Hyperlink"/>
                <w:noProof/>
                <w:lang w:val="en-IE"/>
              </w:rPr>
              <w:t>Annex 5: Competitiveness check</w:t>
            </w:r>
            <w:r w:rsidR="00B4643E">
              <w:rPr>
                <w:noProof/>
                <w:webHidden/>
              </w:rPr>
              <w:tab/>
            </w:r>
            <w:r w:rsidR="00B4643E">
              <w:rPr>
                <w:noProof/>
                <w:webHidden/>
              </w:rPr>
              <w:fldChar w:fldCharType="begin"/>
            </w:r>
            <w:r w:rsidR="00B4643E">
              <w:rPr>
                <w:noProof/>
                <w:webHidden/>
              </w:rPr>
              <w:instrText xml:space="preserve"> PAGEREF _Toc203043661 \h </w:instrText>
            </w:r>
            <w:r w:rsidR="00B4643E">
              <w:rPr>
                <w:noProof/>
                <w:webHidden/>
              </w:rPr>
            </w:r>
            <w:r w:rsidR="00B4643E">
              <w:rPr>
                <w:noProof/>
                <w:webHidden/>
              </w:rPr>
              <w:fldChar w:fldCharType="separate"/>
            </w:r>
            <w:r w:rsidR="007722AE">
              <w:rPr>
                <w:noProof/>
                <w:webHidden/>
              </w:rPr>
              <w:t>81</w:t>
            </w:r>
            <w:r w:rsidR="00B4643E">
              <w:rPr>
                <w:noProof/>
                <w:webHidden/>
              </w:rPr>
              <w:fldChar w:fldCharType="end"/>
            </w:r>
          </w:hyperlink>
        </w:p>
        <w:p w14:paraId="56FE1DED" w14:textId="2DC66756" w:rsidR="00B4643E" w:rsidRDefault="00620872">
          <w:pPr>
            <w:pStyle w:val="TOC2"/>
            <w:rPr>
              <w:rFonts w:asciiTheme="minorHAnsi" w:eastAsiaTheme="minorEastAsia" w:hAnsiTheme="minorHAnsi" w:cstheme="minorBidi"/>
              <w:noProof/>
              <w:kern w:val="2"/>
              <w:szCs w:val="24"/>
              <w:lang w:val="en-US"/>
              <w14:ligatures w14:val="standardContextual"/>
            </w:rPr>
          </w:pPr>
          <w:hyperlink w:anchor="_Toc203043662" w:history="1">
            <w:r w:rsidR="00B4643E" w:rsidRPr="00117FCE">
              <w:rPr>
                <w:rStyle w:val="Hyperlink"/>
                <w:noProof/>
              </w:rPr>
              <w:t>Annex 6: SME check</w:t>
            </w:r>
            <w:r w:rsidR="00B4643E">
              <w:rPr>
                <w:noProof/>
                <w:webHidden/>
              </w:rPr>
              <w:tab/>
            </w:r>
            <w:r w:rsidR="00B4643E">
              <w:rPr>
                <w:noProof/>
                <w:webHidden/>
              </w:rPr>
              <w:fldChar w:fldCharType="begin"/>
            </w:r>
            <w:r w:rsidR="00B4643E">
              <w:rPr>
                <w:noProof/>
                <w:webHidden/>
              </w:rPr>
              <w:instrText xml:space="preserve"> PAGEREF _Toc203043662 \h </w:instrText>
            </w:r>
            <w:r w:rsidR="00B4643E">
              <w:rPr>
                <w:noProof/>
                <w:webHidden/>
              </w:rPr>
            </w:r>
            <w:r w:rsidR="00B4643E">
              <w:rPr>
                <w:noProof/>
                <w:webHidden/>
              </w:rPr>
              <w:fldChar w:fldCharType="separate"/>
            </w:r>
            <w:r w:rsidR="007722AE">
              <w:rPr>
                <w:noProof/>
                <w:webHidden/>
              </w:rPr>
              <w:t>83</w:t>
            </w:r>
            <w:r w:rsidR="00B4643E">
              <w:rPr>
                <w:noProof/>
                <w:webHidden/>
              </w:rPr>
              <w:fldChar w:fldCharType="end"/>
            </w:r>
          </w:hyperlink>
        </w:p>
        <w:p w14:paraId="6DCEED87" w14:textId="07A01272" w:rsidR="00B4643E" w:rsidRDefault="00620872">
          <w:pPr>
            <w:pStyle w:val="TOC2"/>
            <w:rPr>
              <w:rFonts w:asciiTheme="minorHAnsi" w:eastAsiaTheme="minorEastAsia" w:hAnsiTheme="minorHAnsi" w:cstheme="minorBidi"/>
              <w:noProof/>
              <w:kern w:val="2"/>
              <w:szCs w:val="24"/>
              <w:lang w:val="en-US"/>
              <w14:ligatures w14:val="standardContextual"/>
            </w:rPr>
          </w:pPr>
          <w:hyperlink w:anchor="_Toc203043663" w:history="1">
            <w:r w:rsidR="00B4643E" w:rsidRPr="00117FCE">
              <w:rPr>
                <w:rStyle w:val="Hyperlink"/>
                <w:noProof/>
              </w:rPr>
              <w:t>Annex 7: Synergies between Horizon Europe and other EU programmes</w:t>
            </w:r>
            <w:r w:rsidR="00B4643E">
              <w:rPr>
                <w:noProof/>
                <w:webHidden/>
              </w:rPr>
              <w:tab/>
            </w:r>
            <w:r w:rsidR="00B4643E">
              <w:rPr>
                <w:noProof/>
                <w:webHidden/>
              </w:rPr>
              <w:fldChar w:fldCharType="begin"/>
            </w:r>
            <w:r w:rsidR="00B4643E">
              <w:rPr>
                <w:noProof/>
                <w:webHidden/>
              </w:rPr>
              <w:instrText xml:space="preserve"> PAGEREF _Toc203043663 \h </w:instrText>
            </w:r>
            <w:r w:rsidR="00B4643E">
              <w:rPr>
                <w:noProof/>
                <w:webHidden/>
              </w:rPr>
            </w:r>
            <w:r w:rsidR="00B4643E">
              <w:rPr>
                <w:noProof/>
                <w:webHidden/>
              </w:rPr>
              <w:fldChar w:fldCharType="separate"/>
            </w:r>
            <w:r w:rsidR="007722AE">
              <w:rPr>
                <w:noProof/>
                <w:webHidden/>
              </w:rPr>
              <w:t>87</w:t>
            </w:r>
            <w:r w:rsidR="00B4643E">
              <w:rPr>
                <w:noProof/>
                <w:webHidden/>
              </w:rPr>
              <w:fldChar w:fldCharType="end"/>
            </w:r>
          </w:hyperlink>
        </w:p>
        <w:p w14:paraId="367B4B7B" w14:textId="78020DFF" w:rsidR="00B4643E" w:rsidRDefault="00620872">
          <w:pPr>
            <w:pStyle w:val="TOC2"/>
            <w:rPr>
              <w:rFonts w:asciiTheme="minorHAnsi" w:eastAsiaTheme="minorEastAsia" w:hAnsiTheme="minorHAnsi" w:cstheme="minorBidi"/>
              <w:noProof/>
              <w:kern w:val="2"/>
              <w:szCs w:val="24"/>
              <w:lang w:val="en-US"/>
              <w14:ligatures w14:val="standardContextual"/>
            </w:rPr>
          </w:pPr>
          <w:hyperlink w:anchor="_Toc203043664" w:history="1">
            <w:r w:rsidR="00B4643E" w:rsidRPr="00117FCE">
              <w:rPr>
                <w:rStyle w:val="Hyperlink"/>
                <w:noProof/>
              </w:rPr>
              <w:t>Annex 8: Summary of the 14 programmes under scope</w:t>
            </w:r>
            <w:r w:rsidR="00B4643E">
              <w:rPr>
                <w:noProof/>
                <w:webHidden/>
              </w:rPr>
              <w:tab/>
            </w:r>
            <w:r w:rsidR="00B4643E">
              <w:rPr>
                <w:noProof/>
                <w:webHidden/>
              </w:rPr>
              <w:fldChar w:fldCharType="begin"/>
            </w:r>
            <w:r w:rsidR="00B4643E">
              <w:rPr>
                <w:noProof/>
                <w:webHidden/>
              </w:rPr>
              <w:instrText xml:space="preserve"> PAGEREF _Toc203043664 \h </w:instrText>
            </w:r>
            <w:r w:rsidR="00B4643E">
              <w:rPr>
                <w:noProof/>
                <w:webHidden/>
              </w:rPr>
            </w:r>
            <w:r w:rsidR="00B4643E">
              <w:rPr>
                <w:noProof/>
                <w:webHidden/>
              </w:rPr>
              <w:fldChar w:fldCharType="separate"/>
            </w:r>
            <w:r w:rsidR="007722AE">
              <w:rPr>
                <w:noProof/>
                <w:webHidden/>
              </w:rPr>
              <w:t>88</w:t>
            </w:r>
            <w:r w:rsidR="00B4643E">
              <w:rPr>
                <w:noProof/>
                <w:webHidden/>
              </w:rPr>
              <w:fldChar w:fldCharType="end"/>
            </w:r>
          </w:hyperlink>
        </w:p>
        <w:p w14:paraId="330B75D7" w14:textId="0842CE5F" w:rsidR="00B4643E" w:rsidRDefault="00620872">
          <w:pPr>
            <w:pStyle w:val="TOC2"/>
            <w:rPr>
              <w:rFonts w:asciiTheme="minorHAnsi" w:eastAsiaTheme="minorEastAsia" w:hAnsiTheme="minorHAnsi" w:cstheme="minorBidi"/>
              <w:noProof/>
              <w:kern w:val="2"/>
              <w:szCs w:val="24"/>
              <w:lang w:val="en-US"/>
              <w14:ligatures w14:val="standardContextual"/>
            </w:rPr>
          </w:pPr>
          <w:hyperlink w:anchor="_Toc203043665" w:history="1">
            <w:r w:rsidR="00B4643E" w:rsidRPr="00117FCE">
              <w:rPr>
                <w:rStyle w:val="Hyperlink"/>
                <w:noProof/>
              </w:rPr>
              <w:t>Annex 9:</w:t>
            </w:r>
            <w:r w:rsidR="00B4643E" w:rsidRPr="00117FCE">
              <w:rPr>
                <w:rStyle w:val="Hyperlink"/>
                <w:bCs/>
                <w:smallCaps/>
                <w:noProof/>
              </w:rPr>
              <w:t xml:space="preserve"> </w:t>
            </w:r>
            <w:r w:rsidR="00B4643E" w:rsidRPr="00117FCE">
              <w:rPr>
                <w:rStyle w:val="Hyperlink"/>
                <w:noProof/>
              </w:rPr>
              <w:t>Overview of the current time to inform and time to grant per programme</w:t>
            </w:r>
            <w:r w:rsidR="00B4643E">
              <w:rPr>
                <w:noProof/>
                <w:webHidden/>
              </w:rPr>
              <w:tab/>
            </w:r>
            <w:r w:rsidR="00B4643E">
              <w:rPr>
                <w:noProof/>
                <w:webHidden/>
              </w:rPr>
              <w:fldChar w:fldCharType="begin"/>
            </w:r>
            <w:r w:rsidR="00B4643E">
              <w:rPr>
                <w:noProof/>
                <w:webHidden/>
              </w:rPr>
              <w:instrText xml:space="preserve"> PAGEREF _Toc203043665 \h </w:instrText>
            </w:r>
            <w:r w:rsidR="00B4643E">
              <w:rPr>
                <w:noProof/>
                <w:webHidden/>
              </w:rPr>
            </w:r>
            <w:r w:rsidR="00B4643E">
              <w:rPr>
                <w:noProof/>
                <w:webHidden/>
              </w:rPr>
              <w:fldChar w:fldCharType="separate"/>
            </w:r>
            <w:r w:rsidR="007722AE">
              <w:rPr>
                <w:noProof/>
                <w:webHidden/>
              </w:rPr>
              <w:t>109</w:t>
            </w:r>
            <w:r w:rsidR="00B4643E">
              <w:rPr>
                <w:noProof/>
                <w:webHidden/>
              </w:rPr>
              <w:fldChar w:fldCharType="end"/>
            </w:r>
          </w:hyperlink>
        </w:p>
        <w:p w14:paraId="4D77578F" w14:textId="59B48FDF" w:rsidR="00947EDC" w:rsidRPr="009952CF" w:rsidRDefault="00605B96">
          <w:pPr>
            <w:rPr>
              <w:noProof/>
              <w:lang w:val="en-IE"/>
            </w:rPr>
          </w:pPr>
          <w:r>
            <w:rPr>
              <w:b/>
              <w:bCs/>
              <w:noProof/>
              <w:lang w:val="en-IE"/>
            </w:rPr>
            <w:fldChar w:fldCharType="end"/>
          </w:r>
        </w:p>
      </w:sdtContent>
    </w:sdt>
    <w:p w14:paraId="1AB99A8F" w14:textId="22733EF2" w:rsidR="001B0161" w:rsidRPr="007E33D2" w:rsidRDefault="001B0161">
      <w:pPr>
        <w:spacing w:after="200" w:line="276" w:lineRule="auto"/>
        <w:jc w:val="left"/>
        <w:rPr>
          <w:noProof/>
          <w:lang w:val="en-IE"/>
        </w:rPr>
      </w:pPr>
    </w:p>
    <w:p w14:paraId="654D69F1" w14:textId="77777777" w:rsidR="00121D11" w:rsidRDefault="00121D11" w:rsidP="00D5076A">
      <w:pPr>
        <w:spacing w:before="0" w:line="279" w:lineRule="auto"/>
        <w:jc w:val="center"/>
        <w:rPr>
          <w:rFonts w:eastAsia="Times New Roman"/>
          <w:b/>
          <w:bCs/>
          <w:noProof/>
          <w:lang w:eastAsia="ja-JP"/>
        </w:rPr>
      </w:pPr>
    </w:p>
    <w:p w14:paraId="60F0BE5B" w14:textId="78A17689" w:rsidR="00D5076A" w:rsidRPr="00D5076A" w:rsidRDefault="00D5076A" w:rsidP="00603157">
      <w:pPr>
        <w:spacing w:before="0"/>
        <w:jc w:val="center"/>
        <w:rPr>
          <w:rFonts w:ascii="Aptos" w:eastAsia="MS Mincho" w:hAnsi="Aptos" w:cs="Arial"/>
          <w:noProof/>
          <w:lang w:val="en-US" w:eastAsia="ja-JP"/>
        </w:rPr>
      </w:pPr>
      <w:r w:rsidRPr="00D5076A">
        <w:rPr>
          <w:rFonts w:eastAsia="Times New Roman"/>
          <w:b/>
          <w:bCs/>
          <w:noProof/>
          <w:lang w:eastAsia="ja-JP"/>
        </w:rPr>
        <w:t>Abbreviations</w:t>
      </w:r>
    </w:p>
    <w:tbl>
      <w:tblPr>
        <w:tblStyle w:val="TableGrid10"/>
        <w:tblW w:w="9067" w:type="dxa"/>
        <w:tblLook w:val="04A0" w:firstRow="1" w:lastRow="0" w:firstColumn="1" w:lastColumn="0" w:noHBand="0" w:noVBand="1"/>
      </w:tblPr>
      <w:tblGrid>
        <w:gridCol w:w="2405"/>
        <w:gridCol w:w="6662"/>
      </w:tblGrid>
      <w:tr w:rsidR="00D5076A" w:rsidRPr="00D5076A" w14:paraId="629538B6" w14:textId="77777777" w:rsidTr="00FF392A">
        <w:trPr>
          <w:trHeight w:val="300"/>
          <w:tblHeader/>
        </w:trPr>
        <w:tc>
          <w:tcPr>
            <w:tcW w:w="2405" w:type="dxa"/>
            <w:noWrap/>
          </w:tcPr>
          <w:p w14:paraId="0EC388E5" w14:textId="77777777" w:rsidR="00D5076A" w:rsidRPr="00D5076A" w:rsidRDefault="00D5076A" w:rsidP="00603157">
            <w:pPr>
              <w:spacing w:before="0" w:after="0"/>
              <w:jc w:val="center"/>
              <w:rPr>
                <w:bCs/>
                <w:i/>
                <w:iCs/>
                <w:noProof/>
                <w:color w:val="000000"/>
                <w:sz w:val="20"/>
                <w:szCs w:val="20"/>
              </w:rPr>
            </w:pPr>
            <w:r w:rsidRPr="00D5076A">
              <w:rPr>
                <w:bCs/>
                <w:i/>
                <w:iCs/>
                <w:noProof/>
                <w:color w:val="000000"/>
                <w:sz w:val="20"/>
                <w:szCs w:val="20"/>
              </w:rPr>
              <w:t>Acronym / Abbreviation</w:t>
            </w:r>
          </w:p>
        </w:tc>
        <w:tc>
          <w:tcPr>
            <w:tcW w:w="6662" w:type="dxa"/>
            <w:noWrap/>
          </w:tcPr>
          <w:p w14:paraId="7E6778E1" w14:textId="77777777" w:rsidR="00D5076A" w:rsidRPr="00D5076A" w:rsidRDefault="00D5076A" w:rsidP="00603157">
            <w:pPr>
              <w:spacing w:before="0" w:after="0"/>
              <w:jc w:val="center"/>
              <w:rPr>
                <w:bCs/>
                <w:i/>
                <w:iCs/>
                <w:noProof/>
                <w:color w:val="000000"/>
                <w:sz w:val="20"/>
                <w:szCs w:val="20"/>
              </w:rPr>
            </w:pPr>
            <w:r w:rsidRPr="00D5076A">
              <w:rPr>
                <w:bCs/>
                <w:i/>
                <w:iCs/>
                <w:noProof/>
                <w:color w:val="000000"/>
                <w:sz w:val="20"/>
                <w:szCs w:val="20"/>
              </w:rPr>
              <w:t>Explanation</w:t>
            </w:r>
          </w:p>
        </w:tc>
      </w:tr>
      <w:tr w:rsidR="00D5076A" w:rsidRPr="00D5076A" w14:paraId="090C5E58" w14:textId="77777777" w:rsidTr="00FF392A">
        <w:trPr>
          <w:trHeight w:val="300"/>
        </w:trPr>
        <w:tc>
          <w:tcPr>
            <w:tcW w:w="2405" w:type="dxa"/>
            <w:noWrap/>
            <w:hideMark/>
          </w:tcPr>
          <w:p w14:paraId="11AD8A64"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AI</w:t>
            </w:r>
          </w:p>
        </w:tc>
        <w:tc>
          <w:tcPr>
            <w:tcW w:w="6662" w:type="dxa"/>
            <w:noWrap/>
            <w:hideMark/>
          </w:tcPr>
          <w:p w14:paraId="49A2E3DC"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Artificial intelligence</w:t>
            </w:r>
          </w:p>
        </w:tc>
      </w:tr>
      <w:tr w:rsidR="00D5076A" w:rsidRPr="00D5076A" w14:paraId="6ED639CE" w14:textId="77777777" w:rsidTr="00FF392A">
        <w:trPr>
          <w:trHeight w:val="300"/>
        </w:trPr>
        <w:tc>
          <w:tcPr>
            <w:tcW w:w="2405" w:type="dxa"/>
            <w:noWrap/>
            <w:hideMark/>
          </w:tcPr>
          <w:p w14:paraId="3A8C0D44"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ASAP</w:t>
            </w:r>
          </w:p>
        </w:tc>
        <w:tc>
          <w:tcPr>
            <w:tcW w:w="6662" w:type="dxa"/>
            <w:noWrap/>
            <w:hideMark/>
          </w:tcPr>
          <w:p w14:paraId="29E5C57E"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Act on Supporting Ammunition Production</w:t>
            </w:r>
          </w:p>
        </w:tc>
      </w:tr>
      <w:tr w:rsidR="00D5076A" w:rsidRPr="00D5076A" w14:paraId="31CE9FA5" w14:textId="77777777" w:rsidTr="00FF392A">
        <w:trPr>
          <w:trHeight w:val="300"/>
        </w:trPr>
        <w:tc>
          <w:tcPr>
            <w:tcW w:w="2405" w:type="dxa"/>
            <w:noWrap/>
            <w:hideMark/>
          </w:tcPr>
          <w:p w14:paraId="2B74752B"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CAPEX</w:t>
            </w:r>
          </w:p>
        </w:tc>
        <w:tc>
          <w:tcPr>
            <w:tcW w:w="6662" w:type="dxa"/>
            <w:noWrap/>
            <w:hideMark/>
          </w:tcPr>
          <w:p w14:paraId="2DBFCAA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Capital expenditure</w:t>
            </w:r>
          </w:p>
        </w:tc>
      </w:tr>
      <w:tr w:rsidR="00D5076A" w:rsidRPr="00D5076A" w14:paraId="5FD9842D" w14:textId="77777777" w:rsidTr="00FF392A">
        <w:trPr>
          <w:trHeight w:val="300"/>
        </w:trPr>
        <w:tc>
          <w:tcPr>
            <w:tcW w:w="2405" w:type="dxa"/>
            <w:noWrap/>
            <w:hideMark/>
          </w:tcPr>
          <w:p w14:paraId="5ECF4625"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CBA</w:t>
            </w:r>
          </w:p>
        </w:tc>
        <w:tc>
          <w:tcPr>
            <w:tcW w:w="6662" w:type="dxa"/>
            <w:noWrap/>
            <w:hideMark/>
          </w:tcPr>
          <w:p w14:paraId="50C2E50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Cost-benefit analysis</w:t>
            </w:r>
          </w:p>
        </w:tc>
      </w:tr>
      <w:tr w:rsidR="00D5076A" w:rsidRPr="00D5076A" w14:paraId="624C26EE" w14:textId="77777777" w:rsidTr="00FF392A">
        <w:trPr>
          <w:trHeight w:val="300"/>
        </w:trPr>
        <w:tc>
          <w:tcPr>
            <w:tcW w:w="2405" w:type="dxa"/>
            <w:noWrap/>
            <w:hideMark/>
          </w:tcPr>
          <w:p w14:paraId="36B0A07E"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CCS</w:t>
            </w:r>
          </w:p>
        </w:tc>
        <w:tc>
          <w:tcPr>
            <w:tcW w:w="6662" w:type="dxa"/>
            <w:noWrap/>
            <w:hideMark/>
          </w:tcPr>
          <w:p w14:paraId="3109DC1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Carbon capture and storage</w:t>
            </w:r>
          </w:p>
        </w:tc>
      </w:tr>
      <w:tr w:rsidR="00D5076A" w:rsidRPr="00D5076A" w14:paraId="0EA91BB8" w14:textId="77777777" w:rsidTr="00FF392A">
        <w:trPr>
          <w:trHeight w:val="300"/>
        </w:trPr>
        <w:tc>
          <w:tcPr>
            <w:tcW w:w="2405" w:type="dxa"/>
            <w:noWrap/>
            <w:hideMark/>
          </w:tcPr>
          <w:p w14:paraId="54DF22DD"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CEF</w:t>
            </w:r>
          </w:p>
        </w:tc>
        <w:tc>
          <w:tcPr>
            <w:tcW w:w="6662" w:type="dxa"/>
            <w:noWrap/>
            <w:hideMark/>
          </w:tcPr>
          <w:p w14:paraId="0F496B6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Connecting Europe Facility</w:t>
            </w:r>
          </w:p>
        </w:tc>
      </w:tr>
      <w:tr w:rsidR="00D5076A" w:rsidRPr="00D5076A" w14:paraId="28F6BE2D" w14:textId="77777777" w:rsidTr="00FF392A">
        <w:trPr>
          <w:trHeight w:val="300"/>
        </w:trPr>
        <w:tc>
          <w:tcPr>
            <w:tcW w:w="2405" w:type="dxa"/>
            <w:noWrap/>
            <w:hideMark/>
          </w:tcPr>
          <w:p w14:paraId="08990D28"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CINEA</w:t>
            </w:r>
          </w:p>
        </w:tc>
        <w:tc>
          <w:tcPr>
            <w:tcW w:w="6662" w:type="dxa"/>
            <w:noWrap/>
            <w:hideMark/>
          </w:tcPr>
          <w:p w14:paraId="729A6A8E"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Climate, Infrastructure and Environment Executive Agency</w:t>
            </w:r>
          </w:p>
        </w:tc>
      </w:tr>
      <w:tr w:rsidR="00D5076A" w:rsidRPr="00D5076A" w14:paraId="3AEE6D1E" w14:textId="77777777" w:rsidTr="00FF392A">
        <w:trPr>
          <w:trHeight w:val="300"/>
        </w:trPr>
        <w:tc>
          <w:tcPr>
            <w:tcW w:w="2405" w:type="dxa"/>
            <w:noWrap/>
            <w:hideMark/>
          </w:tcPr>
          <w:p w14:paraId="1CEA901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COMP (DG)</w:t>
            </w:r>
          </w:p>
        </w:tc>
        <w:tc>
          <w:tcPr>
            <w:tcW w:w="6662" w:type="dxa"/>
            <w:noWrap/>
            <w:hideMark/>
          </w:tcPr>
          <w:p w14:paraId="6DA7016C"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Competition</w:t>
            </w:r>
          </w:p>
        </w:tc>
      </w:tr>
      <w:tr w:rsidR="00D5076A" w:rsidRPr="00D5076A" w14:paraId="6688EEEB" w14:textId="77777777" w:rsidTr="00FF392A">
        <w:trPr>
          <w:trHeight w:val="300"/>
        </w:trPr>
        <w:tc>
          <w:tcPr>
            <w:tcW w:w="2405" w:type="dxa"/>
            <w:noWrap/>
            <w:hideMark/>
          </w:tcPr>
          <w:p w14:paraId="67DCEC7E"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COSME</w:t>
            </w:r>
          </w:p>
        </w:tc>
        <w:tc>
          <w:tcPr>
            <w:tcW w:w="6662" w:type="dxa"/>
            <w:noWrap/>
            <w:hideMark/>
          </w:tcPr>
          <w:p w14:paraId="21697A63"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Competitiveness of Enterprises and Small and Medium-sized Enterprises</w:t>
            </w:r>
          </w:p>
        </w:tc>
      </w:tr>
      <w:tr w:rsidR="00D5076A" w:rsidRPr="00D5076A" w14:paraId="45EE4187" w14:textId="77777777" w:rsidTr="00FF392A">
        <w:trPr>
          <w:trHeight w:val="300"/>
        </w:trPr>
        <w:tc>
          <w:tcPr>
            <w:tcW w:w="2405" w:type="dxa"/>
            <w:noWrap/>
            <w:hideMark/>
          </w:tcPr>
          <w:p w14:paraId="2E42AE19"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CPR</w:t>
            </w:r>
          </w:p>
        </w:tc>
        <w:tc>
          <w:tcPr>
            <w:tcW w:w="6662" w:type="dxa"/>
            <w:noWrap/>
            <w:hideMark/>
          </w:tcPr>
          <w:p w14:paraId="4F1DD12B"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Common Provisions Regulation</w:t>
            </w:r>
          </w:p>
        </w:tc>
      </w:tr>
      <w:tr w:rsidR="00D5076A" w:rsidRPr="00D5076A" w14:paraId="18133E76" w14:textId="77777777" w:rsidTr="00FF392A">
        <w:trPr>
          <w:trHeight w:val="300"/>
        </w:trPr>
        <w:tc>
          <w:tcPr>
            <w:tcW w:w="2405" w:type="dxa"/>
            <w:noWrap/>
            <w:hideMark/>
          </w:tcPr>
          <w:p w14:paraId="0C4DACB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DEFIS (DG)</w:t>
            </w:r>
          </w:p>
        </w:tc>
        <w:tc>
          <w:tcPr>
            <w:tcW w:w="6662" w:type="dxa"/>
            <w:noWrap/>
            <w:hideMark/>
          </w:tcPr>
          <w:p w14:paraId="1AE681EE"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Defence, Industry, and Space</w:t>
            </w:r>
          </w:p>
        </w:tc>
      </w:tr>
      <w:tr w:rsidR="00D5076A" w:rsidRPr="00D5076A" w14:paraId="436B9BD1" w14:textId="77777777" w:rsidTr="00FF392A">
        <w:trPr>
          <w:trHeight w:val="300"/>
        </w:trPr>
        <w:tc>
          <w:tcPr>
            <w:tcW w:w="2405" w:type="dxa"/>
            <w:noWrap/>
            <w:hideMark/>
          </w:tcPr>
          <w:p w14:paraId="354FF4C8"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DEP</w:t>
            </w:r>
          </w:p>
        </w:tc>
        <w:tc>
          <w:tcPr>
            <w:tcW w:w="6662" w:type="dxa"/>
            <w:noWrap/>
            <w:hideMark/>
          </w:tcPr>
          <w:p w14:paraId="576E742C"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Digital Europe Programme</w:t>
            </w:r>
          </w:p>
        </w:tc>
      </w:tr>
      <w:tr w:rsidR="00D5076A" w:rsidRPr="00D5076A" w14:paraId="1D1610F2" w14:textId="77777777" w:rsidTr="00FF392A">
        <w:trPr>
          <w:trHeight w:val="300"/>
        </w:trPr>
        <w:tc>
          <w:tcPr>
            <w:tcW w:w="2405" w:type="dxa"/>
            <w:noWrap/>
            <w:hideMark/>
          </w:tcPr>
          <w:p w14:paraId="124586FB"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DG </w:t>
            </w:r>
          </w:p>
        </w:tc>
        <w:tc>
          <w:tcPr>
            <w:tcW w:w="6662" w:type="dxa"/>
            <w:noWrap/>
            <w:hideMark/>
          </w:tcPr>
          <w:p w14:paraId="10580DCC"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Directorate-General</w:t>
            </w:r>
          </w:p>
        </w:tc>
      </w:tr>
      <w:tr w:rsidR="00D5076A" w:rsidRPr="00D5076A" w14:paraId="1C2B265C" w14:textId="77777777" w:rsidTr="00FF392A">
        <w:trPr>
          <w:trHeight w:val="300"/>
        </w:trPr>
        <w:tc>
          <w:tcPr>
            <w:tcW w:w="2405" w:type="dxa"/>
            <w:noWrap/>
            <w:hideMark/>
          </w:tcPr>
          <w:p w14:paraId="7294D27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DIGIT (DG)</w:t>
            </w:r>
          </w:p>
        </w:tc>
        <w:tc>
          <w:tcPr>
            <w:tcW w:w="6662" w:type="dxa"/>
            <w:noWrap/>
            <w:hideMark/>
          </w:tcPr>
          <w:p w14:paraId="525B85DC"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Digital Services</w:t>
            </w:r>
          </w:p>
        </w:tc>
      </w:tr>
      <w:tr w:rsidR="00D5076A" w:rsidRPr="00D5076A" w14:paraId="7F354B23" w14:textId="77777777" w:rsidTr="00FF392A">
        <w:trPr>
          <w:trHeight w:val="300"/>
        </w:trPr>
        <w:tc>
          <w:tcPr>
            <w:tcW w:w="2405" w:type="dxa"/>
            <w:noWrap/>
            <w:hideMark/>
          </w:tcPr>
          <w:p w14:paraId="3E6B5E4E"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EC</w:t>
            </w:r>
          </w:p>
        </w:tc>
        <w:tc>
          <w:tcPr>
            <w:tcW w:w="6662" w:type="dxa"/>
            <w:noWrap/>
            <w:hideMark/>
          </w:tcPr>
          <w:p w14:paraId="380DA9BB"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Commission</w:t>
            </w:r>
          </w:p>
        </w:tc>
      </w:tr>
      <w:tr w:rsidR="00D5076A" w:rsidRPr="00D5076A" w14:paraId="7F7DC492" w14:textId="77777777" w:rsidTr="00FF392A">
        <w:trPr>
          <w:trHeight w:val="300"/>
        </w:trPr>
        <w:tc>
          <w:tcPr>
            <w:tcW w:w="2405" w:type="dxa"/>
            <w:noWrap/>
            <w:hideMark/>
          </w:tcPr>
          <w:p w14:paraId="3A90869C"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ECA</w:t>
            </w:r>
          </w:p>
        </w:tc>
        <w:tc>
          <w:tcPr>
            <w:tcW w:w="6662" w:type="dxa"/>
            <w:noWrap/>
            <w:hideMark/>
          </w:tcPr>
          <w:p w14:paraId="5588E31D"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Court of Auditors</w:t>
            </w:r>
          </w:p>
        </w:tc>
      </w:tr>
      <w:tr w:rsidR="00D5076A" w:rsidRPr="00D5076A" w14:paraId="474D23F3" w14:textId="77777777" w:rsidTr="00FF392A">
        <w:trPr>
          <w:trHeight w:val="300"/>
        </w:trPr>
        <w:tc>
          <w:tcPr>
            <w:tcW w:w="2405" w:type="dxa"/>
            <w:noWrap/>
            <w:hideMark/>
          </w:tcPr>
          <w:p w14:paraId="16EB0A9B"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ECF</w:t>
            </w:r>
          </w:p>
        </w:tc>
        <w:tc>
          <w:tcPr>
            <w:tcW w:w="6662" w:type="dxa"/>
            <w:noWrap/>
            <w:hideMark/>
          </w:tcPr>
          <w:p w14:paraId="52028FA2"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Competitiveness Fund</w:t>
            </w:r>
          </w:p>
        </w:tc>
      </w:tr>
      <w:tr w:rsidR="00D5076A" w:rsidRPr="00D5076A" w14:paraId="44A3E235" w14:textId="77777777" w:rsidTr="00FF392A">
        <w:trPr>
          <w:trHeight w:val="300"/>
        </w:trPr>
        <w:tc>
          <w:tcPr>
            <w:tcW w:w="2405" w:type="dxa"/>
            <w:noWrap/>
            <w:hideMark/>
          </w:tcPr>
          <w:p w14:paraId="756902E8"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EDF</w:t>
            </w:r>
          </w:p>
        </w:tc>
        <w:tc>
          <w:tcPr>
            <w:tcW w:w="6662" w:type="dxa"/>
            <w:noWrap/>
            <w:hideMark/>
          </w:tcPr>
          <w:p w14:paraId="58A1721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Defence Fund</w:t>
            </w:r>
          </w:p>
        </w:tc>
      </w:tr>
      <w:tr w:rsidR="00D5076A" w:rsidRPr="00D5076A" w14:paraId="647E4674" w14:textId="77777777" w:rsidTr="00FF392A">
        <w:trPr>
          <w:trHeight w:val="300"/>
        </w:trPr>
        <w:tc>
          <w:tcPr>
            <w:tcW w:w="2405" w:type="dxa"/>
            <w:noWrap/>
            <w:hideMark/>
          </w:tcPr>
          <w:p w14:paraId="5E29E803"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EDIP</w:t>
            </w:r>
          </w:p>
        </w:tc>
        <w:tc>
          <w:tcPr>
            <w:tcW w:w="6662" w:type="dxa"/>
            <w:noWrap/>
            <w:hideMark/>
          </w:tcPr>
          <w:p w14:paraId="08B6B65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Defence Industry Programme</w:t>
            </w:r>
          </w:p>
        </w:tc>
      </w:tr>
      <w:tr w:rsidR="00D5076A" w:rsidRPr="00D5076A" w14:paraId="2446DD94" w14:textId="77777777" w:rsidTr="00FF392A">
        <w:trPr>
          <w:trHeight w:val="300"/>
        </w:trPr>
        <w:tc>
          <w:tcPr>
            <w:tcW w:w="2405" w:type="dxa"/>
            <w:noWrap/>
            <w:hideMark/>
          </w:tcPr>
          <w:p w14:paraId="5B61ACF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EDIRPA</w:t>
            </w:r>
          </w:p>
        </w:tc>
        <w:tc>
          <w:tcPr>
            <w:tcW w:w="6662" w:type="dxa"/>
            <w:noWrap/>
            <w:hideMark/>
          </w:tcPr>
          <w:p w14:paraId="4D35CEA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defence industry reinforcement through common procurement act</w:t>
            </w:r>
          </w:p>
        </w:tc>
      </w:tr>
      <w:tr w:rsidR="00D5076A" w:rsidRPr="00D5076A" w14:paraId="432F1AA2" w14:textId="77777777" w:rsidTr="00FF392A">
        <w:trPr>
          <w:trHeight w:val="300"/>
        </w:trPr>
        <w:tc>
          <w:tcPr>
            <w:tcW w:w="2405" w:type="dxa"/>
            <w:noWrap/>
            <w:hideMark/>
          </w:tcPr>
          <w:p w14:paraId="4DAF2D9D"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EDTIB</w:t>
            </w:r>
          </w:p>
        </w:tc>
        <w:tc>
          <w:tcPr>
            <w:tcW w:w="6662" w:type="dxa"/>
            <w:noWrap/>
            <w:hideMark/>
          </w:tcPr>
          <w:p w14:paraId="5475B86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Defence Technological and Industrial Base</w:t>
            </w:r>
          </w:p>
        </w:tc>
      </w:tr>
      <w:tr w:rsidR="00D5076A" w:rsidRPr="00D5076A" w14:paraId="19A95B32" w14:textId="77777777" w:rsidTr="00FF392A">
        <w:trPr>
          <w:trHeight w:val="300"/>
        </w:trPr>
        <w:tc>
          <w:tcPr>
            <w:tcW w:w="2405" w:type="dxa"/>
            <w:noWrap/>
            <w:hideMark/>
          </w:tcPr>
          <w:p w14:paraId="011D97F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EFG</w:t>
            </w:r>
          </w:p>
        </w:tc>
        <w:tc>
          <w:tcPr>
            <w:tcW w:w="6662" w:type="dxa"/>
            <w:noWrap/>
            <w:hideMark/>
          </w:tcPr>
          <w:p w14:paraId="675A98EB"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Equity Facility for Growth</w:t>
            </w:r>
          </w:p>
        </w:tc>
      </w:tr>
      <w:tr w:rsidR="00D5076A" w:rsidRPr="00D5076A" w14:paraId="76D05396" w14:textId="77777777" w:rsidTr="00FF392A">
        <w:trPr>
          <w:trHeight w:val="300"/>
        </w:trPr>
        <w:tc>
          <w:tcPr>
            <w:tcW w:w="2405" w:type="dxa"/>
            <w:noWrap/>
            <w:hideMark/>
          </w:tcPr>
          <w:p w14:paraId="111C5AB8"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EFSI</w:t>
            </w:r>
          </w:p>
        </w:tc>
        <w:tc>
          <w:tcPr>
            <w:tcW w:w="6662" w:type="dxa"/>
            <w:noWrap/>
            <w:hideMark/>
          </w:tcPr>
          <w:p w14:paraId="07D0F84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Fund for Strategic Investments</w:t>
            </w:r>
          </w:p>
        </w:tc>
      </w:tr>
      <w:tr w:rsidR="00D5076A" w:rsidRPr="00D5076A" w14:paraId="72773045" w14:textId="77777777" w:rsidTr="00FF392A">
        <w:trPr>
          <w:trHeight w:val="300"/>
        </w:trPr>
        <w:tc>
          <w:tcPr>
            <w:tcW w:w="2405" w:type="dxa"/>
            <w:noWrap/>
            <w:hideMark/>
          </w:tcPr>
          <w:p w14:paraId="3123A55E"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EIB</w:t>
            </w:r>
          </w:p>
        </w:tc>
        <w:tc>
          <w:tcPr>
            <w:tcW w:w="6662" w:type="dxa"/>
            <w:noWrap/>
            <w:hideMark/>
          </w:tcPr>
          <w:p w14:paraId="3F8BD50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Investment Bank</w:t>
            </w:r>
          </w:p>
        </w:tc>
      </w:tr>
      <w:tr w:rsidR="00D5076A" w:rsidRPr="00D5076A" w14:paraId="7AA90D14" w14:textId="77777777" w:rsidTr="00FF392A">
        <w:trPr>
          <w:trHeight w:val="300"/>
        </w:trPr>
        <w:tc>
          <w:tcPr>
            <w:tcW w:w="2405" w:type="dxa"/>
            <w:noWrap/>
            <w:hideMark/>
          </w:tcPr>
          <w:p w14:paraId="6183CE03"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EIC</w:t>
            </w:r>
          </w:p>
        </w:tc>
        <w:tc>
          <w:tcPr>
            <w:tcW w:w="6662" w:type="dxa"/>
            <w:noWrap/>
            <w:hideMark/>
          </w:tcPr>
          <w:p w14:paraId="1883282D"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Innovation Council</w:t>
            </w:r>
          </w:p>
        </w:tc>
      </w:tr>
      <w:tr w:rsidR="00D5076A" w:rsidRPr="00D5076A" w14:paraId="5B2F58B4" w14:textId="77777777" w:rsidTr="00FF392A">
        <w:trPr>
          <w:trHeight w:val="300"/>
        </w:trPr>
        <w:tc>
          <w:tcPr>
            <w:tcW w:w="2405" w:type="dxa"/>
            <w:noWrap/>
            <w:hideMark/>
          </w:tcPr>
          <w:p w14:paraId="4267A416"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EIF</w:t>
            </w:r>
          </w:p>
        </w:tc>
        <w:tc>
          <w:tcPr>
            <w:tcW w:w="6662" w:type="dxa"/>
            <w:noWrap/>
            <w:hideMark/>
          </w:tcPr>
          <w:p w14:paraId="1D0EC885"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Investment Fund</w:t>
            </w:r>
          </w:p>
        </w:tc>
      </w:tr>
      <w:tr w:rsidR="00D5076A" w:rsidRPr="00D5076A" w14:paraId="76639CEA" w14:textId="77777777" w:rsidTr="00FF392A">
        <w:trPr>
          <w:trHeight w:val="300"/>
        </w:trPr>
        <w:tc>
          <w:tcPr>
            <w:tcW w:w="2405" w:type="dxa"/>
            <w:noWrap/>
            <w:hideMark/>
          </w:tcPr>
          <w:p w14:paraId="426AC8A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ELENA</w:t>
            </w:r>
          </w:p>
        </w:tc>
        <w:tc>
          <w:tcPr>
            <w:tcW w:w="6662" w:type="dxa"/>
            <w:noWrap/>
            <w:hideMark/>
          </w:tcPr>
          <w:p w14:paraId="15A1AC8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Local Energy Assistance</w:t>
            </w:r>
          </w:p>
        </w:tc>
      </w:tr>
      <w:tr w:rsidR="00D5076A" w:rsidRPr="00D5076A" w14:paraId="47044B8C" w14:textId="77777777" w:rsidTr="00FF392A">
        <w:trPr>
          <w:trHeight w:val="300"/>
        </w:trPr>
        <w:tc>
          <w:tcPr>
            <w:tcW w:w="2405" w:type="dxa"/>
            <w:noWrap/>
            <w:hideMark/>
          </w:tcPr>
          <w:p w14:paraId="6687A4DB"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ERC</w:t>
            </w:r>
          </w:p>
        </w:tc>
        <w:tc>
          <w:tcPr>
            <w:tcW w:w="6662" w:type="dxa"/>
            <w:noWrap/>
            <w:hideMark/>
          </w:tcPr>
          <w:p w14:paraId="7CCC5C77"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Research Council</w:t>
            </w:r>
          </w:p>
        </w:tc>
      </w:tr>
      <w:tr w:rsidR="00D5076A" w:rsidRPr="00D5076A" w14:paraId="48A959EC" w14:textId="77777777" w:rsidTr="00FF392A">
        <w:trPr>
          <w:trHeight w:val="300"/>
        </w:trPr>
        <w:tc>
          <w:tcPr>
            <w:tcW w:w="2405" w:type="dxa"/>
            <w:noWrap/>
            <w:hideMark/>
          </w:tcPr>
          <w:p w14:paraId="0AD31FB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ERDF</w:t>
            </w:r>
          </w:p>
        </w:tc>
        <w:tc>
          <w:tcPr>
            <w:tcW w:w="6662" w:type="dxa"/>
            <w:noWrap/>
            <w:hideMark/>
          </w:tcPr>
          <w:p w14:paraId="6073770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Regional Development Fund</w:t>
            </w:r>
          </w:p>
        </w:tc>
      </w:tr>
      <w:tr w:rsidR="00D5076A" w:rsidRPr="00D5076A" w14:paraId="7BD076BF" w14:textId="77777777" w:rsidTr="00FF392A">
        <w:trPr>
          <w:trHeight w:val="300"/>
        </w:trPr>
        <w:tc>
          <w:tcPr>
            <w:tcW w:w="2405" w:type="dxa"/>
            <w:noWrap/>
            <w:hideMark/>
          </w:tcPr>
          <w:p w14:paraId="23EB968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ESA</w:t>
            </w:r>
          </w:p>
        </w:tc>
        <w:tc>
          <w:tcPr>
            <w:tcW w:w="6662" w:type="dxa"/>
            <w:noWrap/>
            <w:hideMark/>
          </w:tcPr>
          <w:p w14:paraId="1FFB03E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Space Agency</w:t>
            </w:r>
          </w:p>
        </w:tc>
      </w:tr>
      <w:tr w:rsidR="00D5076A" w:rsidRPr="00D5076A" w14:paraId="15B6AF86" w14:textId="77777777" w:rsidTr="00FF392A">
        <w:trPr>
          <w:trHeight w:val="300"/>
        </w:trPr>
        <w:tc>
          <w:tcPr>
            <w:tcW w:w="2405" w:type="dxa"/>
            <w:noWrap/>
            <w:hideMark/>
          </w:tcPr>
          <w:p w14:paraId="07687D7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w:t>
            </w:r>
          </w:p>
        </w:tc>
        <w:tc>
          <w:tcPr>
            <w:tcW w:w="6662" w:type="dxa"/>
            <w:noWrap/>
            <w:hideMark/>
          </w:tcPr>
          <w:p w14:paraId="4EA11BDC"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Union</w:t>
            </w:r>
          </w:p>
        </w:tc>
      </w:tr>
      <w:tr w:rsidR="00D5076A" w:rsidRPr="00D5076A" w14:paraId="1EC96F5B" w14:textId="77777777" w:rsidTr="00FF392A">
        <w:trPr>
          <w:trHeight w:val="300"/>
        </w:trPr>
        <w:tc>
          <w:tcPr>
            <w:tcW w:w="2405" w:type="dxa"/>
            <w:noWrap/>
            <w:hideMark/>
          </w:tcPr>
          <w:p w14:paraId="1C787109"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EUDIS</w:t>
            </w:r>
          </w:p>
        </w:tc>
        <w:tc>
          <w:tcPr>
            <w:tcW w:w="6662" w:type="dxa"/>
            <w:noWrap/>
            <w:hideMark/>
          </w:tcPr>
          <w:p w14:paraId="5395397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 Defence Innovation Scheme</w:t>
            </w:r>
          </w:p>
        </w:tc>
      </w:tr>
      <w:tr w:rsidR="00D5076A" w:rsidRPr="00D5076A" w14:paraId="4D8E09B7" w14:textId="77777777" w:rsidTr="00FF392A">
        <w:trPr>
          <w:trHeight w:val="300"/>
        </w:trPr>
        <w:tc>
          <w:tcPr>
            <w:tcW w:w="2405" w:type="dxa"/>
            <w:noWrap/>
            <w:hideMark/>
          </w:tcPr>
          <w:p w14:paraId="30C1BE97"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FISMA (DG)</w:t>
            </w:r>
          </w:p>
        </w:tc>
        <w:tc>
          <w:tcPr>
            <w:tcW w:w="6662" w:type="dxa"/>
            <w:noWrap/>
            <w:hideMark/>
          </w:tcPr>
          <w:p w14:paraId="13B97A1B"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Financial Stability, Financial Services and Capital Markets Union</w:t>
            </w:r>
          </w:p>
        </w:tc>
      </w:tr>
      <w:tr w:rsidR="00D5076A" w:rsidRPr="00D5076A" w14:paraId="3583F58C" w14:textId="77777777" w:rsidTr="00FF392A">
        <w:trPr>
          <w:trHeight w:val="300"/>
        </w:trPr>
        <w:tc>
          <w:tcPr>
            <w:tcW w:w="2405" w:type="dxa"/>
            <w:noWrap/>
            <w:hideMark/>
          </w:tcPr>
          <w:p w14:paraId="5D179C4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FP</w:t>
            </w:r>
          </w:p>
        </w:tc>
        <w:tc>
          <w:tcPr>
            <w:tcW w:w="6662" w:type="dxa"/>
            <w:noWrap/>
            <w:hideMark/>
          </w:tcPr>
          <w:p w14:paraId="6DD23D3B"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Framework Programme</w:t>
            </w:r>
          </w:p>
        </w:tc>
      </w:tr>
      <w:tr w:rsidR="00D5076A" w:rsidRPr="00D5076A" w14:paraId="32C1A2AB" w14:textId="77777777" w:rsidTr="00FF392A">
        <w:trPr>
          <w:trHeight w:val="300"/>
        </w:trPr>
        <w:tc>
          <w:tcPr>
            <w:tcW w:w="2405" w:type="dxa"/>
            <w:noWrap/>
            <w:hideMark/>
          </w:tcPr>
          <w:p w14:paraId="226FD21B"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GDP</w:t>
            </w:r>
          </w:p>
        </w:tc>
        <w:tc>
          <w:tcPr>
            <w:tcW w:w="6662" w:type="dxa"/>
            <w:noWrap/>
            <w:hideMark/>
          </w:tcPr>
          <w:p w14:paraId="36DC0BE8"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Gross Domestic Product</w:t>
            </w:r>
          </w:p>
        </w:tc>
      </w:tr>
      <w:tr w:rsidR="00D5076A" w:rsidRPr="00D5076A" w14:paraId="7F51B435" w14:textId="77777777" w:rsidTr="00FF392A">
        <w:trPr>
          <w:trHeight w:val="300"/>
        </w:trPr>
        <w:tc>
          <w:tcPr>
            <w:tcW w:w="2405" w:type="dxa"/>
            <w:noWrap/>
            <w:hideMark/>
          </w:tcPr>
          <w:p w14:paraId="498A365D"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GROW (DG)</w:t>
            </w:r>
          </w:p>
        </w:tc>
        <w:tc>
          <w:tcPr>
            <w:tcW w:w="6662" w:type="dxa"/>
            <w:noWrap/>
            <w:hideMark/>
          </w:tcPr>
          <w:p w14:paraId="5654691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Internal Market, Industry, Entrepreneurship and SMEs</w:t>
            </w:r>
          </w:p>
        </w:tc>
      </w:tr>
      <w:tr w:rsidR="00D5076A" w:rsidRPr="00D5076A" w14:paraId="5981FBA6" w14:textId="77777777" w:rsidTr="00FF392A">
        <w:trPr>
          <w:trHeight w:val="300"/>
        </w:trPr>
        <w:tc>
          <w:tcPr>
            <w:tcW w:w="2405" w:type="dxa"/>
            <w:noWrap/>
            <w:hideMark/>
          </w:tcPr>
          <w:p w14:paraId="7C7B4F4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HADEA</w:t>
            </w:r>
          </w:p>
        </w:tc>
        <w:tc>
          <w:tcPr>
            <w:tcW w:w="6662" w:type="dxa"/>
            <w:noWrap/>
            <w:hideMark/>
          </w:tcPr>
          <w:p w14:paraId="219E85DC"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Health and Digital Executive Agency</w:t>
            </w:r>
          </w:p>
        </w:tc>
      </w:tr>
      <w:tr w:rsidR="00D5076A" w:rsidRPr="00D5076A" w14:paraId="51FDB790" w14:textId="77777777" w:rsidTr="00FF392A">
        <w:trPr>
          <w:trHeight w:val="300"/>
        </w:trPr>
        <w:tc>
          <w:tcPr>
            <w:tcW w:w="2405" w:type="dxa"/>
            <w:noWrap/>
            <w:hideMark/>
          </w:tcPr>
          <w:p w14:paraId="6A9FE804"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HE</w:t>
            </w:r>
          </w:p>
        </w:tc>
        <w:tc>
          <w:tcPr>
            <w:tcW w:w="6662" w:type="dxa"/>
            <w:noWrap/>
            <w:hideMark/>
          </w:tcPr>
          <w:p w14:paraId="1394E40E"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Horizon Europe</w:t>
            </w:r>
          </w:p>
        </w:tc>
      </w:tr>
      <w:tr w:rsidR="00D5076A" w:rsidRPr="00D5076A" w14:paraId="20C60CAA" w14:textId="77777777" w:rsidTr="00FF392A">
        <w:trPr>
          <w:trHeight w:val="300"/>
        </w:trPr>
        <w:tc>
          <w:tcPr>
            <w:tcW w:w="2405" w:type="dxa"/>
            <w:noWrap/>
            <w:hideMark/>
          </w:tcPr>
          <w:p w14:paraId="0D77FE49"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HOME (DG)</w:t>
            </w:r>
          </w:p>
        </w:tc>
        <w:tc>
          <w:tcPr>
            <w:tcW w:w="6662" w:type="dxa"/>
            <w:noWrap/>
            <w:hideMark/>
          </w:tcPr>
          <w:p w14:paraId="4F62EA5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Migration and Home Affairs</w:t>
            </w:r>
          </w:p>
        </w:tc>
      </w:tr>
      <w:tr w:rsidR="00D5076A" w:rsidRPr="00D5076A" w14:paraId="04BF25BB" w14:textId="77777777" w:rsidTr="00FF392A">
        <w:trPr>
          <w:trHeight w:val="300"/>
        </w:trPr>
        <w:tc>
          <w:tcPr>
            <w:tcW w:w="2405" w:type="dxa"/>
            <w:noWrap/>
            <w:hideMark/>
          </w:tcPr>
          <w:p w14:paraId="68E09A8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IA</w:t>
            </w:r>
          </w:p>
        </w:tc>
        <w:tc>
          <w:tcPr>
            <w:tcW w:w="6662" w:type="dxa"/>
            <w:noWrap/>
            <w:hideMark/>
          </w:tcPr>
          <w:p w14:paraId="0B959699"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Impact Assessment</w:t>
            </w:r>
          </w:p>
        </w:tc>
      </w:tr>
      <w:tr w:rsidR="00D5076A" w:rsidRPr="00D5076A" w14:paraId="311170F1" w14:textId="77777777" w:rsidTr="00FF392A">
        <w:trPr>
          <w:trHeight w:val="300"/>
        </w:trPr>
        <w:tc>
          <w:tcPr>
            <w:tcW w:w="2405" w:type="dxa"/>
            <w:noWrap/>
            <w:hideMark/>
          </w:tcPr>
          <w:p w14:paraId="3417289D"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ICT</w:t>
            </w:r>
          </w:p>
        </w:tc>
        <w:tc>
          <w:tcPr>
            <w:tcW w:w="6662" w:type="dxa"/>
            <w:noWrap/>
            <w:hideMark/>
          </w:tcPr>
          <w:p w14:paraId="777DD2EB"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Information and communication technologies</w:t>
            </w:r>
          </w:p>
        </w:tc>
      </w:tr>
      <w:tr w:rsidR="00D5076A" w:rsidRPr="00D5076A" w14:paraId="3B017859" w14:textId="77777777" w:rsidTr="00FF392A">
        <w:trPr>
          <w:trHeight w:val="300"/>
        </w:trPr>
        <w:tc>
          <w:tcPr>
            <w:tcW w:w="2405" w:type="dxa"/>
            <w:noWrap/>
            <w:hideMark/>
          </w:tcPr>
          <w:p w14:paraId="052692DD"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lastRenderedPageBreak/>
              <w:t>IEA</w:t>
            </w:r>
          </w:p>
        </w:tc>
        <w:tc>
          <w:tcPr>
            <w:tcW w:w="6662" w:type="dxa"/>
            <w:noWrap/>
            <w:hideMark/>
          </w:tcPr>
          <w:p w14:paraId="33DCDC7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International Energy Agency</w:t>
            </w:r>
          </w:p>
        </w:tc>
      </w:tr>
      <w:tr w:rsidR="00D5076A" w:rsidRPr="00D5076A" w14:paraId="3196C038" w14:textId="77777777" w:rsidTr="00FF392A">
        <w:trPr>
          <w:trHeight w:val="300"/>
        </w:trPr>
        <w:tc>
          <w:tcPr>
            <w:tcW w:w="2405" w:type="dxa"/>
            <w:noWrap/>
            <w:hideMark/>
          </w:tcPr>
          <w:p w14:paraId="4272C8F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IF</w:t>
            </w:r>
          </w:p>
        </w:tc>
        <w:tc>
          <w:tcPr>
            <w:tcW w:w="6662" w:type="dxa"/>
            <w:noWrap/>
            <w:hideMark/>
          </w:tcPr>
          <w:p w14:paraId="4895B03C"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Innovation Fund</w:t>
            </w:r>
          </w:p>
        </w:tc>
      </w:tr>
      <w:tr w:rsidR="00D5076A" w:rsidRPr="00D5076A" w14:paraId="02EC75DD" w14:textId="77777777" w:rsidTr="00FF392A">
        <w:trPr>
          <w:trHeight w:val="300"/>
        </w:trPr>
        <w:tc>
          <w:tcPr>
            <w:tcW w:w="2405" w:type="dxa"/>
            <w:noWrap/>
            <w:hideMark/>
          </w:tcPr>
          <w:p w14:paraId="7F58F6B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INTPA (DG)</w:t>
            </w:r>
          </w:p>
        </w:tc>
        <w:tc>
          <w:tcPr>
            <w:tcW w:w="6662" w:type="dxa"/>
            <w:noWrap/>
            <w:hideMark/>
          </w:tcPr>
          <w:p w14:paraId="12FCAFA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International Partnerships</w:t>
            </w:r>
          </w:p>
        </w:tc>
      </w:tr>
      <w:tr w:rsidR="00D5076A" w:rsidRPr="00D5076A" w14:paraId="0F025F49" w14:textId="77777777" w:rsidTr="00FF392A">
        <w:trPr>
          <w:trHeight w:val="300"/>
        </w:trPr>
        <w:tc>
          <w:tcPr>
            <w:tcW w:w="2405" w:type="dxa"/>
            <w:noWrap/>
            <w:hideMark/>
          </w:tcPr>
          <w:p w14:paraId="447255FC"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IP</w:t>
            </w:r>
          </w:p>
        </w:tc>
        <w:tc>
          <w:tcPr>
            <w:tcW w:w="6662" w:type="dxa"/>
            <w:noWrap/>
            <w:hideMark/>
          </w:tcPr>
          <w:p w14:paraId="71596EF3"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Intellectual property</w:t>
            </w:r>
          </w:p>
        </w:tc>
      </w:tr>
      <w:tr w:rsidR="00D5076A" w:rsidRPr="00D5076A" w14:paraId="7F7B9CA5" w14:textId="77777777" w:rsidTr="00FF392A">
        <w:trPr>
          <w:trHeight w:val="300"/>
        </w:trPr>
        <w:tc>
          <w:tcPr>
            <w:tcW w:w="2405" w:type="dxa"/>
            <w:noWrap/>
            <w:hideMark/>
          </w:tcPr>
          <w:p w14:paraId="690E227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IPCEI</w:t>
            </w:r>
          </w:p>
        </w:tc>
        <w:tc>
          <w:tcPr>
            <w:tcW w:w="6662" w:type="dxa"/>
            <w:noWrap/>
            <w:hideMark/>
          </w:tcPr>
          <w:p w14:paraId="5E4E5E1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Important Project of Common European Interest</w:t>
            </w:r>
          </w:p>
        </w:tc>
      </w:tr>
      <w:tr w:rsidR="00D5076A" w:rsidRPr="00D5076A" w14:paraId="4C73A4B1" w14:textId="77777777" w:rsidTr="00FF392A">
        <w:trPr>
          <w:trHeight w:val="300"/>
        </w:trPr>
        <w:tc>
          <w:tcPr>
            <w:tcW w:w="2405" w:type="dxa"/>
            <w:noWrap/>
            <w:hideMark/>
          </w:tcPr>
          <w:p w14:paraId="44356A6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IRIS²</w:t>
            </w:r>
          </w:p>
        </w:tc>
        <w:tc>
          <w:tcPr>
            <w:tcW w:w="6662" w:type="dxa"/>
            <w:noWrap/>
            <w:hideMark/>
          </w:tcPr>
          <w:p w14:paraId="504043BE"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Infrastructure for Resilience, Interconnectivity and Security by Satellite</w:t>
            </w:r>
          </w:p>
        </w:tc>
      </w:tr>
      <w:tr w:rsidR="00D5076A" w:rsidRPr="00D5076A" w14:paraId="2AB996ED" w14:textId="77777777" w:rsidTr="00FF392A">
        <w:trPr>
          <w:trHeight w:val="300"/>
        </w:trPr>
        <w:tc>
          <w:tcPr>
            <w:tcW w:w="2405" w:type="dxa"/>
            <w:noWrap/>
            <w:hideMark/>
          </w:tcPr>
          <w:p w14:paraId="0B81FDE2"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ISSG</w:t>
            </w:r>
          </w:p>
        </w:tc>
        <w:tc>
          <w:tcPr>
            <w:tcW w:w="6662" w:type="dxa"/>
            <w:noWrap/>
            <w:hideMark/>
          </w:tcPr>
          <w:p w14:paraId="14F589F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Interservice Steering Group</w:t>
            </w:r>
          </w:p>
        </w:tc>
      </w:tr>
      <w:tr w:rsidR="00D5076A" w:rsidRPr="00D5076A" w14:paraId="4C5B642B" w14:textId="77777777" w:rsidTr="00FF392A">
        <w:trPr>
          <w:trHeight w:val="300"/>
        </w:trPr>
        <w:tc>
          <w:tcPr>
            <w:tcW w:w="2405" w:type="dxa"/>
            <w:noWrap/>
            <w:hideMark/>
          </w:tcPr>
          <w:p w14:paraId="2CDFDAA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JASPERS</w:t>
            </w:r>
          </w:p>
        </w:tc>
        <w:tc>
          <w:tcPr>
            <w:tcW w:w="6662" w:type="dxa"/>
            <w:noWrap/>
            <w:hideMark/>
          </w:tcPr>
          <w:p w14:paraId="22D47A0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Joint Assistance to Support Projects in European Regions</w:t>
            </w:r>
          </w:p>
        </w:tc>
      </w:tr>
      <w:tr w:rsidR="00D5076A" w:rsidRPr="00D5076A" w14:paraId="6C7460C8" w14:textId="77777777" w:rsidTr="00FF392A">
        <w:trPr>
          <w:trHeight w:val="300"/>
        </w:trPr>
        <w:tc>
          <w:tcPr>
            <w:tcW w:w="2405" w:type="dxa"/>
            <w:noWrap/>
            <w:hideMark/>
          </w:tcPr>
          <w:p w14:paraId="691EB3D7"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JRC</w:t>
            </w:r>
          </w:p>
        </w:tc>
        <w:tc>
          <w:tcPr>
            <w:tcW w:w="6662" w:type="dxa"/>
            <w:noWrap/>
            <w:hideMark/>
          </w:tcPr>
          <w:p w14:paraId="59E6205C"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Joint Research Centre</w:t>
            </w:r>
          </w:p>
        </w:tc>
      </w:tr>
      <w:tr w:rsidR="00D5076A" w:rsidRPr="00D5076A" w14:paraId="70AB53CC" w14:textId="77777777" w:rsidTr="00FF392A">
        <w:trPr>
          <w:trHeight w:val="300"/>
        </w:trPr>
        <w:tc>
          <w:tcPr>
            <w:tcW w:w="2405" w:type="dxa"/>
            <w:noWrap/>
            <w:hideMark/>
          </w:tcPr>
          <w:p w14:paraId="47B1C00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JU</w:t>
            </w:r>
          </w:p>
        </w:tc>
        <w:tc>
          <w:tcPr>
            <w:tcW w:w="6662" w:type="dxa"/>
            <w:noWrap/>
            <w:hideMark/>
          </w:tcPr>
          <w:p w14:paraId="0921CC67"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Joint Undertaking</w:t>
            </w:r>
          </w:p>
        </w:tc>
      </w:tr>
      <w:tr w:rsidR="00D5076A" w:rsidRPr="00D5076A" w14:paraId="7D95A696" w14:textId="77777777" w:rsidTr="00FF392A">
        <w:trPr>
          <w:trHeight w:val="300"/>
        </w:trPr>
        <w:tc>
          <w:tcPr>
            <w:tcW w:w="2405" w:type="dxa"/>
            <w:noWrap/>
            <w:hideMark/>
          </w:tcPr>
          <w:p w14:paraId="77BAA4C7"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JUST (DG)</w:t>
            </w:r>
          </w:p>
        </w:tc>
        <w:tc>
          <w:tcPr>
            <w:tcW w:w="6662" w:type="dxa"/>
            <w:noWrap/>
            <w:hideMark/>
          </w:tcPr>
          <w:p w14:paraId="4E50673E"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Justice and Consumers</w:t>
            </w:r>
          </w:p>
        </w:tc>
      </w:tr>
      <w:tr w:rsidR="00D5076A" w:rsidRPr="00D5076A" w14:paraId="19A7986A" w14:textId="77777777" w:rsidTr="00FF392A">
        <w:trPr>
          <w:trHeight w:val="300"/>
        </w:trPr>
        <w:tc>
          <w:tcPr>
            <w:tcW w:w="2405" w:type="dxa"/>
            <w:noWrap/>
            <w:hideMark/>
          </w:tcPr>
          <w:p w14:paraId="2D0470E2"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LIFE</w:t>
            </w:r>
          </w:p>
        </w:tc>
        <w:tc>
          <w:tcPr>
            <w:tcW w:w="6662" w:type="dxa"/>
            <w:noWrap/>
            <w:hideMark/>
          </w:tcPr>
          <w:p w14:paraId="1E6B68FE"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Programme for the Environment and Climate Action</w:t>
            </w:r>
          </w:p>
        </w:tc>
      </w:tr>
      <w:tr w:rsidR="00D5076A" w:rsidRPr="00D5076A" w14:paraId="1841E89F" w14:textId="77777777" w:rsidTr="00FF392A">
        <w:trPr>
          <w:trHeight w:val="300"/>
        </w:trPr>
        <w:tc>
          <w:tcPr>
            <w:tcW w:w="2405" w:type="dxa"/>
            <w:noWrap/>
            <w:hideMark/>
          </w:tcPr>
          <w:p w14:paraId="4D8EE09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LLM</w:t>
            </w:r>
          </w:p>
        </w:tc>
        <w:tc>
          <w:tcPr>
            <w:tcW w:w="6662" w:type="dxa"/>
            <w:noWrap/>
            <w:hideMark/>
          </w:tcPr>
          <w:p w14:paraId="7D49EE24"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Large language model</w:t>
            </w:r>
          </w:p>
        </w:tc>
      </w:tr>
      <w:tr w:rsidR="00D5076A" w:rsidRPr="00D5076A" w14:paraId="1874F1FE" w14:textId="77777777" w:rsidTr="00FF392A">
        <w:trPr>
          <w:trHeight w:val="300"/>
        </w:trPr>
        <w:tc>
          <w:tcPr>
            <w:tcW w:w="2405" w:type="dxa"/>
            <w:noWrap/>
            <w:hideMark/>
          </w:tcPr>
          <w:p w14:paraId="3385D3E2"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MARE (DG)</w:t>
            </w:r>
          </w:p>
        </w:tc>
        <w:tc>
          <w:tcPr>
            <w:tcW w:w="6662" w:type="dxa"/>
            <w:noWrap/>
            <w:hideMark/>
          </w:tcPr>
          <w:p w14:paraId="301E60D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Maritime Affairs and Fisheries</w:t>
            </w:r>
          </w:p>
        </w:tc>
      </w:tr>
      <w:tr w:rsidR="00D5076A" w:rsidRPr="00D5076A" w14:paraId="35A7D0AD" w14:textId="77777777" w:rsidTr="00FF392A">
        <w:trPr>
          <w:trHeight w:val="300"/>
        </w:trPr>
        <w:tc>
          <w:tcPr>
            <w:tcW w:w="2405" w:type="dxa"/>
            <w:noWrap/>
            <w:hideMark/>
          </w:tcPr>
          <w:p w14:paraId="59745C5D"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MFF</w:t>
            </w:r>
          </w:p>
        </w:tc>
        <w:tc>
          <w:tcPr>
            <w:tcW w:w="6662" w:type="dxa"/>
            <w:noWrap/>
            <w:hideMark/>
          </w:tcPr>
          <w:p w14:paraId="6008336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Multiannual Financial Framework</w:t>
            </w:r>
          </w:p>
        </w:tc>
      </w:tr>
      <w:tr w:rsidR="00D5076A" w:rsidRPr="00D5076A" w14:paraId="11C23942" w14:textId="77777777" w:rsidTr="00FF392A">
        <w:trPr>
          <w:trHeight w:val="300"/>
        </w:trPr>
        <w:tc>
          <w:tcPr>
            <w:tcW w:w="2405" w:type="dxa"/>
            <w:noWrap/>
            <w:hideMark/>
          </w:tcPr>
          <w:p w14:paraId="01FD5EC8"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MSCA</w:t>
            </w:r>
          </w:p>
        </w:tc>
        <w:tc>
          <w:tcPr>
            <w:tcW w:w="6662" w:type="dxa"/>
            <w:noWrap/>
            <w:hideMark/>
          </w:tcPr>
          <w:p w14:paraId="7029E1A4"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Marie Skłodowska-Curie Actions</w:t>
            </w:r>
          </w:p>
        </w:tc>
      </w:tr>
      <w:tr w:rsidR="00D5076A" w:rsidRPr="00D5076A" w14:paraId="7C85F78D" w14:textId="77777777" w:rsidTr="00FF392A">
        <w:trPr>
          <w:trHeight w:val="300"/>
        </w:trPr>
        <w:tc>
          <w:tcPr>
            <w:tcW w:w="2405" w:type="dxa"/>
            <w:noWrap/>
            <w:hideMark/>
          </w:tcPr>
          <w:p w14:paraId="5EB4BE5D"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OECD</w:t>
            </w:r>
          </w:p>
        </w:tc>
        <w:tc>
          <w:tcPr>
            <w:tcW w:w="6662" w:type="dxa"/>
            <w:noWrap/>
            <w:hideMark/>
          </w:tcPr>
          <w:p w14:paraId="56F7D3D2"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Organisation for Economic Co-operation and Development</w:t>
            </w:r>
          </w:p>
        </w:tc>
      </w:tr>
      <w:tr w:rsidR="00D5076A" w:rsidRPr="00D5076A" w14:paraId="0C602CDC" w14:textId="77777777" w:rsidTr="00FF392A">
        <w:trPr>
          <w:trHeight w:val="300"/>
        </w:trPr>
        <w:tc>
          <w:tcPr>
            <w:tcW w:w="2405" w:type="dxa"/>
            <w:noWrap/>
            <w:hideMark/>
          </w:tcPr>
          <w:p w14:paraId="3A76DB6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OPEX</w:t>
            </w:r>
          </w:p>
        </w:tc>
        <w:tc>
          <w:tcPr>
            <w:tcW w:w="6662" w:type="dxa"/>
            <w:noWrap/>
            <w:hideMark/>
          </w:tcPr>
          <w:p w14:paraId="7CCAD527"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Operational expenditure</w:t>
            </w:r>
          </w:p>
        </w:tc>
      </w:tr>
      <w:tr w:rsidR="00D5076A" w:rsidRPr="00D5076A" w14:paraId="57654098" w14:textId="77777777" w:rsidTr="00FF392A">
        <w:trPr>
          <w:trHeight w:val="300"/>
        </w:trPr>
        <w:tc>
          <w:tcPr>
            <w:tcW w:w="2405" w:type="dxa"/>
            <w:noWrap/>
            <w:hideMark/>
          </w:tcPr>
          <w:p w14:paraId="60A5B8C8"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PC</w:t>
            </w:r>
          </w:p>
        </w:tc>
        <w:tc>
          <w:tcPr>
            <w:tcW w:w="6662" w:type="dxa"/>
            <w:noWrap/>
            <w:hideMark/>
          </w:tcPr>
          <w:p w14:paraId="50AEA7B9"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Public Consultation</w:t>
            </w:r>
          </w:p>
        </w:tc>
      </w:tr>
      <w:tr w:rsidR="00D5076A" w:rsidRPr="00D5076A" w14:paraId="47A778BA" w14:textId="77777777" w:rsidTr="00FF392A">
        <w:trPr>
          <w:trHeight w:val="300"/>
        </w:trPr>
        <w:tc>
          <w:tcPr>
            <w:tcW w:w="2405" w:type="dxa"/>
            <w:noWrap/>
            <w:hideMark/>
          </w:tcPr>
          <w:p w14:paraId="626BDFA2"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PPP</w:t>
            </w:r>
          </w:p>
        </w:tc>
        <w:tc>
          <w:tcPr>
            <w:tcW w:w="6662" w:type="dxa"/>
            <w:noWrap/>
            <w:hideMark/>
          </w:tcPr>
          <w:p w14:paraId="5F6F3094"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Public-Private Partnership</w:t>
            </w:r>
          </w:p>
        </w:tc>
      </w:tr>
      <w:tr w:rsidR="00D5076A" w:rsidRPr="00D5076A" w14:paraId="1C1D5CAC" w14:textId="77777777" w:rsidTr="00FF392A">
        <w:trPr>
          <w:trHeight w:val="300"/>
        </w:trPr>
        <w:tc>
          <w:tcPr>
            <w:tcW w:w="2405" w:type="dxa"/>
            <w:noWrap/>
            <w:hideMark/>
          </w:tcPr>
          <w:p w14:paraId="7ECF6509"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R&amp;D</w:t>
            </w:r>
          </w:p>
        </w:tc>
        <w:tc>
          <w:tcPr>
            <w:tcW w:w="6662" w:type="dxa"/>
            <w:noWrap/>
            <w:hideMark/>
          </w:tcPr>
          <w:p w14:paraId="756418EE"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Research and development</w:t>
            </w:r>
          </w:p>
        </w:tc>
      </w:tr>
      <w:tr w:rsidR="00D5076A" w:rsidRPr="00D5076A" w14:paraId="08605298" w14:textId="77777777" w:rsidTr="00FF392A">
        <w:trPr>
          <w:trHeight w:val="300"/>
        </w:trPr>
        <w:tc>
          <w:tcPr>
            <w:tcW w:w="2405" w:type="dxa"/>
            <w:noWrap/>
            <w:hideMark/>
          </w:tcPr>
          <w:p w14:paraId="2D78EFD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R&amp;I</w:t>
            </w:r>
          </w:p>
        </w:tc>
        <w:tc>
          <w:tcPr>
            <w:tcW w:w="6662" w:type="dxa"/>
            <w:noWrap/>
            <w:hideMark/>
          </w:tcPr>
          <w:p w14:paraId="13964EF9"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Research and innovation</w:t>
            </w:r>
          </w:p>
        </w:tc>
      </w:tr>
      <w:tr w:rsidR="00D5076A" w:rsidRPr="00D5076A" w14:paraId="57180179" w14:textId="77777777" w:rsidTr="00FF392A">
        <w:trPr>
          <w:trHeight w:val="300"/>
        </w:trPr>
        <w:tc>
          <w:tcPr>
            <w:tcW w:w="2405" w:type="dxa"/>
            <w:noWrap/>
            <w:hideMark/>
          </w:tcPr>
          <w:p w14:paraId="724D442B"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RRF</w:t>
            </w:r>
          </w:p>
        </w:tc>
        <w:tc>
          <w:tcPr>
            <w:tcW w:w="6662" w:type="dxa"/>
            <w:noWrap/>
            <w:hideMark/>
          </w:tcPr>
          <w:p w14:paraId="193D133E"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Recovery and Resilience Facility</w:t>
            </w:r>
          </w:p>
        </w:tc>
      </w:tr>
      <w:tr w:rsidR="00D5076A" w:rsidRPr="00D5076A" w14:paraId="58D3C1A6" w14:textId="77777777" w:rsidTr="00FF392A">
        <w:trPr>
          <w:trHeight w:val="300"/>
        </w:trPr>
        <w:tc>
          <w:tcPr>
            <w:tcW w:w="2405" w:type="dxa"/>
            <w:noWrap/>
            <w:hideMark/>
          </w:tcPr>
          <w:p w14:paraId="4EFD5187"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RRP</w:t>
            </w:r>
          </w:p>
        </w:tc>
        <w:tc>
          <w:tcPr>
            <w:tcW w:w="6662" w:type="dxa"/>
            <w:noWrap/>
            <w:hideMark/>
          </w:tcPr>
          <w:p w14:paraId="672D8853"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Recovery and Resilience Plan</w:t>
            </w:r>
          </w:p>
        </w:tc>
      </w:tr>
      <w:tr w:rsidR="00D5076A" w:rsidRPr="00D5076A" w14:paraId="43059FF0" w14:textId="77777777" w:rsidTr="00FF392A">
        <w:trPr>
          <w:trHeight w:val="300"/>
        </w:trPr>
        <w:tc>
          <w:tcPr>
            <w:tcW w:w="2405" w:type="dxa"/>
            <w:noWrap/>
            <w:hideMark/>
          </w:tcPr>
          <w:p w14:paraId="4EB8F3E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RSB</w:t>
            </w:r>
          </w:p>
        </w:tc>
        <w:tc>
          <w:tcPr>
            <w:tcW w:w="6662" w:type="dxa"/>
            <w:noWrap/>
            <w:hideMark/>
          </w:tcPr>
          <w:p w14:paraId="28724674"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Regulatory Scrutiny Board</w:t>
            </w:r>
          </w:p>
        </w:tc>
      </w:tr>
      <w:tr w:rsidR="00D5076A" w:rsidRPr="00D5076A" w14:paraId="3604AA55" w14:textId="77777777" w:rsidTr="00FF392A">
        <w:trPr>
          <w:trHeight w:val="300"/>
        </w:trPr>
        <w:tc>
          <w:tcPr>
            <w:tcW w:w="2405" w:type="dxa"/>
            <w:noWrap/>
            <w:hideMark/>
          </w:tcPr>
          <w:p w14:paraId="49D5A52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RTD (DG)</w:t>
            </w:r>
          </w:p>
        </w:tc>
        <w:tc>
          <w:tcPr>
            <w:tcW w:w="6662" w:type="dxa"/>
            <w:noWrap/>
            <w:hideMark/>
          </w:tcPr>
          <w:p w14:paraId="242EE49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Research and Innovation</w:t>
            </w:r>
          </w:p>
        </w:tc>
      </w:tr>
      <w:tr w:rsidR="00D5076A" w:rsidRPr="00D5076A" w14:paraId="3806FD10" w14:textId="77777777" w:rsidTr="00FF392A">
        <w:trPr>
          <w:trHeight w:val="300"/>
        </w:trPr>
        <w:tc>
          <w:tcPr>
            <w:tcW w:w="2405" w:type="dxa"/>
            <w:noWrap/>
            <w:hideMark/>
          </w:tcPr>
          <w:p w14:paraId="6C07562B"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SDG</w:t>
            </w:r>
          </w:p>
        </w:tc>
        <w:tc>
          <w:tcPr>
            <w:tcW w:w="6662" w:type="dxa"/>
            <w:noWrap/>
            <w:hideMark/>
          </w:tcPr>
          <w:p w14:paraId="7081A0E9"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Sustainable Development Goal</w:t>
            </w:r>
          </w:p>
        </w:tc>
      </w:tr>
      <w:tr w:rsidR="00D5076A" w:rsidRPr="00D5076A" w14:paraId="1B11BE93" w14:textId="77777777" w:rsidTr="00FF392A">
        <w:trPr>
          <w:trHeight w:val="300"/>
        </w:trPr>
        <w:tc>
          <w:tcPr>
            <w:tcW w:w="2405" w:type="dxa"/>
            <w:noWrap/>
            <w:hideMark/>
          </w:tcPr>
          <w:p w14:paraId="7F27105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SME</w:t>
            </w:r>
          </w:p>
        </w:tc>
        <w:tc>
          <w:tcPr>
            <w:tcW w:w="6662" w:type="dxa"/>
            <w:noWrap/>
            <w:hideMark/>
          </w:tcPr>
          <w:p w14:paraId="18AC0A3E"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Small and Medium Enterprise</w:t>
            </w:r>
          </w:p>
        </w:tc>
      </w:tr>
      <w:tr w:rsidR="00D5076A" w:rsidRPr="00D5076A" w14:paraId="44252E54" w14:textId="77777777" w:rsidTr="00FF392A">
        <w:trPr>
          <w:trHeight w:val="300"/>
        </w:trPr>
        <w:tc>
          <w:tcPr>
            <w:tcW w:w="2405" w:type="dxa"/>
            <w:noWrap/>
            <w:hideMark/>
          </w:tcPr>
          <w:p w14:paraId="12C8BCE9"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SMP</w:t>
            </w:r>
          </w:p>
        </w:tc>
        <w:tc>
          <w:tcPr>
            <w:tcW w:w="6662" w:type="dxa"/>
            <w:noWrap/>
            <w:hideMark/>
          </w:tcPr>
          <w:p w14:paraId="3A03F044"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Single Market Programme</w:t>
            </w:r>
          </w:p>
        </w:tc>
      </w:tr>
      <w:tr w:rsidR="00D5076A" w:rsidRPr="00D5076A" w14:paraId="6B9DE743" w14:textId="77777777" w:rsidTr="00FF392A">
        <w:trPr>
          <w:trHeight w:val="300"/>
        </w:trPr>
        <w:tc>
          <w:tcPr>
            <w:tcW w:w="2405" w:type="dxa"/>
            <w:noWrap/>
            <w:hideMark/>
          </w:tcPr>
          <w:p w14:paraId="616F2D3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SSH</w:t>
            </w:r>
          </w:p>
        </w:tc>
        <w:tc>
          <w:tcPr>
            <w:tcW w:w="6662" w:type="dxa"/>
            <w:noWrap/>
            <w:hideMark/>
          </w:tcPr>
          <w:p w14:paraId="0127B6D6"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Social sciences and humanities</w:t>
            </w:r>
          </w:p>
        </w:tc>
      </w:tr>
      <w:tr w:rsidR="00D5076A" w:rsidRPr="00D5076A" w14:paraId="64C202BA" w14:textId="77777777" w:rsidTr="00FF392A">
        <w:trPr>
          <w:trHeight w:val="300"/>
        </w:trPr>
        <w:tc>
          <w:tcPr>
            <w:tcW w:w="2405" w:type="dxa"/>
            <w:noWrap/>
            <w:hideMark/>
          </w:tcPr>
          <w:p w14:paraId="23BDE609"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STEM</w:t>
            </w:r>
          </w:p>
        </w:tc>
        <w:tc>
          <w:tcPr>
            <w:tcW w:w="6662" w:type="dxa"/>
            <w:noWrap/>
            <w:hideMark/>
          </w:tcPr>
          <w:p w14:paraId="472EAD7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Science, technology, engineering and mathematics</w:t>
            </w:r>
          </w:p>
        </w:tc>
      </w:tr>
      <w:tr w:rsidR="00D5076A" w:rsidRPr="00D5076A" w14:paraId="1615CFE3" w14:textId="77777777" w:rsidTr="00FF392A">
        <w:trPr>
          <w:trHeight w:val="300"/>
        </w:trPr>
        <w:tc>
          <w:tcPr>
            <w:tcW w:w="2405" w:type="dxa"/>
            <w:noWrap/>
            <w:hideMark/>
          </w:tcPr>
          <w:p w14:paraId="01EF7882"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STEP</w:t>
            </w:r>
          </w:p>
        </w:tc>
        <w:tc>
          <w:tcPr>
            <w:tcW w:w="6662" w:type="dxa"/>
            <w:noWrap/>
            <w:hideMark/>
          </w:tcPr>
          <w:p w14:paraId="5AEECC05"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Strategic Technologies for Europe Platform</w:t>
            </w:r>
          </w:p>
        </w:tc>
      </w:tr>
      <w:tr w:rsidR="00D5076A" w:rsidRPr="00D5076A" w14:paraId="14C3AB49" w14:textId="77777777" w:rsidTr="00FF392A">
        <w:trPr>
          <w:trHeight w:val="300"/>
        </w:trPr>
        <w:tc>
          <w:tcPr>
            <w:tcW w:w="2405" w:type="dxa"/>
            <w:noWrap/>
            <w:hideMark/>
          </w:tcPr>
          <w:p w14:paraId="5DD4E97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SWD</w:t>
            </w:r>
          </w:p>
        </w:tc>
        <w:tc>
          <w:tcPr>
            <w:tcW w:w="6662" w:type="dxa"/>
            <w:noWrap/>
            <w:hideMark/>
          </w:tcPr>
          <w:p w14:paraId="4C0C73C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Staff Working Document</w:t>
            </w:r>
          </w:p>
        </w:tc>
      </w:tr>
      <w:tr w:rsidR="00D5076A" w:rsidRPr="00D5076A" w14:paraId="50D337FD" w14:textId="77777777" w:rsidTr="00FF392A">
        <w:trPr>
          <w:trHeight w:val="300"/>
        </w:trPr>
        <w:tc>
          <w:tcPr>
            <w:tcW w:w="2405" w:type="dxa"/>
            <w:noWrap/>
            <w:hideMark/>
          </w:tcPr>
          <w:p w14:paraId="318ED64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TFEU</w:t>
            </w:r>
          </w:p>
        </w:tc>
        <w:tc>
          <w:tcPr>
            <w:tcW w:w="6662" w:type="dxa"/>
            <w:noWrap/>
            <w:hideMark/>
          </w:tcPr>
          <w:p w14:paraId="4FBE4112"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Treaty on the Functioning of the European Union</w:t>
            </w:r>
          </w:p>
        </w:tc>
      </w:tr>
      <w:tr w:rsidR="00D5076A" w:rsidRPr="00D5076A" w14:paraId="0CB4EA0A" w14:textId="77777777" w:rsidTr="00FF392A">
        <w:trPr>
          <w:trHeight w:val="300"/>
        </w:trPr>
        <w:tc>
          <w:tcPr>
            <w:tcW w:w="2405" w:type="dxa"/>
            <w:noWrap/>
            <w:hideMark/>
          </w:tcPr>
          <w:p w14:paraId="5217C6B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TRL</w:t>
            </w:r>
          </w:p>
        </w:tc>
        <w:tc>
          <w:tcPr>
            <w:tcW w:w="6662" w:type="dxa"/>
            <w:noWrap/>
            <w:hideMark/>
          </w:tcPr>
          <w:p w14:paraId="752E4FB6"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Technology Readiness Level</w:t>
            </w:r>
          </w:p>
        </w:tc>
      </w:tr>
      <w:tr w:rsidR="00D5076A" w:rsidRPr="00D5076A" w14:paraId="1C8AAABB" w14:textId="77777777" w:rsidTr="00FF392A">
        <w:trPr>
          <w:trHeight w:val="300"/>
        </w:trPr>
        <w:tc>
          <w:tcPr>
            <w:tcW w:w="2405" w:type="dxa"/>
            <w:noWrap/>
            <w:hideMark/>
          </w:tcPr>
          <w:p w14:paraId="13832AEC"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TTG</w:t>
            </w:r>
          </w:p>
        </w:tc>
        <w:tc>
          <w:tcPr>
            <w:tcW w:w="6662" w:type="dxa"/>
            <w:noWrap/>
            <w:hideMark/>
          </w:tcPr>
          <w:p w14:paraId="2A12566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Time-to-grant</w:t>
            </w:r>
          </w:p>
        </w:tc>
      </w:tr>
      <w:tr w:rsidR="00D5076A" w:rsidRPr="00D5076A" w14:paraId="078924A8" w14:textId="77777777" w:rsidTr="00FF392A">
        <w:trPr>
          <w:trHeight w:val="300"/>
        </w:trPr>
        <w:tc>
          <w:tcPr>
            <w:tcW w:w="2405" w:type="dxa"/>
            <w:noWrap/>
            <w:hideMark/>
          </w:tcPr>
          <w:p w14:paraId="0EC48993"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TTI</w:t>
            </w:r>
          </w:p>
        </w:tc>
        <w:tc>
          <w:tcPr>
            <w:tcW w:w="6662" w:type="dxa"/>
            <w:noWrap/>
            <w:hideMark/>
          </w:tcPr>
          <w:p w14:paraId="24DE846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Time-to-inform</w:t>
            </w:r>
          </w:p>
        </w:tc>
      </w:tr>
      <w:tr w:rsidR="00D5076A" w:rsidRPr="00D5076A" w14:paraId="51C0B687" w14:textId="77777777" w:rsidTr="00FF392A">
        <w:trPr>
          <w:trHeight w:val="300"/>
        </w:trPr>
        <w:tc>
          <w:tcPr>
            <w:tcW w:w="2405" w:type="dxa"/>
            <w:noWrap/>
            <w:hideMark/>
          </w:tcPr>
          <w:p w14:paraId="334FE2F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US</w:t>
            </w:r>
          </w:p>
        </w:tc>
        <w:tc>
          <w:tcPr>
            <w:tcW w:w="6662" w:type="dxa"/>
            <w:noWrap/>
            <w:hideMark/>
          </w:tcPr>
          <w:p w14:paraId="1AC34F2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United States</w:t>
            </w:r>
          </w:p>
        </w:tc>
      </w:tr>
    </w:tbl>
    <w:p w14:paraId="54695CA3" w14:textId="77777777" w:rsidR="00BB1EF6" w:rsidRDefault="00BB1EF6" w:rsidP="00603157">
      <w:pPr>
        <w:keepNext/>
        <w:keepLines/>
        <w:spacing w:before="360"/>
        <w:jc w:val="center"/>
        <w:rPr>
          <w:rFonts w:eastAsia="Times New Roman"/>
          <w:b/>
          <w:noProof/>
          <w:lang w:eastAsia="ja-JP"/>
        </w:rPr>
      </w:pPr>
    </w:p>
    <w:p w14:paraId="355B5FA7" w14:textId="77777777" w:rsidR="00BB1EF6" w:rsidRDefault="00BB1EF6">
      <w:pPr>
        <w:spacing w:before="0" w:after="200" w:line="276" w:lineRule="auto"/>
        <w:jc w:val="left"/>
        <w:rPr>
          <w:rFonts w:eastAsia="Times New Roman"/>
          <w:b/>
          <w:noProof/>
          <w:lang w:eastAsia="ja-JP"/>
        </w:rPr>
      </w:pPr>
      <w:r>
        <w:rPr>
          <w:rFonts w:eastAsia="Times New Roman"/>
          <w:b/>
          <w:noProof/>
          <w:lang w:eastAsia="ja-JP"/>
        </w:rPr>
        <w:br w:type="page"/>
      </w:r>
    </w:p>
    <w:p w14:paraId="22365E7D" w14:textId="6913BD8B" w:rsidR="006B087E" w:rsidRPr="00D5076A" w:rsidRDefault="006B087E" w:rsidP="00603157">
      <w:pPr>
        <w:keepNext/>
        <w:keepLines/>
        <w:spacing w:before="360"/>
        <w:jc w:val="center"/>
        <w:rPr>
          <w:rFonts w:ascii="Aptos" w:eastAsia="MS Mincho" w:hAnsi="Aptos" w:cs="Arial"/>
          <w:noProof/>
          <w:lang w:val="en-US" w:eastAsia="ja-JP"/>
        </w:rPr>
      </w:pPr>
      <w:r w:rsidRPr="00D5076A">
        <w:rPr>
          <w:rFonts w:eastAsia="Times New Roman"/>
          <w:b/>
          <w:noProof/>
          <w:lang w:eastAsia="ja-JP"/>
        </w:rPr>
        <w:t>Glossary</w:t>
      </w:r>
    </w:p>
    <w:tbl>
      <w:tblPr>
        <w:tblStyle w:val="TableGrid10"/>
        <w:tblW w:w="0" w:type="auto"/>
        <w:tblLayout w:type="fixed"/>
        <w:tblLook w:val="04A0" w:firstRow="1" w:lastRow="0" w:firstColumn="1" w:lastColumn="0" w:noHBand="0" w:noVBand="1"/>
      </w:tblPr>
      <w:tblGrid>
        <w:gridCol w:w="2017"/>
        <w:gridCol w:w="6987"/>
      </w:tblGrid>
      <w:tr w:rsidR="00D5076A" w:rsidRPr="00D5076A" w14:paraId="329F4A11" w14:textId="77777777" w:rsidTr="00FF392A">
        <w:trPr>
          <w:trHeight w:val="45"/>
          <w:tblHeader/>
        </w:trPr>
        <w:tc>
          <w:tcPr>
            <w:tcW w:w="201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AD3A140" w14:textId="77777777" w:rsidR="00D5076A" w:rsidRPr="00D5076A" w:rsidRDefault="00D5076A" w:rsidP="00603157">
            <w:pPr>
              <w:keepNext/>
              <w:keepLines/>
              <w:spacing w:before="0" w:after="0"/>
              <w:jc w:val="center"/>
              <w:rPr>
                <w:rFonts w:ascii="Aptos" w:hAnsi="Aptos" w:cs="Arial"/>
                <w:noProof/>
              </w:rPr>
            </w:pPr>
            <w:r w:rsidRPr="00D5076A">
              <w:rPr>
                <w:bCs/>
                <w:i/>
                <w:iCs/>
                <w:noProof/>
                <w:color w:val="000000"/>
                <w:sz w:val="20"/>
                <w:szCs w:val="20"/>
              </w:rPr>
              <w:t xml:space="preserve">Term </w:t>
            </w:r>
          </w:p>
        </w:tc>
        <w:tc>
          <w:tcPr>
            <w:tcW w:w="698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3DDE4CC" w14:textId="77777777" w:rsidR="00D5076A" w:rsidRPr="00D5076A" w:rsidRDefault="00D5076A" w:rsidP="00603157">
            <w:pPr>
              <w:keepNext/>
              <w:keepLines/>
              <w:spacing w:before="0" w:after="0"/>
              <w:jc w:val="center"/>
              <w:rPr>
                <w:rFonts w:ascii="Aptos" w:hAnsi="Aptos" w:cs="Arial"/>
                <w:noProof/>
              </w:rPr>
            </w:pPr>
            <w:r w:rsidRPr="00D5076A">
              <w:rPr>
                <w:bCs/>
                <w:i/>
                <w:iCs/>
                <w:noProof/>
                <w:color w:val="000000"/>
                <w:sz w:val="20"/>
                <w:szCs w:val="20"/>
              </w:rPr>
              <w:t>Meaning or definition</w:t>
            </w:r>
          </w:p>
        </w:tc>
      </w:tr>
      <w:tr w:rsidR="00D5076A" w:rsidRPr="00D5076A" w14:paraId="46860BD4"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45C3DBE6" w14:textId="77777777" w:rsidR="00D5076A" w:rsidRPr="00D5076A" w:rsidRDefault="00D5076A" w:rsidP="00603157">
            <w:pPr>
              <w:spacing w:before="0" w:after="0"/>
              <w:jc w:val="left"/>
              <w:rPr>
                <w:rFonts w:ascii="Aptos" w:hAnsi="Aptos" w:cs="Arial"/>
                <w:noProof/>
              </w:rPr>
            </w:pPr>
            <w:r w:rsidRPr="00D5076A">
              <w:rPr>
                <w:noProof/>
                <w:sz w:val="20"/>
                <w:szCs w:val="20"/>
              </w:rPr>
              <w:t>Applicant</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05D7E558" w14:textId="77777777" w:rsidR="00D5076A" w:rsidRPr="00D5076A" w:rsidRDefault="00D5076A" w:rsidP="00603157">
            <w:pPr>
              <w:spacing w:before="0" w:after="0"/>
              <w:rPr>
                <w:rFonts w:ascii="Aptos" w:hAnsi="Aptos" w:cs="Arial"/>
                <w:noProof/>
              </w:rPr>
            </w:pPr>
            <w:r w:rsidRPr="00D5076A">
              <w:rPr>
                <w:noProof/>
                <w:sz w:val="20"/>
                <w:szCs w:val="20"/>
              </w:rPr>
              <w:t>Legal entity submitting an application for a call for proposals.</w:t>
            </w:r>
          </w:p>
        </w:tc>
      </w:tr>
      <w:tr w:rsidR="00D5076A" w:rsidRPr="00D5076A" w14:paraId="2D72AA83" w14:textId="77777777">
        <w:trPr>
          <w:trHeight w:val="6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1F8099F6" w14:textId="77777777" w:rsidR="00D5076A" w:rsidRPr="00D5076A" w:rsidRDefault="00D5076A" w:rsidP="00603157">
            <w:pPr>
              <w:spacing w:before="0" w:after="0"/>
              <w:jc w:val="left"/>
              <w:rPr>
                <w:rFonts w:ascii="Aptos" w:hAnsi="Aptos" w:cs="Arial"/>
                <w:noProof/>
              </w:rPr>
            </w:pPr>
            <w:r w:rsidRPr="00D5076A">
              <w:rPr>
                <w:noProof/>
                <w:sz w:val="20"/>
                <w:szCs w:val="20"/>
              </w:rPr>
              <w:t>Application</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239F32F5" w14:textId="77777777" w:rsidR="00D5076A" w:rsidRPr="00D5076A" w:rsidRDefault="00D5076A" w:rsidP="00603157">
            <w:pPr>
              <w:spacing w:before="0" w:after="0"/>
              <w:rPr>
                <w:rFonts w:ascii="Aptos" w:hAnsi="Aptos" w:cs="Arial"/>
                <w:noProof/>
              </w:rPr>
            </w:pPr>
            <w:r w:rsidRPr="00D5076A">
              <w:rPr>
                <w:noProof/>
                <w:sz w:val="20"/>
                <w:szCs w:val="20"/>
              </w:rPr>
              <w:t>The involvement of a legal entity in a proposal. A single applicant can make several applications in different proposals. A single proposal can include several organisations and, therefore, several applications.</w:t>
            </w:r>
          </w:p>
        </w:tc>
      </w:tr>
      <w:tr w:rsidR="00D5076A" w:rsidRPr="00D5076A" w14:paraId="12EFF974"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46345AC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Blue economy</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618A551C" w14:textId="77777777" w:rsidR="00D5076A" w:rsidRPr="00D5076A" w:rsidRDefault="00D5076A" w:rsidP="00603157">
            <w:pPr>
              <w:spacing w:before="0" w:after="0"/>
              <w:rPr>
                <w:noProof/>
                <w:sz w:val="20"/>
                <w:szCs w:val="20"/>
              </w:rPr>
            </w:pPr>
            <w:r w:rsidRPr="00D5076A">
              <w:rPr>
                <w:noProof/>
                <w:sz w:val="20"/>
                <w:szCs w:val="20"/>
              </w:rPr>
              <w:t>Any economic activity relating to oceans and seas.</w:t>
            </w:r>
          </w:p>
        </w:tc>
      </w:tr>
      <w:tr w:rsidR="00D5076A" w:rsidRPr="00D5076A" w14:paraId="46FC3651"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1B41884C"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Circular economy</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3C168514" w14:textId="77777777" w:rsidR="00D5076A" w:rsidRPr="00D5076A" w:rsidRDefault="00D5076A" w:rsidP="00603157">
            <w:pPr>
              <w:spacing w:before="0" w:after="0"/>
              <w:rPr>
                <w:noProof/>
                <w:sz w:val="20"/>
                <w:szCs w:val="20"/>
              </w:rPr>
            </w:pPr>
            <w:r w:rsidRPr="00D5076A">
              <w:rPr>
                <w:noProof/>
                <w:sz w:val="20"/>
                <w:szCs w:val="20"/>
              </w:rPr>
              <w:t>A model of production and consumption, which involves sharing, leasing, reusing, repairing, refurbishing and recycling existing materials and products as long as possible. In this way, the life cycle of products is extended, their use is optimised, and products and materials are maintained in their highest value function</w:t>
            </w:r>
          </w:p>
        </w:tc>
      </w:tr>
      <w:tr w:rsidR="00D5076A" w:rsidRPr="00D5076A" w14:paraId="1A6CACE4"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64E1F740" w14:textId="7E02B96C" w:rsidR="00D5076A" w:rsidRPr="00FF392A" w:rsidRDefault="00D5076A" w:rsidP="00603157">
            <w:pPr>
              <w:spacing w:before="0" w:after="0"/>
              <w:jc w:val="left"/>
              <w:rPr>
                <w:noProof/>
                <w:sz w:val="20"/>
                <w:szCs w:val="20"/>
              </w:rPr>
            </w:pPr>
            <w:r w:rsidRPr="00D5076A">
              <w:rPr>
                <w:noProof/>
                <w:sz w:val="20"/>
                <w:szCs w:val="20"/>
              </w:rPr>
              <w:t>Critical raw materials</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4BD7372E" w14:textId="77777777" w:rsidR="00D5076A" w:rsidRPr="00D5076A" w:rsidRDefault="00D5076A" w:rsidP="00603157">
            <w:pPr>
              <w:spacing w:before="0" w:after="0"/>
              <w:rPr>
                <w:noProof/>
                <w:sz w:val="20"/>
                <w:szCs w:val="20"/>
              </w:rPr>
            </w:pPr>
            <w:r w:rsidRPr="00D5076A">
              <w:rPr>
                <w:noProof/>
                <w:sz w:val="20"/>
                <w:szCs w:val="20"/>
              </w:rPr>
              <w:t>Raw Materials defined as critical in the regulation according to the proposed methodology (i.e. supply risks and economic importance)</w:t>
            </w:r>
          </w:p>
        </w:tc>
      </w:tr>
      <w:tr w:rsidR="00D5076A" w:rsidRPr="00D5076A" w14:paraId="29191117"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56315DC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Investment Council (EIC)</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3EE66E0F" w14:textId="77777777" w:rsidR="00D5076A" w:rsidRPr="00D5076A" w:rsidRDefault="00D5076A" w:rsidP="00603157">
            <w:pPr>
              <w:spacing w:before="0" w:after="0"/>
              <w:rPr>
                <w:noProof/>
                <w:sz w:val="20"/>
                <w:szCs w:val="20"/>
              </w:rPr>
            </w:pPr>
            <w:r w:rsidRPr="00D5076A">
              <w:rPr>
                <w:noProof/>
                <w:sz w:val="20"/>
                <w:szCs w:val="20"/>
              </w:rPr>
              <w:t>The EIC was established under the Horizon Europe programme. It has a budget of EUR 10.1 billion to support game changing innovations throughout the lifecycle from early-stage research, to proof of concept, technology transfer, and the financing and scale up of start-ups and SMEs.</w:t>
            </w:r>
          </w:p>
        </w:tc>
      </w:tr>
      <w:tr w:rsidR="00D5076A" w:rsidRPr="00D5076A" w14:paraId="18C1DCEA"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41B15873"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Research Council (ERC)</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4B9B1D5A" w14:textId="77777777" w:rsidR="00D5076A" w:rsidRPr="00D5076A" w:rsidRDefault="00D5076A" w:rsidP="00603157">
            <w:pPr>
              <w:spacing w:before="0" w:after="0"/>
              <w:rPr>
                <w:noProof/>
                <w:sz w:val="20"/>
                <w:szCs w:val="20"/>
              </w:rPr>
            </w:pPr>
            <w:r w:rsidRPr="00D5076A">
              <w:rPr>
                <w:noProof/>
                <w:sz w:val="20"/>
                <w:szCs w:val="20"/>
              </w:rPr>
              <w:t>The European Research Council is a European funding organisation for excellent frontier research which offers various grant schemes such as: starting grants, consolidator grants, advanced grants, synergy grants and proof of concept. The ERC is led by an independent governing body, the Scientific Council.</w:t>
            </w:r>
          </w:p>
        </w:tc>
      </w:tr>
      <w:tr w:rsidR="00D5076A" w:rsidRPr="00D5076A" w14:paraId="7F15AA2D"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6044C0F7"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Equity investment</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48ABBA44" w14:textId="77777777" w:rsidR="00D5076A" w:rsidRPr="00D5076A" w:rsidRDefault="00D5076A" w:rsidP="00603157">
            <w:pPr>
              <w:spacing w:before="0" w:after="0"/>
              <w:rPr>
                <w:noProof/>
                <w:sz w:val="20"/>
                <w:szCs w:val="20"/>
              </w:rPr>
            </w:pPr>
            <w:r w:rsidRPr="00D5076A">
              <w:rPr>
                <w:noProof/>
                <w:sz w:val="20"/>
                <w:szCs w:val="20"/>
              </w:rPr>
              <w:t>Provision of capital to a firm, invested directly or indirectly in return for total or partial ownership of that firm and where the equity investor may assume some management control of the firm and may share the firm's profits</w:t>
            </w:r>
          </w:p>
        </w:tc>
      </w:tr>
      <w:tr w:rsidR="00D5076A" w:rsidRPr="00D5076A" w14:paraId="2EAA9807"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7D2E7AA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European Partnerships</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7B235D1C" w14:textId="77777777" w:rsidR="00D5076A" w:rsidRPr="00D5076A" w:rsidRDefault="00D5076A" w:rsidP="00603157">
            <w:pPr>
              <w:spacing w:before="0" w:after="0"/>
              <w:rPr>
                <w:noProof/>
                <w:sz w:val="20"/>
                <w:szCs w:val="20"/>
              </w:rPr>
            </w:pPr>
            <w:r w:rsidRPr="00D5076A">
              <w:rPr>
                <w:noProof/>
                <w:sz w:val="20"/>
                <w:szCs w:val="20"/>
              </w:rPr>
              <w:t xml:space="preserve">European Partnerships bring the European Commission and private and/or public partners together to address some of Europe’s most pressing challenges through concerted R&amp;I initiatives. They are a key implementation tool of Horizon Europe, and some exist also under other EU programmes. There are three types: </w:t>
            </w:r>
          </w:p>
          <w:p w14:paraId="16B7E74C" w14:textId="77777777" w:rsidR="00D5076A" w:rsidRPr="00D5076A" w:rsidRDefault="00D5076A" w:rsidP="00603157">
            <w:pPr>
              <w:spacing w:before="0" w:after="0"/>
              <w:rPr>
                <w:noProof/>
                <w:sz w:val="20"/>
                <w:szCs w:val="20"/>
              </w:rPr>
            </w:pPr>
            <w:r w:rsidRPr="00D5076A">
              <w:rPr>
                <w:noProof/>
                <w:sz w:val="20"/>
                <w:szCs w:val="20"/>
              </w:rPr>
              <w:t>• institutionalised partnerships in the field of R&amp;I between the EU, EU Member States and/or industry (including joint undertakings, Art. 185 partnerships and the EIT Knowledge and Innovation Communities);</w:t>
            </w:r>
          </w:p>
          <w:p w14:paraId="28310648" w14:textId="77777777" w:rsidR="00D5076A" w:rsidRPr="00D5076A" w:rsidRDefault="00D5076A" w:rsidP="00603157">
            <w:pPr>
              <w:spacing w:before="0" w:after="0"/>
              <w:rPr>
                <w:rFonts w:ascii="Aptos" w:hAnsi="Aptos" w:cs="Arial"/>
                <w:noProof/>
              </w:rPr>
            </w:pPr>
            <w:r w:rsidRPr="00D5076A">
              <w:rPr>
                <w:noProof/>
                <w:sz w:val="20"/>
                <w:szCs w:val="20"/>
              </w:rPr>
              <w:t>• co-programmed partnerships between the Commission and mostly private (and sometimes public) partners;</w:t>
            </w:r>
          </w:p>
          <w:p w14:paraId="7BCAD06B" w14:textId="77777777" w:rsidR="00D5076A" w:rsidRPr="00D5076A" w:rsidRDefault="00D5076A" w:rsidP="00603157">
            <w:pPr>
              <w:spacing w:before="0" w:after="0"/>
              <w:rPr>
                <w:rFonts w:ascii="Aptos" w:hAnsi="Aptos" w:cs="Arial"/>
                <w:noProof/>
              </w:rPr>
            </w:pPr>
            <w:r w:rsidRPr="00D5076A">
              <w:rPr>
                <w:noProof/>
                <w:sz w:val="20"/>
                <w:szCs w:val="20"/>
              </w:rPr>
              <w:t>• co-funded partnerships involving EU countries, with research funders and other public authorities at the core of the consortium</w:t>
            </w:r>
          </w:p>
        </w:tc>
      </w:tr>
      <w:tr w:rsidR="00D5076A" w:rsidRPr="00D5076A" w14:paraId="55DC1806"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61970175"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Evaluation criteria</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791FD931" w14:textId="77777777" w:rsidR="00D5076A" w:rsidRPr="00D5076A" w:rsidRDefault="00D5076A" w:rsidP="00603157">
            <w:pPr>
              <w:spacing w:before="0" w:after="0"/>
              <w:rPr>
                <w:noProof/>
                <w:sz w:val="20"/>
                <w:szCs w:val="20"/>
              </w:rPr>
            </w:pPr>
            <w:r w:rsidRPr="00D5076A">
              <w:rPr>
                <w:noProof/>
                <w:sz w:val="20"/>
                <w:szCs w:val="20"/>
              </w:rPr>
              <w:t>According to better regulation guidelines and toolbox, the five evaluation criteria assess the extent to which an intervention is: 1) effective in fulfilling expectations and meeting its objectives (effectiveness); 2) efficient in terms of cost-effectiveness and proportionality of actual costs to benefits (efficiency); 3) relevant to current and emerging needs (relevance); 4) coherent internally and externally with other EU interventions or international agreements (coherence); and 5) has EU added value - i.e. produces results beyond what would have been achieved by Member States acting alone (EU added value).</w:t>
            </w:r>
          </w:p>
        </w:tc>
      </w:tr>
      <w:tr w:rsidR="00D5076A" w:rsidRPr="00D5076A" w14:paraId="7D4495E2"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7792755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GDP multiplier</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48ABAE25" w14:textId="36D2C0CE" w:rsidR="00D5076A" w:rsidRPr="00D5076A" w:rsidRDefault="00D5076A" w:rsidP="00603157">
            <w:pPr>
              <w:spacing w:before="0" w:after="0"/>
              <w:rPr>
                <w:noProof/>
                <w:sz w:val="20"/>
                <w:szCs w:val="20"/>
              </w:rPr>
            </w:pPr>
            <w:r w:rsidRPr="00D5076A">
              <w:rPr>
                <w:noProof/>
                <w:sz w:val="20"/>
                <w:szCs w:val="20"/>
              </w:rPr>
              <w:t xml:space="preserve">The GDP multiplier is obtained by dividing the cumulative change in GDP by the magnitude of the policy stimulus and can be understood as the amount of GDP produced for each euro invested in the policy. It represents the economic effect of the </w:t>
            </w:r>
            <w:r w:rsidR="002B4EB9" w:rsidRPr="00D5076A">
              <w:rPr>
                <w:noProof/>
                <w:sz w:val="20"/>
                <w:szCs w:val="20"/>
              </w:rPr>
              <w:t>policy and</w:t>
            </w:r>
            <w:r w:rsidRPr="00D5076A">
              <w:rPr>
                <w:noProof/>
                <w:sz w:val="20"/>
                <w:szCs w:val="20"/>
              </w:rPr>
              <w:t xml:space="preserve"> does not account for other direct and indirect costs.</w:t>
            </w:r>
          </w:p>
        </w:tc>
      </w:tr>
      <w:tr w:rsidR="00D5076A" w:rsidRPr="00D5076A" w14:paraId="50BBB526"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4B36F424"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Grants</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1640D86E" w14:textId="77777777" w:rsidR="00D5076A" w:rsidRPr="00D5076A" w:rsidRDefault="00D5076A" w:rsidP="00603157">
            <w:pPr>
              <w:spacing w:before="0" w:after="0"/>
              <w:rPr>
                <w:noProof/>
                <w:sz w:val="20"/>
                <w:szCs w:val="20"/>
              </w:rPr>
            </w:pPr>
            <w:r w:rsidRPr="00D5076A">
              <w:rPr>
                <w:noProof/>
                <w:sz w:val="20"/>
                <w:szCs w:val="20"/>
              </w:rPr>
              <w:t>Non-repayable funds to support specific projects or activities, typically requiring co-financing from the recipient.</w:t>
            </w:r>
          </w:p>
        </w:tc>
      </w:tr>
      <w:tr w:rsidR="00D5076A" w:rsidRPr="00D5076A" w14:paraId="218455E5"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4C214DB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Budgetary Guarantee</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34AE65CE" w14:textId="28728586" w:rsidR="00D5076A" w:rsidRPr="00D5076A" w:rsidRDefault="00FF392A" w:rsidP="00603157">
            <w:pPr>
              <w:spacing w:before="0" w:after="0"/>
              <w:rPr>
                <w:noProof/>
                <w:sz w:val="20"/>
                <w:szCs w:val="20"/>
              </w:rPr>
            </w:pPr>
            <w:r>
              <w:rPr>
                <w:noProof/>
                <w:sz w:val="20"/>
                <w:szCs w:val="20"/>
              </w:rPr>
              <w:t>A</w:t>
            </w:r>
            <w:r w:rsidR="00D5076A" w:rsidRPr="00D5076A">
              <w:rPr>
                <w:noProof/>
                <w:sz w:val="20"/>
                <w:szCs w:val="20"/>
              </w:rPr>
              <w:t>n instrument through which the European Union supports a programme of actions by taking on the budget an irrevocable and unconditional financial obligation that can be called upon should a specified event materialise during the implementation of the programme, and that remains valid for the duration of the maturity of the commitments made under the supported programme</w:t>
            </w:r>
          </w:p>
        </w:tc>
      </w:tr>
      <w:tr w:rsidR="00D5076A" w:rsidRPr="00D5076A" w14:paraId="3F36BE86"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6CE005A9"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Interservice steering groups (ISSG)</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69460B92" w14:textId="77777777" w:rsidR="00D5076A" w:rsidRPr="00D5076A" w:rsidRDefault="00D5076A" w:rsidP="00603157">
            <w:pPr>
              <w:spacing w:before="0" w:after="0"/>
              <w:rPr>
                <w:noProof/>
                <w:sz w:val="20"/>
                <w:szCs w:val="20"/>
              </w:rPr>
            </w:pPr>
            <w:r w:rsidRPr="00D5076A">
              <w:rPr>
                <w:noProof/>
                <w:sz w:val="20"/>
                <w:szCs w:val="20"/>
              </w:rPr>
              <w:t>Commission mechanism to ensure internal consistency of policy interventions</w:t>
            </w:r>
          </w:p>
        </w:tc>
      </w:tr>
      <w:tr w:rsidR="00D5076A" w:rsidRPr="00D5076A" w14:paraId="14397A82"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3237F665"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Joint undertakings (JUs)</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60651191" w14:textId="30FE90A6" w:rsidR="00D5076A" w:rsidRPr="00D5076A" w:rsidRDefault="00D5076A" w:rsidP="00603157">
            <w:pPr>
              <w:spacing w:before="0" w:after="0"/>
              <w:rPr>
                <w:noProof/>
                <w:sz w:val="20"/>
                <w:szCs w:val="20"/>
              </w:rPr>
            </w:pPr>
            <w:r w:rsidRPr="00D5076A">
              <w:rPr>
                <w:noProof/>
                <w:sz w:val="20"/>
                <w:szCs w:val="20"/>
              </w:rPr>
              <w:t>Public-private institutionalised partnerships of the Union with industry and stakeholders for the joint funding and implementation of strategic R&amp;I agendas under Article 187 of TFEU (via a dedicated funding body).</w:t>
            </w:r>
          </w:p>
          <w:p w14:paraId="205FBF45" w14:textId="77777777" w:rsidR="00D5076A" w:rsidRPr="00D5076A" w:rsidRDefault="00D5076A" w:rsidP="00603157">
            <w:pPr>
              <w:spacing w:before="0" w:after="0"/>
              <w:rPr>
                <w:noProof/>
                <w:sz w:val="20"/>
                <w:szCs w:val="20"/>
              </w:rPr>
            </w:pPr>
            <w:r w:rsidRPr="00D5076A">
              <w:rPr>
                <w:noProof/>
                <w:sz w:val="20"/>
                <w:szCs w:val="20"/>
              </w:rPr>
              <w:t xml:space="preserve">Under Horizon Europe, the JUs include: the Innovative Health Initiative (IHI); Global Health EDCTP3 Partnership, Europe High-Performance Computing (EuroHPC); the Chips JU (formerly, Key Digital Technologies, KDT); Smart Networks and Services (SNS); Circular Bio-based Europe (CBE); the Clean Aviation JU; the Clean Hydrogen JU; the Europe’s Rail JU; and Single European Sky ATM Research 3 (SESAR 3). EuroHPC and Chips JU also receive funding from other EU programmes under the scope of this impact assessment (Digital Europe in both cases, CEF for EuroHPC). A JU solely funded by the Digital Europe Programme also exists, the European Cybersecurity Competence Centre (ECCC). </w:t>
            </w:r>
          </w:p>
        </w:tc>
      </w:tr>
      <w:tr w:rsidR="00D5076A" w:rsidRPr="00D5076A" w14:paraId="21042A8C"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7C1D88CB"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 xml:space="preserve">Leverage </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1415BD19" w14:textId="77777777" w:rsidR="00D5076A" w:rsidRPr="00D5076A" w:rsidRDefault="00D5076A" w:rsidP="00603157">
            <w:pPr>
              <w:spacing w:before="0" w:after="0"/>
              <w:rPr>
                <w:noProof/>
                <w:sz w:val="20"/>
                <w:szCs w:val="20"/>
              </w:rPr>
            </w:pPr>
            <w:r w:rsidRPr="00D5076A">
              <w:rPr>
                <w:noProof/>
                <w:sz w:val="20"/>
                <w:szCs w:val="20"/>
              </w:rPr>
              <w:t xml:space="preserve">Ratio between the total costs borne by partners other than the EU and the EU contribution. Leverage of private investment refers to the capacity of EU funding to attract complementary funding from the private sector. </w:t>
            </w:r>
          </w:p>
        </w:tc>
      </w:tr>
      <w:tr w:rsidR="00D5076A" w:rsidRPr="00D5076A" w14:paraId="291F081B"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0ACD993F"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Raw materials</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0C7CC1AF" w14:textId="77777777" w:rsidR="00D5076A" w:rsidRPr="00D5076A" w:rsidRDefault="00D5076A" w:rsidP="00603157">
            <w:pPr>
              <w:spacing w:before="0" w:after="0"/>
              <w:rPr>
                <w:noProof/>
                <w:sz w:val="20"/>
                <w:szCs w:val="20"/>
              </w:rPr>
            </w:pPr>
            <w:r w:rsidRPr="00D5076A">
              <w:rPr>
                <w:noProof/>
                <w:sz w:val="20"/>
                <w:szCs w:val="20"/>
              </w:rPr>
              <w:t>A substance in processed or unprocessed state used as an input for the manufacturing of intermediate or final products, excluding substances predominantly used for the production of food and feed or as fuel for the production of energy;</w:t>
            </w:r>
          </w:p>
        </w:tc>
      </w:tr>
      <w:tr w:rsidR="00D5076A" w:rsidRPr="00D5076A" w14:paraId="0380DEB9"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2686A9C2"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 xml:space="preserve">Regional Holistic Model (RHOMOLO) </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72997094" w14:textId="499063C3" w:rsidR="00D5076A" w:rsidRPr="00D5076A" w:rsidRDefault="00D5076A" w:rsidP="00603157">
            <w:pPr>
              <w:spacing w:before="0" w:after="0"/>
              <w:rPr>
                <w:noProof/>
                <w:sz w:val="20"/>
                <w:szCs w:val="20"/>
              </w:rPr>
            </w:pPr>
            <w:r w:rsidRPr="00D5076A">
              <w:rPr>
                <w:noProof/>
                <w:sz w:val="20"/>
                <w:szCs w:val="20"/>
              </w:rPr>
              <w:t>Recursively dynamic spatial computable general equilibrium model used to simulate the impact of EU policies, developed and maintained by the JRC. Main model used to estimate macroeconomic impacts in the context of the present IA.</w:t>
            </w:r>
            <w:r w:rsidRPr="00D5076A">
              <w:rPr>
                <w:noProof/>
                <w:sz w:val="20"/>
                <w:szCs w:val="20"/>
                <w:vertAlign w:val="superscript"/>
              </w:rPr>
              <w:footnoteReference w:id="2"/>
            </w:r>
            <w:r w:rsidRPr="00D5076A">
              <w:rPr>
                <w:noProof/>
                <w:sz w:val="20"/>
                <w:szCs w:val="20"/>
              </w:rPr>
              <w:t xml:space="preserve"> </w:t>
            </w:r>
          </w:p>
        </w:tc>
      </w:tr>
      <w:tr w:rsidR="00D5076A" w:rsidRPr="00D5076A" w14:paraId="37C4DD5E"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01ED038D"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Risk-sharing instrument</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7CADEF5E" w14:textId="77777777" w:rsidR="00D5076A" w:rsidRPr="00D5076A" w:rsidRDefault="00D5076A" w:rsidP="00603157">
            <w:pPr>
              <w:spacing w:before="0" w:after="0"/>
              <w:rPr>
                <w:noProof/>
                <w:sz w:val="20"/>
                <w:szCs w:val="20"/>
              </w:rPr>
            </w:pPr>
            <w:r w:rsidRPr="00D5076A">
              <w:rPr>
                <w:noProof/>
                <w:sz w:val="20"/>
                <w:szCs w:val="20"/>
              </w:rPr>
              <w:t>Financial instrument which allows for the sharing of a defined risk between two or more entities, where appropriate in exchange for an agreed remuneration.</w:t>
            </w:r>
          </w:p>
        </w:tc>
      </w:tr>
      <w:tr w:rsidR="00D5076A" w:rsidRPr="00D5076A" w14:paraId="7F40F658"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166D1F11"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Public procurement</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734D8053" w14:textId="77777777" w:rsidR="00D5076A" w:rsidRPr="00D5076A" w:rsidRDefault="00D5076A" w:rsidP="00603157">
            <w:pPr>
              <w:spacing w:before="0" w:after="0"/>
              <w:rPr>
                <w:noProof/>
                <w:sz w:val="20"/>
                <w:szCs w:val="20"/>
              </w:rPr>
            </w:pPr>
            <w:r w:rsidRPr="00D5076A">
              <w:rPr>
                <w:noProof/>
                <w:sz w:val="20"/>
                <w:szCs w:val="20"/>
              </w:rPr>
              <w:t>Process by which public authorities purchase goods, services, or works from private sector suppliers, following established rules and procedures.</w:t>
            </w:r>
          </w:p>
        </w:tc>
      </w:tr>
      <w:tr w:rsidR="00D5076A" w:rsidRPr="00D5076A" w14:paraId="635C5F6F"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7A379A75" w14:textId="77777777" w:rsidR="00D5076A" w:rsidRPr="00D5076A" w:rsidRDefault="00D5076A" w:rsidP="00603157">
            <w:pPr>
              <w:keepNext/>
              <w:keepLines/>
              <w:spacing w:before="0" w:after="0"/>
              <w:jc w:val="left"/>
              <w:rPr>
                <w:noProof/>
                <w:color w:val="000000"/>
                <w:sz w:val="20"/>
                <w:szCs w:val="20"/>
              </w:rPr>
            </w:pPr>
            <w:r w:rsidRPr="00D5076A">
              <w:rPr>
                <w:noProof/>
                <w:color w:val="000000"/>
                <w:sz w:val="20"/>
                <w:szCs w:val="20"/>
              </w:rPr>
              <w:t>Seal of excellence</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422D6A86" w14:textId="77777777" w:rsidR="00D5076A" w:rsidRPr="00D5076A" w:rsidRDefault="00D5076A" w:rsidP="00603157">
            <w:pPr>
              <w:keepNext/>
              <w:keepLines/>
              <w:spacing w:before="0" w:after="0"/>
              <w:rPr>
                <w:noProof/>
                <w:sz w:val="20"/>
                <w:szCs w:val="20"/>
              </w:rPr>
            </w:pPr>
            <w:r w:rsidRPr="00D5076A">
              <w:rPr>
                <w:noProof/>
                <w:sz w:val="20"/>
                <w:szCs w:val="20"/>
              </w:rPr>
              <w:t>A quality label which shows that a proposal submitted to a call for proposals exceeded all of the evaluation thresholds set out in the work programme, but could not be funded due to lack of budget available for that call for proposals in the work programme and might receive support from other EU or national sources of funding.</w:t>
            </w:r>
          </w:p>
        </w:tc>
      </w:tr>
      <w:tr w:rsidR="00D5076A" w:rsidRPr="00D5076A" w14:paraId="088AE7F9"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69C60D79"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STEP Seal</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6DFFC73A" w14:textId="77777777" w:rsidR="00D5076A" w:rsidRPr="00D5076A" w:rsidRDefault="00D5076A" w:rsidP="00603157">
            <w:pPr>
              <w:spacing w:before="0" w:after="0"/>
              <w:rPr>
                <w:noProof/>
                <w:sz w:val="20"/>
                <w:szCs w:val="20"/>
              </w:rPr>
            </w:pPr>
            <w:r w:rsidRPr="00D5076A">
              <w:rPr>
                <w:noProof/>
                <w:sz w:val="20"/>
                <w:szCs w:val="20"/>
              </w:rPr>
              <w:t>A quality label aimed at promoting high-quality proposals that contribute to the objectives or the Strategic Technologies for Europe Platform. It may be awarded to project proposals that meet all the quality requirements under relevant calls for proposals under the following programmes: Digital Europe programme, European Defence Fund, EU4Health, Horizon Europe, and the Innovation Fund. The seal is meant to certify the quality of such proposal and facilitate cumulative or combined funding from several EU budget instruments, as well as attracting private finance.</w:t>
            </w:r>
          </w:p>
        </w:tc>
      </w:tr>
      <w:tr w:rsidR="00D5076A" w:rsidRPr="00D5076A" w14:paraId="4DE3F204"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53F1DE26"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Success rate</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00E43578" w14:textId="77777777" w:rsidR="00D5076A" w:rsidRPr="00D5076A" w:rsidRDefault="00D5076A" w:rsidP="00603157">
            <w:pPr>
              <w:spacing w:before="0" w:after="0"/>
              <w:rPr>
                <w:noProof/>
                <w:sz w:val="20"/>
                <w:szCs w:val="20"/>
              </w:rPr>
            </w:pPr>
            <w:r w:rsidRPr="00D5076A">
              <w:rPr>
                <w:noProof/>
                <w:sz w:val="20"/>
                <w:szCs w:val="20"/>
              </w:rPr>
              <w:t>The percentage of proposals that are selected for funding out of the total number of eligible proposals expressed as a percentage (Retained proposals/Eligible proposals*100)</w:t>
            </w:r>
          </w:p>
        </w:tc>
      </w:tr>
      <w:tr w:rsidR="00D5076A" w:rsidRPr="00D5076A" w14:paraId="7D7CED6F"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3CC870DA"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Synergy</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709E21A0" w14:textId="77777777" w:rsidR="00D5076A" w:rsidRPr="00D5076A" w:rsidRDefault="00D5076A" w:rsidP="00603157">
            <w:pPr>
              <w:spacing w:before="0" w:after="0"/>
              <w:rPr>
                <w:noProof/>
                <w:sz w:val="20"/>
                <w:szCs w:val="20"/>
              </w:rPr>
            </w:pPr>
            <w:r w:rsidRPr="00D5076A">
              <w:rPr>
                <w:noProof/>
                <w:sz w:val="20"/>
                <w:szCs w:val="20"/>
              </w:rPr>
              <w:t xml:space="preserve">Synergy occurs when the impact of the results or programmes as a whole is greater than that of the sum of their individual impacts. </w:t>
            </w:r>
          </w:p>
        </w:tc>
      </w:tr>
      <w:tr w:rsidR="00D5076A" w:rsidRPr="00D5076A" w14:paraId="70039F3C"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3CADB455"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Technology readiness levels (TRLs)</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6EEC0834" w14:textId="77777777" w:rsidR="00D5076A" w:rsidRPr="00D5076A" w:rsidRDefault="00D5076A" w:rsidP="00603157">
            <w:pPr>
              <w:spacing w:before="0" w:after="0"/>
              <w:rPr>
                <w:noProof/>
                <w:sz w:val="20"/>
                <w:szCs w:val="20"/>
              </w:rPr>
            </w:pPr>
            <w:r w:rsidRPr="00D5076A">
              <w:rPr>
                <w:noProof/>
                <w:sz w:val="20"/>
                <w:szCs w:val="20"/>
              </w:rPr>
              <w:t>Technology readiness levels indicate the maturity level of particular technologies through a common understanding of technology status and address the entire innovation chain. TRL 1 – basic principles observed; TRL 2 – technology concept formulated; TRL 3 – experimental proof of concept; TRL 4 – technology validated in the lab; TRL 5 – technology validated in a suitable environment; TRL 6 – technology demonstrated in a suitable environment; TRL 7 – system prototype demonstration in an operational environment; TRL 8 – system complete and qualified; TRL 9 – actual system proven in an operational environment</w:t>
            </w:r>
          </w:p>
        </w:tc>
      </w:tr>
      <w:tr w:rsidR="00D5076A" w:rsidRPr="00D5076A" w14:paraId="198328FE"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5600B3D0"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Unicorn</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73FF0581" w14:textId="77777777" w:rsidR="00D5076A" w:rsidRPr="00D5076A" w:rsidRDefault="00D5076A" w:rsidP="00603157">
            <w:pPr>
              <w:spacing w:before="0" w:after="0"/>
              <w:rPr>
                <w:noProof/>
                <w:sz w:val="20"/>
                <w:szCs w:val="20"/>
                <w:lang w:val="en-IE"/>
              </w:rPr>
            </w:pPr>
            <w:r w:rsidRPr="00D5076A">
              <w:rPr>
                <w:noProof/>
                <w:sz w:val="20"/>
                <w:szCs w:val="20"/>
              </w:rPr>
              <w:t>Privately owned start-up company, which has reached a valuation of $1 billion (currently about EUR 882 million) or more.</w:t>
            </w:r>
          </w:p>
        </w:tc>
      </w:tr>
      <w:tr w:rsidR="00D5076A" w:rsidRPr="00D5076A" w14:paraId="2470A960" w14:textId="77777777">
        <w:trPr>
          <w:trHeight w:val="300"/>
        </w:trPr>
        <w:tc>
          <w:tcPr>
            <w:tcW w:w="201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57C846F4" w14:textId="77777777" w:rsidR="00D5076A" w:rsidRPr="00D5076A" w:rsidRDefault="00D5076A" w:rsidP="00603157">
            <w:pPr>
              <w:spacing w:before="0" w:after="0"/>
              <w:jc w:val="left"/>
              <w:rPr>
                <w:noProof/>
                <w:color w:val="000000"/>
                <w:sz w:val="20"/>
                <w:szCs w:val="20"/>
              </w:rPr>
            </w:pPr>
            <w:r w:rsidRPr="00D5076A">
              <w:rPr>
                <w:noProof/>
                <w:color w:val="000000"/>
                <w:sz w:val="20"/>
                <w:szCs w:val="20"/>
              </w:rPr>
              <w:t>Venture capital</w:t>
            </w:r>
          </w:p>
        </w:tc>
        <w:tc>
          <w:tcPr>
            <w:tcW w:w="6987"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tcPr>
          <w:p w14:paraId="54AA4D9F" w14:textId="588B95E8" w:rsidR="00D5076A" w:rsidRPr="00D5076A" w:rsidRDefault="00D5076A" w:rsidP="00603157">
            <w:pPr>
              <w:spacing w:before="0" w:after="0"/>
              <w:rPr>
                <w:noProof/>
                <w:sz w:val="20"/>
                <w:szCs w:val="20"/>
              </w:rPr>
            </w:pPr>
            <w:r w:rsidRPr="00D5076A">
              <w:rPr>
                <w:noProof/>
                <w:sz w:val="20"/>
                <w:szCs w:val="20"/>
              </w:rPr>
              <w:t>Private equity financing that is provided to startups and small businesses with high growth potential, often in exchange for equity or ownership stakes, with the goal of achieving significant returns.</w:t>
            </w:r>
          </w:p>
        </w:tc>
      </w:tr>
    </w:tbl>
    <w:p w14:paraId="111E8ED6" w14:textId="77777777" w:rsidR="00D5076A" w:rsidRPr="00D5076A" w:rsidRDefault="00D5076A" w:rsidP="00603157">
      <w:pPr>
        <w:spacing w:before="0" w:after="0"/>
        <w:jc w:val="left"/>
        <w:rPr>
          <w:rFonts w:ascii="Aptos" w:eastAsia="MS Mincho" w:hAnsi="Aptos" w:cs="Arial"/>
          <w:noProof/>
          <w:lang w:val="en-US" w:eastAsia="ja-JP"/>
        </w:rPr>
      </w:pPr>
    </w:p>
    <w:p w14:paraId="5C5A5BBE" w14:textId="77777777" w:rsidR="00D5076A" w:rsidRPr="00D5076A" w:rsidRDefault="00D5076A" w:rsidP="00603157">
      <w:pPr>
        <w:spacing w:before="0" w:after="0"/>
        <w:jc w:val="left"/>
        <w:rPr>
          <w:rFonts w:ascii="Aptos" w:eastAsia="MS Mincho" w:hAnsi="Aptos" w:cs="Arial"/>
          <w:noProof/>
          <w:lang w:val="en-US" w:eastAsia="ja-JP"/>
        </w:rPr>
      </w:pPr>
    </w:p>
    <w:p w14:paraId="682E5D9C" w14:textId="77777777" w:rsidR="00CA0E68" w:rsidRDefault="00CA0E68" w:rsidP="00603157">
      <w:pPr>
        <w:spacing w:before="0" w:after="200"/>
        <w:jc w:val="left"/>
        <w:rPr>
          <w:rFonts w:eastAsia="Times New Roman"/>
          <w:b/>
          <w:smallCaps/>
          <w:noProof/>
          <w:szCs w:val="20"/>
          <w:lang w:val="en-IE"/>
        </w:rPr>
      </w:pPr>
      <w:bookmarkStart w:id="1" w:name="_Toc192172345"/>
      <w:bookmarkStart w:id="2" w:name="_Toc195700181"/>
      <w:r>
        <w:rPr>
          <w:noProof/>
          <w:lang w:val="en-IE"/>
        </w:rPr>
        <w:br w:type="page"/>
      </w:r>
    </w:p>
    <w:p w14:paraId="473747AA" w14:textId="5AE6ED67" w:rsidR="006B087E" w:rsidRDefault="74AA4C2D" w:rsidP="00603157">
      <w:pPr>
        <w:pStyle w:val="Heading1"/>
        <w:numPr>
          <w:ilvl w:val="0"/>
          <w:numId w:val="0"/>
        </w:numPr>
        <w:rPr>
          <w:noProof/>
          <w:lang w:val="en-IE"/>
        </w:rPr>
      </w:pPr>
      <w:bookmarkStart w:id="3" w:name="_Toc203043632"/>
      <w:r w:rsidRPr="196DCCA6">
        <w:rPr>
          <w:noProof/>
          <w:lang w:val="en-IE"/>
        </w:rPr>
        <w:t xml:space="preserve">1. </w:t>
      </w:r>
      <w:r w:rsidR="504F2981" w:rsidRPr="196DCCA6">
        <w:rPr>
          <w:noProof/>
          <w:lang w:val="en-IE"/>
        </w:rPr>
        <w:t>Introduction: Political and legal context</w:t>
      </w:r>
      <w:bookmarkEnd w:id="1"/>
      <w:bookmarkEnd w:id="2"/>
      <w:bookmarkEnd w:id="3"/>
    </w:p>
    <w:p w14:paraId="4611F89A" w14:textId="77777777" w:rsidR="004A7B51" w:rsidRDefault="004A7B51" w:rsidP="008C51EB">
      <w:pPr>
        <w:pStyle w:val="Text1"/>
        <w:numPr>
          <w:ilvl w:val="1"/>
          <w:numId w:val="19"/>
        </w:numPr>
        <w:rPr>
          <w:b/>
          <w:bCs/>
          <w:noProof/>
          <w:lang w:val="en-IE"/>
        </w:rPr>
      </w:pPr>
      <w:r w:rsidRPr="046C09E1">
        <w:rPr>
          <w:b/>
          <w:bCs/>
          <w:noProof/>
          <w:lang w:val="en-IE"/>
        </w:rPr>
        <w:t xml:space="preserve">Policy context </w:t>
      </w:r>
    </w:p>
    <w:p w14:paraId="3591188A" w14:textId="59392148" w:rsidR="00545912" w:rsidRDefault="00545912" w:rsidP="00603157">
      <w:pPr>
        <w:rPr>
          <w:noProof/>
          <w:lang w:val="en-IE"/>
        </w:rPr>
      </w:pPr>
      <w:r w:rsidRPr="046C09E1">
        <w:rPr>
          <w:b/>
          <w:bCs/>
          <w:noProof/>
          <w:lang w:val="en-IE"/>
        </w:rPr>
        <w:t>Europe is facing a defining period for its future, from a political, economic, social</w:t>
      </w:r>
      <w:r w:rsidR="28398B21" w:rsidRPr="60444478">
        <w:rPr>
          <w:b/>
          <w:bCs/>
          <w:noProof/>
          <w:lang w:val="en-IE"/>
        </w:rPr>
        <w:t>,</w:t>
      </w:r>
      <w:r w:rsidRPr="046C09E1">
        <w:rPr>
          <w:b/>
          <w:bCs/>
          <w:noProof/>
          <w:lang w:val="en-IE"/>
        </w:rPr>
        <w:t xml:space="preserve"> environmental </w:t>
      </w:r>
      <w:r w:rsidR="73EBC450" w:rsidRPr="046C09E1">
        <w:rPr>
          <w:b/>
          <w:bCs/>
          <w:noProof/>
          <w:lang w:val="en-IE"/>
        </w:rPr>
        <w:t xml:space="preserve">and security </w:t>
      </w:r>
      <w:r w:rsidRPr="046C09E1">
        <w:rPr>
          <w:b/>
          <w:bCs/>
          <w:noProof/>
          <w:lang w:val="en-IE"/>
        </w:rPr>
        <w:t>perspective</w:t>
      </w:r>
      <w:r w:rsidRPr="046C09E1">
        <w:rPr>
          <w:noProof/>
          <w:lang w:val="en-IE"/>
        </w:rPr>
        <w:t xml:space="preserve">. </w:t>
      </w:r>
    </w:p>
    <w:p w14:paraId="1A673F14" w14:textId="5246DA75" w:rsidR="00545912" w:rsidRPr="007E33D2" w:rsidRDefault="7C7CB8DB" w:rsidP="00603157">
      <w:pPr>
        <w:rPr>
          <w:noProof/>
          <w:lang w:val="en-IE"/>
        </w:rPr>
      </w:pPr>
      <w:r w:rsidRPr="2A1AD167">
        <w:rPr>
          <w:noProof/>
          <w:lang w:val="en-IE"/>
        </w:rPr>
        <w:t xml:space="preserve">The past few years have been characterised by a </w:t>
      </w:r>
      <w:r w:rsidRPr="2A1AD167">
        <w:rPr>
          <w:b/>
          <w:bCs/>
          <w:noProof/>
          <w:lang w:val="en-IE"/>
        </w:rPr>
        <w:t xml:space="preserve">highly volatile and </w:t>
      </w:r>
      <w:r w:rsidRPr="633E22A3">
        <w:rPr>
          <w:b/>
          <w:bCs/>
          <w:noProof/>
          <w:lang w:val="en-IE"/>
        </w:rPr>
        <w:t>complex</w:t>
      </w:r>
      <w:r w:rsidRPr="2A1AD167">
        <w:rPr>
          <w:b/>
          <w:bCs/>
          <w:noProof/>
          <w:lang w:val="en-IE"/>
        </w:rPr>
        <w:t xml:space="preserve"> political context.</w:t>
      </w:r>
      <w:r w:rsidRPr="2A1AD167">
        <w:rPr>
          <w:noProof/>
          <w:lang w:val="en-IE"/>
        </w:rPr>
        <w:t xml:space="preserve"> Geopolitical instability, especially after</w:t>
      </w:r>
      <w:r w:rsidRPr="2A1AD167">
        <w:rPr>
          <w:rFonts w:eastAsia="Verdana"/>
          <w:noProof/>
          <w:lang w:val="en-IE"/>
        </w:rPr>
        <w:t xml:space="preserve"> Russia's war of aggression against Ukraine</w:t>
      </w:r>
      <w:r w:rsidRPr="2A1AD167">
        <w:rPr>
          <w:noProof/>
          <w:lang w:val="en-IE"/>
        </w:rPr>
        <w:t xml:space="preserve">; a steep technological race; rising energy prices; the </w:t>
      </w:r>
      <w:r w:rsidR="2B71A8EB" w:rsidRPr="2A1AD167">
        <w:rPr>
          <w:noProof/>
          <w:lang w:val="en-IE"/>
        </w:rPr>
        <w:t>disruption of supply chains, including</w:t>
      </w:r>
      <w:r w:rsidR="7C6F368D" w:rsidRPr="2A1AD167">
        <w:rPr>
          <w:noProof/>
          <w:lang w:val="en-IE"/>
        </w:rPr>
        <w:t xml:space="preserve"> </w:t>
      </w:r>
      <w:r w:rsidRPr="2A1AD167">
        <w:rPr>
          <w:noProof/>
          <w:lang w:val="en-IE"/>
        </w:rPr>
        <w:t>critical raw materials; the COVID</w:t>
      </w:r>
      <w:r w:rsidR="76516392" w:rsidRPr="1706560B">
        <w:rPr>
          <w:noProof/>
          <w:lang w:val="en-IE"/>
        </w:rPr>
        <w:t>-19</w:t>
      </w:r>
      <w:r w:rsidRPr="2A1AD167">
        <w:rPr>
          <w:noProof/>
          <w:lang w:val="en-IE"/>
        </w:rPr>
        <w:t xml:space="preserve"> pandemic; and demographic changes have all contributed to this. Moreover, the </w:t>
      </w:r>
      <w:r w:rsidRPr="2A1AD167">
        <w:rPr>
          <w:b/>
          <w:bCs/>
          <w:noProof/>
          <w:lang w:val="en-IE"/>
        </w:rPr>
        <w:t>climate and biodiversity crises</w:t>
      </w:r>
      <w:r w:rsidRPr="2A1AD167">
        <w:rPr>
          <w:noProof/>
          <w:lang w:val="en-IE"/>
        </w:rPr>
        <w:t xml:space="preserve"> are continuing to accelerate. New security threats affecting our essential services and critical infrastructures are testing the EU’s resilience</w:t>
      </w:r>
      <w:r w:rsidR="575E1F3C" w:rsidRPr="2A1AD167">
        <w:rPr>
          <w:noProof/>
          <w:lang w:val="en-IE"/>
        </w:rPr>
        <w:t xml:space="preserve"> and call for reinforced industrial readiness</w:t>
      </w:r>
      <w:r w:rsidR="004C52AE">
        <w:rPr>
          <w:noProof/>
          <w:lang w:val="en-IE"/>
        </w:rPr>
        <w:t>.</w:t>
      </w:r>
    </w:p>
    <w:p w14:paraId="19AB1A7A" w14:textId="39BD99F8" w:rsidR="00EE0018" w:rsidRDefault="4651A997" w:rsidP="00603157">
      <w:pPr>
        <w:rPr>
          <w:noProof/>
          <w:lang w:val="en-IE"/>
        </w:rPr>
      </w:pPr>
      <w:r w:rsidRPr="046C09E1">
        <w:rPr>
          <w:noProof/>
          <w:lang w:val="en-IE"/>
        </w:rPr>
        <w:t xml:space="preserve">In the face of these challenges, </w:t>
      </w:r>
      <w:r w:rsidRPr="046C09E1">
        <w:rPr>
          <w:b/>
          <w:bCs/>
          <w:noProof/>
          <w:lang w:val="en-IE"/>
        </w:rPr>
        <w:t>the EU has been on a slow productivity growth path since the beginning of the century.</w:t>
      </w:r>
      <w:r w:rsidRPr="046C09E1">
        <w:rPr>
          <w:noProof/>
          <w:lang w:val="en-IE"/>
        </w:rPr>
        <w:t xml:space="preserve"> Profound innovation and technology gaps with other advanced economies, particularly China and the US, have opened up</w:t>
      </w:r>
      <w:r w:rsidR="47D85E95" w:rsidRPr="046C09E1">
        <w:rPr>
          <w:noProof/>
          <w:lang w:val="en-IE"/>
        </w:rPr>
        <w:t xml:space="preserve"> and widened</w:t>
      </w:r>
      <w:r w:rsidRPr="046C09E1">
        <w:rPr>
          <w:noProof/>
          <w:lang w:val="en-IE"/>
        </w:rPr>
        <w:t xml:space="preserve">. These undermine the EU’s capacity to fulfil its own goals, as well as its position in the global arena, hindering its </w:t>
      </w:r>
      <w:r w:rsidR="4C6F6762" w:rsidRPr="046C09E1">
        <w:rPr>
          <w:noProof/>
          <w:lang w:val="en-IE"/>
        </w:rPr>
        <w:t xml:space="preserve">competitiveness, </w:t>
      </w:r>
      <w:r w:rsidRPr="046C09E1">
        <w:rPr>
          <w:noProof/>
          <w:lang w:val="en-IE"/>
        </w:rPr>
        <w:t>resilience and autonomy.</w:t>
      </w:r>
      <w:r w:rsidR="00545912" w:rsidRPr="007E33D2">
        <w:rPr>
          <w:noProof/>
          <w:vertAlign w:val="superscript"/>
          <w:lang w:val="en-IE"/>
        </w:rPr>
        <w:footnoteReference w:id="3"/>
      </w:r>
      <w:r w:rsidRPr="046C09E1">
        <w:rPr>
          <w:noProof/>
          <w:lang w:val="en-IE"/>
        </w:rPr>
        <w:t xml:space="preserve"> </w:t>
      </w:r>
      <w:r w:rsidR="4CA4E665" w:rsidRPr="3C29BB1B">
        <w:rPr>
          <w:b/>
          <w:bCs/>
          <w:noProof/>
          <w:lang w:val="en-IE"/>
        </w:rPr>
        <w:t>Enhancing the competitiveness of the European Union has emerged as a critical priority</w:t>
      </w:r>
      <w:r w:rsidR="4CA4E665" w:rsidRPr="3C29BB1B">
        <w:rPr>
          <w:noProof/>
          <w:lang w:val="en-IE"/>
        </w:rPr>
        <w:t xml:space="preserve">. </w:t>
      </w:r>
    </w:p>
    <w:p w14:paraId="2149E5C1" w14:textId="65B97506" w:rsidR="001E79D9" w:rsidRDefault="001E79D9" w:rsidP="00603157">
      <w:pPr>
        <w:rPr>
          <w:noProof/>
          <w:lang w:val="en-IE"/>
        </w:rPr>
      </w:pPr>
      <w:r w:rsidRPr="001E79D9">
        <w:rPr>
          <w:noProof/>
        </w:rPr>
        <w:t>European competitiveness, as framed in the European Commission’s Competitiveness Compass</w:t>
      </w:r>
      <w:r w:rsidR="00A20DE8">
        <w:rPr>
          <w:rStyle w:val="FootnoteReference"/>
          <w:noProof/>
        </w:rPr>
        <w:footnoteReference w:id="4"/>
      </w:r>
      <w:r w:rsidRPr="001E79D9">
        <w:rPr>
          <w:noProof/>
        </w:rPr>
        <w:t xml:space="preserve">, encompasses the EU's capacity to </w:t>
      </w:r>
      <w:r w:rsidR="00A721EF">
        <w:rPr>
          <w:noProof/>
        </w:rPr>
        <w:t xml:space="preserve">raise productivity growth, </w:t>
      </w:r>
      <w:r w:rsidRPr="001E79D9">
        <w:rPr>
          <w:noProof/>
        </w:rPr>
        <w:t xml:space="preserve">high living standards, and strategic autonomy in a rapidly evolving global landscape. This concept extends beyond </w:t>
      </w:r>
      <w:r w:rsidR="00B33EF2">
        <w:rPr>
          <w:noProof/>
        </w:rPr>
        <w:t xml:space="preserve">the </w:t>
      </w:r>
      <w:r w:rsidRPr="001E79D9">
        <w:rPr>
          <w:noProof/>
        </w:rPr>
        <w:t>traditional cost-based competition, emphasi</w:t>
      </w:r>
      <w:r w:rsidR="001549E1">
        <w:rPr>
          <w:noProof/>
        </w:rPr>
        <w:t>s</w:t>
      </w:r>
      <w:r w:rsidRPr="001E79D9">
        <w:rPr>
          <w:noProof/>
        </w:rPr>
        <w:t>ing innovation, investment, resilience, and industrial strength, particularly in green, digital, and key critical sectors.</w:t>
      </w:r>
      <w:r w:rsidR="00FC18AD">
        <w:rPr>
          <w:noProof/>
        </w:rPr>
        <w:t xml:space="preserve"> </w:t>
      </w:r>
    </w:p>
    <w:p w14:paraId="3B0D1DFD" w14:textId="4C793E52" w:rsidR="00545912" w:rsidRDefault="4CA4E665" w:rsidP="00603157">
      <w:pPr>
        <w:rPr>
          <w:noProof/>
          <w:lang w:val="en-IE"/>
        </w:rPr>
      </w:pPr>
      <w:r w:rsidRPr="3C29BB1B">
        <w:rPr>
          <w:noProof/>
          <w:lang w:val="en-IE"/>
        </w:rPr>
        <w:t xml:space="preserve">In a global landscape marked by fast </w:t>
      </w:r>
      <w:r w:rsidR="69C1143E" w:rsidRPr="3C29BB1B">
        <w:rPr>
          <w:noProof/>
          <w:lang w:val="en-IE"/>
        </w:rPr>
        <w:t>technological</w:t>
      </w:r>
      <w:r w:rsidRPr="3C29BB1B">
        <w:rPr>
          <w:noProof/>
          <w:lang w:val="en-IE"/>
        </w:rPr>
        <w:t xml:space="preserve"> progress, increasing economic competition and trade protectionism, </w:t>
      </w:r>
      <w:r w:rsidRPr="00B03DD3">
        <w:rPr>
          <w:b/>
          <w:noProof/>
          <w:lang w:val="en-IE"/>
        </w:rPr>
        <w:t xml:space="preserve">the EU must </w:t>
      </w:r>
      <w:r w:rsidR="1AE258C2" w:rsidRPr="00B03DD3">
        <w:rPr>
          <w:b/>
          <w:noProof/>
          <w:lang w:val="en-IE"/>
        </w:rPr>
        <w:t>strengthen</w:t>
      </w:r>
      <w:r w:rsidR="7DCE7B2B" w:rsidRPr="00B03DD3">
        <w:rPr>
          <w:b/>
          <w:noProof/>
          <w:lang w:val="en-IE"/>
        </w:rPr>
        <w:t xml:space="preserve"> its research base </w:t>
      </w:r>
      <w:r w:rsidRPr="00B03DD3">
        <w:rPr>
          <w:b/>
          <w:noProof/>
          <w:lang w:val="en-IE"/>
        </w:rPr>
        <w:t>to focus more on strategic priorities, on groundbreaking fundamental research, scientific excellence and disruptive innovation,</w:t>
      </w:r>
      <w:r w:rsidR="00545912" w:rsidRPr="6E30849C">
        <w:rPr>
          <w:rStyle w:val="FootnoteReference"/>
          <w:b/>
          <w:noProof/>
          <w:lang w:val="en-IE"/>
        </w:rPr>
        <w:footnoteReference w:id="5"/>
      </w:r>
      <w:r w:rsidRPr="00B03DD3">
        <w:rPr>
          <w:b/>
          <w:noProof/>
          <w:lang w:val="en-IE"/>
        </w:rPr>
        <w:t xml:space="preserve"> while improving its productivity</w:t>
      </w:r>
      <w:r w:rsidR="52ABEDA3" w:rsidRPr="00B03DD3">
        <w:rPr>
          <w:b/>
          <w:noProof/>
          <w:lang w:val="en-IE"/>
        </w:rPr>
        <w:t>, connection with the market</w:t>
      </w:r>
      <w:r w:rsidRPr="00B03DD3">
        <w:rPr>
          <w:b/>
          <w:noProof/>
          <w:lang w:val="en-IE"/>
        </w:rPr>
        <w:t xml:space="preserve"> and stimulating growth</w:t>
      </w:r>
      <w:r w:rsidRPr="3C29BB1B">
        <w:rPr>
          <w:noProof/>
          <w:lang w:val="en-IE"/>
        </w:rPr>
        <w:t>. Promoting the competitiveness of the EU will require deeper integration and coordination across Member States</w:t>
      </w:r>
      <w:r w:rsidR="00C81099">
        <w:rPr>
          <w:noProof/>
          <w:lang w:val="en-IE"/>
        </w:rPr>
        <w:t>;</w:t>
      </w:r>
      <w:r w:rsidRPr="3C29BB1B">
        <w:rPr>
          <w:noProof/>
          <w:lang w:val="en-IE"/>
        </w:rPr>
        <w:t xml:space="preserve"> a new approach to industrial sectors</w:t>
      </w:r>
      <w:r w:rsidR="4CC89A99" w:rsidRPr="3C29BB1B">
        <w:rPr>
          <w:noProof/>
          <w:lang w:val="en-IE"/>
        </w:rPr>
        <w:t xml:space="preserve"> and services </w:t>
      </w:r>
      <w:r w:rsidR="0F9EFB69" w:rsidRPr="3C29BB1B">
        <w:rPr>
          <w:noProof/>
          <w:lang w:val="en-IE"/>
        </w:rPr>
        <w:t>enabling</w:t>
      </w:r>
      <w:r w:rsidR="4CC89A99" w:rsidRPr="3C29BB1B">
        <w:rPr>
          <w:noProof/>
          <w:lang w:val="en-IE"/>
        </w:rPr>
        <w:t xml:space="preserve"> competitiveness</w:t>
      </w:r>
      <w:r w:rsidR="00A73AC9">
        <w:rPr>
          <w:noProof/>
          <w:lang w:val="en-IE"/>
        </w:rPr>
        <w:t xml:space="preserve"> and economic security</w:t>
      </w:r>
      <w:r w:rsidR="00C81099">
        <w:rPr>
          <w:noProof/>
          <w:lang w:val="en-IE"/>
        </w:rPr>
        <w:t>;</w:t>
      </w:r>
      <w:r w:rsidRPr="3C29BB1B">
        <w:rPr>
          <w:noProof/>
          <w:lang w:val="en-IE"/>
        </w:rPr>
        <w:t xml:space="preserve"> and putting research and innovation, science and technology, at the centre of our economy. Security – both internal and external – along with resilience and preparedness, are also pre-conditions for competitiveness and are among the highest political priorities for the European Commission.</w:t>
      </w:r>
      <w:r w:rsidR="00545912" w:rsidRPr="007E33D2">
        <w:rPr>
          <w:noProof/>
          <w:vertAlign w:val="superscript"/>
          <w:lang w:val="en-IE"/>
        </w:rPr>
        <w:footnoteReference w:id="6"/>
      </w:r>
      <w:r w:rsidR="019326D9" w:rsidRPr="3C29BB1B">
        <w:rPr>
          <w:rFonts w:eastAsia="Times New Roman"/>
          <w:noProof/>
          <w:lang w:val="en-IE"/>
        </w:rPr>
        <w:t xml:space="preserve"> Reducing dependencies</w:t>
      </w:r>
      <w:r w:rsidR="00143590">
        <w:rPr>
          <w:rFonts w:eastAsia="Times New Roman"/>
          <w:noProof/>
          <w:lang w:val="en-IE"/>
        </w:rPr>
        <w:t xml:space="preserve"> and diversifying value chains</w:t>
      </w:r>
      <w:r w:rsidR="019326D9" w:rsidRPr="3C29BB1B">
        <w:rPr>
          <w:rFonts w:eastAsia="Times New Roman"/>
          <w:noProof/>
          <w:lang w:val="en-IE"/>
        </w:rPr>
        <w:t xml:space="preserve"> across the key areas where Europe is exposed will require significant investments: Europe heavily depends on imports ranging from raw materials to advanced technology; around 40% of Europe’s imports are sourced from a small number of suppliers and difficult to substitute, and around half of these imports originate from countries with which it is not strategically aligned</w:t>
      </w:r>
      <w:r w:rsidR="4987292E" w:rsidRPr="3C29BB1B">
        <w:rPr>
          <w:rFonts w:eastAsia="Times New Roman"/>
          <w:noProof/>
          <w:lang w:val="en-IE"/>
        </w:rPr>
        <w:t>.</w:t>
      </w:r>
      <w:r w:rsidR="00776F7C" w:rsidRPr="005775BD">
        <w:rPr>
          <w:rFonts w:eastAsia="Times New Roman"/>
          <w:noProof/>
          <w:vertAlign w:val="superscript"/>
          <w:lang w:val="en-IE"/>
        </w:rPr>
        <w:footnoteReference w:id="7"/>
      </w:r>
    </w:p>
    <w:p w14:paraId="79A8BAA0" w14:textId="77777777" w:rsidR="00603157" w:rsidRDefault="4651A997" w:rsidP="00603157">
      <w:pPr>
        <w:spacing w:before="0" w:after="0"/>
        <w:rPr>
          <w:rFonts w:eastAsia="Times New Roman"/>
          <w:noProof/>
        </w:rPr>
      </w:pPr>
      <w:r w:rsidRPr="35150751">
        <w:rPr>
          <w:b/>
          <w:bCs/>
          <w:noProof/>
        </w:rPr>
        <w:t xml:space="preserve">Finally, greater emphasis should be put on leveraging private sector participation by improving the use of risk-sharing mechanisms between EU funds and private investors. </w:t>
      </w:r>
      <w:r w:rsidRPr="35150751">
        <w:rPr>
          <w:noProof/>
        </w:rPr>
        <w:t>The objectives of EU funding and the Savings and Investments Union</w:t>
      </w:r>
      <w:r w:rsidR="00363477">
        <w:rPr>
          <w:rStyle w:val="FootnoteReference"/>
          <w:noProof/>
        </w:rPr>
        <w:footnoteReference w:id="8"/>
      </w:r>
      <w:r w:rsidRPr="35150751">
        <w:rPr>
          <w:noProof/>
        </w:rPr>
        <w:t xml:space="preserve"> should be mutually reinforcing in unlocking additional funding for EU priorities in all Member States by leveraging the impact of public money and crowding in private and institutional investors.</w:t>
      </w:r>
      <w:r w:rsidR="047B6CB7" w:rsidRPr="35150751">
        <w:rPr>
          <w:rFonts w:eastAsia="Times New Roman"/>
          <w:noProof/>
        </w:rPr>
        <w:t xml:space="preserve"> In the European Union, investment culture tends to be more risk-averse compared to the United States. This is evident in stricter regulatory frameworks and a preference for conservative financial products, such as bank deposits and bonds, over equities and venture capital. </w:t>
      </w:r>
    </w:p>
    <w:p w14:paraId="0226E50A" w14:textId="1D9509E1" w:rsidR="004D64A9" w:rsidRDefault="047B6CB7" w:rsidP="00603157">
      <w:pPr>
        <w:spacing w:before="0" w:after="0"/>
        <w:rPr>
          <w:rFonts w:eastAsia="Times New Roman"/>
          <w:noProof/>
        </w:rPr>
      </w:pPr>
      <w:r w:rsidRPr="35150751">
        <w:rPr>
          <w:rFonts w:eastAsia="Times New Roman"/>
          <w:noProof/>
        </w:rPr>
        <w:t>European households and institutional investors often exhibit caution, allocating a larger proportion of their capital to safer assets.</w:t>
      </w:r>
      <w:r w:rsidR="4651A997" w:rsidRPr="35150751">
        <w:rPr>
          <w:noProof/>
          <w:vertAlign w:val="superscript"/>
        </w:rPr>
        <w:footnoteReference w:id="9"/>
      </w:r>
      <w:r w:rsidR="004F529B" w:rsidRPr="35150751">
        <w:rPr>
          <w:noProof/>
        </w:rPr>
        <w:t xml:space="preserve"> </w:t>
      </w:r>
      <w:r w:rsidR="00756A32" w:rsidRPr="35150751">
        <w:rPr>
          <w:rFonts w:eastAsia="Times New Roman"/>
          <w:noProof/>
        </w:rPr>
        <w:t>Risk aversion</w:t>
      </w:r>
      <w:r w:rsidR="6491A791" w:rsidRPr="35150751">
        <w:rPr>
          <w:rFonts w:eastAsia="Times New Roman"/>
          <w:noProof/>
        </w:rPr>
        <w:t xml:space="preserve"> is further compounded by fragmented capital markets across EU </w:t>
      </w:r>
      <w:r w:rsidR="00756A32" w:rsidRPr="35150751">
        <w:rPr>
          <w:rFonts w:eastAsia="Times New Roman"/>
          <w:noProof/>
        </w:rPr>
        <w:t>M</w:t>
      </w:r>
      <w:r w:rsidR="6491A791" w:rsidRPr="35150751">
        <w:rPr>
          <w:rFonts w:eastAsia="Times New Roman"/>
          <w:noProof/>
        </w:rPr>
        <w:t xml:space="preserve">ember </w:t>
      </w:r>
      <w:r w:rsidR="00756A32" w:rsidRPr="35150751">
        <w:rPr>
          <w:rFonts w:eastAsia="Times New Roman"/>
          <w:noProof/>
        </w:rPr>
        <w:t>S</w:t>
      </w:r>
      <w:r w:rsidR="6491A791" w:rsidRPr="35150751">
        <w:rPr>
          <w:rFonts w:eastAsia="Times New Roman"/>
          <w:noProof/>
        </w:rPr>
        <w:t>tates</w:t>
      </w:r>
      <w:r w:rsidR="00A7733A" w:rsidRPr="35150751">
        <w:rPr>
          <w:rFonts w:eastAsia="Times New Roman"/>
          <w:noProof/>
        </w:rPr>
        <w:t>.</w:t>
      </w:r>
    </w:p>
    <w:p w14:paraId="7D429682" w14:textId="0BDFA438" w:rsidR="00803E73" w:rsidRPr="009D3F59" w:rsidRDefault="00B6161D" w:rsidP="008C51EB">
      <w:pPr>
        <w:pStyle w:val="Text1"/>
        <w:numPr>
          <w:ilvl w:val="1"/>
          <w:numId w:val="19"/>
        </w:numPr>
        <w:rPr>
          <w:b/>
          <w:noProof/>
          <w:lang w:val="en-IE"/>
        </w:rPr>
      </w:pPr>
      <w:r>
        <w:rPr>
          <w:b/>
          <w:bCs/>
          <w:noProof/>
          <w:lang w:val="en-IE"/>
        </w:rPr>
        <w:t>Scope</w:t>
      </w:r>
    </w:p>
    <w:p w14:paraId="7E94E771" w14:textId="57480970" w:rsidR="00803E73" w:rsidRPr="009952CF" w:rsidRDefault="54C284F4" w:rsidP="00603157">
      <w:pPr>
        <w:rPr>
          <w:noProof/>
          <w:lang w:val="en-IE"/>
        </w:rPr>
      </w:pPr>
      <w:r w:rsidRPr="002130E6">
        <w:rPr>
          <w:b/>
          <w:noProof/>
          <w:lang w:val="en-IE"/>
        </w:rPr>
        <w:t>The</w:t>
      </w:r>
      <w:r w:rsidRPr="007E33D2">
        <w:rPr>
          <w:noProof/>
          <w:lang w:val="en-IE"/>
        </w:rPr>
        <w:t xml:space="preserve"> </w:t>
      </w:r>
      <w:r w:rsidRPr="046C09E1">
        <w:rPr>
          <w:b/>
          <w:bCs/>
          <w:noProof/>
          <w:lang w:val="en-IE"/>
        </w:rPr>
        <w:t xml:space="preserve">Commission President’s Political Guidelines for 2024-2029 announced the </w:t>
      </w:r>
      <w:r w:rsidR="15C1A4DF" w:rsidRPr="046C09E1">
        <w:rPr>
          <w:b/>
          <w:bCs/>
          <w:noProof/>
          <w:lang w:val="en-IE"/>
        </w:rPr>
        <w:t>establishment</w:t>
      </w:r>
      <w:r w:rsidR="07B59C79" w:rsidRPr="046C09E1">
        <w:rPr>
          <w:b/>
          <w:bCs/>
          <w:noProof/>
          <w:lang w:val="en-IE"/>
        </w:rPr>
        <w:t xml:space="preserve"> </w:t>
      </w:r>
      <w:r w:rsidRPr="046C09E1">
        <w:rPr>
          <w:b/>
          <w:bCs/>
          <w:noProof/>
          <w:lang w:val="en-IE"/>
        </w:rPr>
        <w:t xml:space="preserve">of a </w:t>
      </w:r>
      <w:r w:rsidR="45342095" w:rsidRPr="046C09E1">
        <w:rPr>
          <w:b/>
          <w:bCs/>
          <w:noProof/>
          <w:lang w:val="en-IE"/>
        </w:rPr>
        <w:t xml:space="preserve">new European </w:t>
      </w:r>
      <w:r w:rsidRPr="046C09E1">
        <w:rPr>
          <w:b/>
          <w:bCs/>
          <w:noProof/>
          <w:lang w:val="en-IE"/>
        </w:rPr>
        <w:t>Competitiveness Fund</w:t>
      </w:r>
      <w:r w:rsidR="1DF3B109">
        <w:rPr>
          <w:noProof/>
          <w:lang w:val="en-IE"/>
        </w:rPr>
        <w:t xml:space="preserve"> </w:t>
      </w:r>
      <w:r w:rsidR="3A5D858B">
        <w:rPr>
          <w:noProof/>
          <w:lang w:val="en-IE"/>
        </w:rPr>
        <w:t>under the next M</w:t>
      </w:r>
      <w:r w:rsidR="00110670">
        <w:rPr>
          <w:noProof/>
          <w:lang w:val="en-IE"/>
        </w:rPr>
        <w:t xml:space="preserve">ultiannual </w:t>
      </w:r>
      <w:r w:rsidR="3A5D858B">
        <w:rPr>
          <w:noProof/>
          <w:lang w:val="en-IE"/>
        </w:rPr>
        <w:t>F</w:t>
      </w:r>
      <w:r w:rsidR="00110670">
        <w:rPr>
          <w:noProof/>
          <w:lang w:val="en-IE"/>
        </w:rPr>
        <w:t xml:space="preserve">inancial </w:t>
      </w:r>
      <w:r w:rsidR="3A5D858B">
        <w:rPr>
          <w:noProof/>
          <w:lang w:val="en-IE"/>
        </w:rPr>
        <w:t>F</w:t>
      </w:r>
      <w:r w:rsidR="00110670">
        <w:rPr>
          <w:noProof/>
          <w:lang w:val="en-IE"/>
        </w:rPr>
        <w:t>ramework (</w:t>
      </w:r>
      <w:r w:rsidR="3A5D858B">
        <w:rPr>
          <w:noProof/>
          <w:lang w:val="en-IE"/>
        </w:rPr>
        <w:t>MFF</w:t>
      </w:r>
      <w:r w:rsidR="00110670">
        <w:rPr>
          <w:noProof/>
          <w:lang w:val="en-IE"/>
        </w:rPr>
        <w:t>)</w:t>
      </w:r>
      <w:r w:rsidR="3A5D858B">
        <w:rPr>
          <w:noProof/>
          <w:lang w:val="en-IE"/>
        </w:rPr>
        <w:t xml:space="preserve"> </w:t>
      </w:r>
      <w:r w:rsidR="1DF3B109" w:rsidRPr="009952CF">
        <w:rPr>
          <w:noProof/>
          <w:lang w:val="en-IE"/>
        </w:rPr>
        <w:t xml:space="preserve">to </w:t>
      </w:r>
      <w:r w:rsidR="548A955B" w:rsidRPr="009952CF">
        <w:rPr>
          <w:noProof/>
          <w:lang w:val="en-IE"/>
        </w:rPr>
        <w:t>invest</w:t>
      </w:r>
      <w:r w:rsidR="1DF3B109" w:rsidRPr="009952CF">
        <w:rPr>
          <w:noProof/>
          <w:lang w:val="en-IE"/>
        </w:rPr>
        <w:t xml:space="preserve"> in strategic technologies</w:t>
      </w:r>
      <w:r w:rsidR="70EB568C" w:rsidRPr="009952CF">
        <w:rPr>
          <w:noProof/>
          <w:lang w:val="en-IE"/>
        </w:rPr>
        <w:t xml:space="preserve"> critical to European competitiveness</w:t>
      </w:r>
      <w:r w:rsidR="1DF3B109" w:rsidRPr="009952CF">
        <w:rPr>
          <w:noProof/>
          <w:lang w:val="en-IE"/>
        </w:rPr>
        <w:t xml:space="preserve"> to ensure that we develop and manufacture them in Europe</w:t>
      </w:r>
      <w:r w:rsidR="68D95993">
        <w:rPr>
          <w:noProof/>
          <w:lang w:val="en-IE"/>
        </w:rPr>
        <w:t xml:space="preserve">, and support </w:t>
      </w:r>
      <w:r w:rsidR="00141457" w:rsidRPr="1B941C57">
        <w:rPr>
          <w:noProof/>
          <w:lang w:val="en-IE"/>
        </w:rPr>
        <w:t>Important Project</w:t>
      </w:r>
      <w:r w:rsidR="00916DB6">
        <w:rPr>
          <w:noProof/>
          <w:lang w:val="en-IE"/>
        </w:rPr>
        <w:t>s</w:t>
      </w:r>
      <w:r w:rsidR="00141457" w:rsidRPr="1B941C57">
        <w:rPr>
          <w:noProof/>
          <w:lang w:val="en-IE"/>
        </w:rPr>
        <w:t xml:space="preserve"> of Common European Interest</w:t>
      </w:r>
      <w:r w:rsidR="00141457">
        <w:rPr>
          <w:noProof/>
          <w:lang w:val="en-IE"/>
        </w:rPr>
        <w:t xml:space="preserve"> (IPCEI)</w:t>
      </w:r>
      <w:r w:rsidR="785DFD16" w:rsidRPr="009952CF">
        <w:rPr>
          <w:noProof/>
          <w:lang w:val="en-IE"/>
        </w:rPr>
        <w:t>.</w:t>
      </w:r>
      <w:r w:rsidR="006909D9" w:rsidRPr="009952CF">
        <w:rPr>
          <w:rStyle w:val="FootnoteReference"/>
          <w:noProof/>
          <w:lang w:val="en-IE"/>
        </w:rPr>
        <w:footnoteReference w:id="10"/>
      </w:r>
      <w:r w:rsidR="027CFF5D" w:rsidRPr="009952CF">
        <w:rPr>
          <w:noProof/>
          <w:lang w:val="en-IE"/>
        </w:rPr>
        <w:t xml:space="preserve"> </w:t>
      </w:r>
      <w:r w:rsidR="485044A8" w:rsidRPr="24D0AEC7">
        <w:rPr>
          <w:noProof/>
          <w:lang w:val="en-IE"/>
        </w:rPr>
        <w:t>T</w:t>
      </w:r>
      <w:r w:rsidR="027CFF5D" w:rsidRPr="24D0AEC7">
        <w:rPr>
          <w:noProof/>
          <w:lang w:val="en-IE"/>
        </w:rPr>
        <w:t>he</w:t>
      </w:r>
      <w:r w:rsidR="027CFF5D" w:rsidRPr="009952CF">
        <w:rPr>
          <w:noProof/>
          <w:lang w:val="en-IE"/>
        </w:rPr>
        <w:t xml:space="preserve"> Guidelines </w:t>
      </w:r>
      <w:r w:rsidR="00AC1686">
        <w:rPr>
          <w:noProof/>
          <w:lang w:val="en-IE"/>
        </w:rPr>
        <w:t xml:space="preserve">also </w:t>
      </w:r>
      <w:r w:rsidR="027CFF5D" w:rsidRPr="009952CF">
        <w:rPr>
          <w:noProof/>
          <w:lang w:val="en-IE"/>
        </w:rPr>
        <w:t xml:space="preserve">specified the intention to </w:t>
      </w:r>
      <w:r w:rsidR="5C802EC4" w:rsidRPr="009952CF">
        <w:rPr>
          <w:noProof/>
          <w:lang w:val="en-IE"/>
        </w:rPr>
        <w:t>put research</w:t>
      </w:r>
      <w:r w:rsidR="6955D819" w:rsidRPr="17A03BF7">
        <w:rPr>
          <w:noProof/>
          <w:lang w:val="en-IE"/>
        </w:rPr>
        <w:t>,</w:t>
      </w:r>
      <w:r w:rsidR="5C802EC4" w:rsidRPr="009952CF">
        <w:rPr>
          <w:noProof/>
          <w:lang w:val="en-IE"/>
        </w:rPr>
        <w:t xml:space="preserve"> innovation, science and technology at the centre of </w:t>
      </w:r>
      <w:r w:rsidR="3F113A57" w:rsidRPr="009952CF">
        <w:rPr>
          <w:noProof/>
          <w:lang w:val="en-IE"/>
        </w:rPr>
        <w:t xml:space="preserve">the </w:t>
      </w:r>
      <w:r w:rsidR="5C802EC4" w:rsidRPr="009952CF">
        <w:rPr>
          <w:noProof/>
          <w:lang w:val="en-IE"/>
        </w:rPr>
        <w:t>EU</w:t>
      </w:r>
      <w:r w:rsidR="72E591C5" w:rsidRPr="009952CF">
        <w:rPr>
          <w:noProof/>
          <w:lang w:val="en-IE"/>
        </w:rPr>
        <w:t>’</w:t>
      </w:r>
      <w:r w:rsidR="5C802EC4" w:rsidRPr="009952CF">
        <w:rPr>
          <w:noProof/>
          <w:lang w:val="en-IE"/>
        </w:rPr>
        <w:t xml:space="preserve">s economy, </w:t>
      </w:r>
      <w:r w:rsidR="027CFF5D" w:rsidRPr="009952CF">
        <w:rPr>
          <w:noProof/>
          <w:lang w:val="en-IE"/>
        </w:rPr>
        <w:t>increas</w:t>
      </w:r>
      <w:r w:rsidR="5C802EC4" w:rsidRPr="009952CF">
        <w:rPr>
          <w:noProof/>
          <w:lang w:val="en-IE"/>
        </w:rPr>
        <w:t>ing</w:t>
      </w:r>
      <w:r w:rsidR="027CFF5D" w:rsidRPr="009952CF">
        <w:rPr>
          <w:noProof/>
          <w:lang w:val="en-IE"/>
        </w:rPr>
        <w:t xml:space="preserve"> our research spending, </w:t>
      </w:r>
      <w:r w:rsidR="5826E736" w:rsidRPr="009952CF">
        <w:rPr>
          <w:noProof/>
          <w:lang w:val="en-IE"/>
        </w:rPr>
        <w:t>expand</w:t>
      </w:r>
      <w:r w:rsidR="5C802EC4" w:rsidRPr="009952CF">
        <w:rPr>
          <w:noProof/>
          <w:lang w:val="en-IE"/>
        </w:rPr>
        <w:t>ing</w:t>
      </w:r>
      <w:r w:rsidR="027CFF5D" w:rsidRPr="009952CF">
        <w:rPr>
          <w:noProof/>
          <w:lang w:val="en-IE"/>
        </w:rPr>
        <w:t xml:space="preserve"> the European Innovation Council </w:t>
      </w:r>
      <w:r w:rsidR="00DD0F49">
        <w:rPr>
          <w:noProof/>
          <w:lang w:val="en-IE"/>
        </w:rPr>
        <w:t xml:space="preserve">(EIC) </w:t>
      </w:r>
      <w:r w:rsidR="027CFF5D" w:rsidRPr="009952CF">
        <w:rPr>
          <w:noProof/>
          <w:lang w:val="en-IE"/>
        </w:rPr>
        <w:t>and the European Research Council</w:t>
      </w:r>
      <w:r w:rsidR="00DD0F49">
        <w:rPr>
          <w:noProof/>
          <w:lang w:val="en-IE"/>
        </w:rPr>
        <w:t xml:space="preserve"> (ERC)</w:t>
      </w:r>
      <w:r w:rsidR="5C802EC4" w:rsidRPr="009952CF">
        <w:rPr>
          <w:noProof/>
          <w:lang w:val="en-IE"/>
        </w:rPr>
        <w:t>,</w:t>
      </w:r>
      <w:r w:rsidR="027CFF5D" w:rsidRPr="009952CF">
        <w:rPr>
          <w:noProof/>
          <w:lang w:val="en-IE"/>
        </w:rPr>
        <w:t xml:space="preserve"> and focus</w:t>
      </w:r>
      <w:r w:rsidR="5C802EC4" w:rsidRPr="009952CF">
        <w:rPr>
          <w:noProof/>
          <w:lang w:val="en-IE"/>
        </w:rPr>
        <w:t>ing</w:t>
      </w:r>
      <w:r w:rsidR="027CFF5D" w:rsidRPr="009952CF">
        <w:rPr>
          <w:noProof/>
          <w:lang w:val="en-IE"/>
        </w:rPr>
        <w:t xml:space="preserve"> more on strategic priorities.</w:t>
      </w:r>
      <w:r w:rsidR="00905AC8" w:rsidRPr="009952CF">
        <w:rPr>
          <w:rStyle w:val="FootnoteReference"/>
          <w:noProof/>
          <w:lang w:val="en-IE"/>
        </w:rPr>
        <w:footnoteReference w:id="11"/>
      </w:r>
    </w:p>
    <w:p w14:paraId="0AB1B9A7" w14:textId="6E29D170" w:rsidR="00AE40C8" w:rsidRDefault="1586F5B8" w:rsidP="00AF576C">
      <w:pPr>
        <w:rPr>
          <w:noProof/>
        </w:rPr>
      </w:pPr>
      <w:r w:rsidRPr="66C5CC66">
        <w:rPr>
          <w:noProof/>
        </w:rPr>
        <w:t>The Competitiveness Compass</w:t>
      </w:r>
      <w:r w:rsidR="613E45E0">
        <w:rPr>
          <w:noProof/>
        </w:rPr>
        <w:t>, adopted by the Commission</w:t>
      </w:r>
      <w:r w:rsidR="7F98DA25">
        <w:rPr>
          <w:noProof/>
        </w:rPr>
        <w:t xml:space="preserve"> in January 2025</w:t>
      </w:r>
      <w:r w:rsidR="46619BED">
        <w:rPr>
          <w:noProof/>
        </w:rPr>
        <w:t xml:space="preserve"> </w:t>
      </w:r>
      <w:r w:rsidR="7C00DF14">
        <w:rPr>
          <w:noProof/>
        </w:rPr>
        <w:t>and based on the recommendations from multiple expert reports, including Draghi´s on the future of European Competitiveness</w:t>
      </w:r>
      <w:r w:rsidR="00AF576C">
        <w:rPr>
          <w:rStyle w:val="FootnoteReference"/>
          <w:noProof/>
          <w:lang w:val="en-IE"/>
        </w:rPr>
        <w:footnoteReference w:id="12"/>
      </w:r>
      <w:r w:rsidR="7C00DF14">
        <w:rPr>
          <w:noProof/>
        </w:rPr>
        <w:t xml:space="preserve">, identifies several factors needed to boost the EU’s competitiveness: (1) closing the innovation gap, (2) decarbonisation, and (3) reducing excessive dependencies and increasing security. Additionally, it highlights five horizontal enablers: (1) simplification, (2) removing barriers in the Single Market, (3) financing, (4) skills and quality jobs, (5) better coordination. </w:t>
      </w:r>
    </w:p>
    <w:p w14:paraId="1D6613C8" w14:textId="3C7FB78F" w:rsidR="00AF576C" w:rsidRPr="005F34D2" w:rsidRDefault="7C00DF14" w:rsidP="00AF576C">
      <w:pPr>
        <w:rPr>
          <w:noProof/>
          <w:sz w:val="22"/>
          <w:szCs w:val="22"/>
        </w:rPr>
      </w:pPr>
      <w:r>
        <w:rPr>
          <w:noProof/>
        </w:rPr>
        <w:t>Simplification, financing and better coordination will be the primary focus of the European Competitiveness Fund. As such, the European Competitiveness Fund is not the only initiative to bolster the EU’s competitiveness. It is complementary to many other measures announced in the Competitiveness Compass</w:t>
      </w:r>
      <w:r w:rsidR="00AF576C" w:rsidRPr="005234CC">
        <w:rPr>
          <w:rStyle w:val="FootnoteReference"/>
          <w:noProof/>
          <w:sz w:val="22"/>
          <w:szCs w:val="22"/>
        </w:rPr>
        <w:footnoteReference w:id="13"/>
      </w:r>
      <w:r w:rsidR="2A840CF0">
        <w:rPr>
          <w:noProof/>
        </w:rPr>
        <w:t xml:space="preserve"> and the efforts performed by the Member States</w:t>
      </w:r>
      <w:r w:rsidRPr="466B4EB9">
        <w:rPr>
          <w:noProof/>
          <w:sz w:val="22"/>
          <w:szCs w:val="22"/>
        </w:rPr>
        <w:t>.</w:t>
      </w:r>
    </w:p>
    <w:p w14:paraId="119F3FF4" w14:textId="74D0F10C" w:rsidR="00FB6898" w:rsidRDefault="76C2E9D0" w:rsidP="00603157">
      <w:pPr>
        <w:rPr>
          <w:b/>
          <w:bCs/>
          <w:noProof/>
          <w:lang w:val="en-IE"/>
        </w:rPr>
      </w:pPr>
      <w:r w:rsidRPr="0061E471">
        <w:rPr>
          <w:noProof/>
          <w:lang w:val="en-IE"/>
        </w:rPr>
        <w:t>The Compass also diagnoses major problems that hamper competitiveness within the EU</w:t>
      </w:r>
      <w:r w:rsidR="7596E6BE" w:rsidRPr="0061E471">
        <w:rPr>
          <w:noProof/>
          <w:lang w:val="en-IE"/>
        </w:rPr>
        <w:t>, a central one being that</w:t>
      </w:r>
      <w:r w:rsidRPr="0061E471">
        <w:rPr>
          <w:b/>
          <w:bCs/>
          <w:noProof/>
          <w:lang w:val="en-IE"/>
        </w:rPr>
        <w:t xml:space="preserve"> EU spending is spread over too many overlapping programmes, many of which fund the same thing but with different requirements and difficulties in combining funding effectively.</w:t>
      </w:r>
      <w:r w:rsidR="00217990">
        <w:rPr>
          <w:rStyle w:val="FootnoteReference"/>
          <w:b/>
          <w:bCs/>
          <w:noProof/>
          <w:lang w:val="en-IE"/>
        </w:rPr>
        <w:footnoteReference w:id="14"/>
      </w:r>
    </w:p>
    <w:p w14:paraId="71055FBF" w14:textId="09BDD123" w:rsidR="001B3855" w:rsidRPr="007E33D2" w:rsidRDefault="78C4B4A7" w:rsidP="00603157">
      <w:pPr>
        <w:rPr>
          <w:noProof/>
          <w:lang w:val="en-IE"/>
        </w:rPr>
      </w:pPr>
      <w:r w:rsidRPr="3C29BB1B">
        <w:rPr>
          <w:noProof/>
          <w:lang w:val="en-IE"/>
        </w:rPr>
        <w:t xml:space="preserve">Among its concrete actions for the EU’s future prosperity, the Compass </w:t>
      </w:r>
      <w:r w:rsidR="496DF363" w:rsidRPr="3C29BB1B">
        <w:rPr>
          <w:noProof/>
          <w:lang w:val="en-IE"/>
        </w:rPr>
        <w:t>outlines</w:t>
      </w:r>
      <w:r w:rsidRPr="3C29BB1B">
        <w:rPr>
          <w:noProof/>
          <w:lang w:val="en-IE"/>
        </w:rPr>
        <w:t xml:space="preserve"> that the </w:t>
      </w:r>
      <w:r w:rsidRPr="3C29BB1B">
        <w:rPr>
          <w:b/>
          <w:bCs/>
          <w:noProof/>
          <w:lang w:val="en-IE"/>
        </w:rPr>
        <w:t xml:space="preserve">European Competitiveness Fund </w:t>
      </w:r>
      <w:r w:rsidRPr="3C29BB1B">
        <w:rPr>
          <w:noProof/>
          <w:lang w:val="en-IE"/>
        </w:rPr>
        <w:t xml:space="preserve">will </w:t>
      </w:r>
      <w:r w:rsidR="6D1FD9EA" w:rsidRPr="3C29BB1B">
        <w:rPr>
          <w:noProof/>
          <w:lang w:val="en-IE"/>
        </w:rPr>
        <w:t xml:space="preserve">take the form of </w:t>
      </w:r>
      <w:r w:rsidRPr="3C29BB1B">
        <w:rPr>
          <w:b/>
          <w:bCs/>
          <w:noProof/>
          <w:lang w:val="en-IE"/>
        </w:rPr>
        <w:t xml:space="preserve">an investment capacity that will support strategic technologies and sectors critical to the EU </w:t>
      </w:r>
      <w:r w:rsidR="00B03DD3" w:rsidRPr="3C29BB1B">
        <w:rPr>
          <w:b/>
          <w:bCs/>
          <w:noProof/>
          <w:lang w:val="en-IE"/>
        </w:rPr>
        <w:t>competitiveness in</w:t>
      </w:r>
      <w:r w:rsidRPr="3C29BB1B">
        <w:rPr>
          <w:b/>
          <w:bCs/>
          <w:noProof/>
          <w:lang w:val="en-IE"/>
        </w:rPr>
        <w:t xml:space="preserve"> the next MFF</w:t>
      </w:r>
      <w:r w:rsidR="028B7754" w:rsidRPr="3A15984E">
        <w:rPr>
          <w:b/>
          <w:bCs/>
          <w:noProof/>
          <w:lang w:val="en-IE"/>
        </w:rPr>
        <w:t>.</w:t>
      </w:r>
      <w:r w:rsidRPr="3C29BB1B">
        <w:rPr>
          <w:noProof/>
          <w:lang w:val="en-IE"/>
        </w:rPr>
        <w:t xml:space="preserve"> It should help to leverage and de-risk private investments.</w:t>
      </w:r>
      <w:r w:rsidR="001B3855">
        <w:rPr>
          <w:rStyle w:val="FootnoteReference"/>
          <w:noProof/>
          <w:lang w:val="en-IE"/>
        </w:rPr>
        <w:footnoteReference w:id="15"/>
      </w:r>
      <w:r w:rsidRPr="3C29BB1B">
        <w:rPr>
          <w:noProof/>
          <w:lang w:val="en-IE"/>
        </w:rPr>
        <w:t xml:space="preserve"> </w:t>
      </w:r>
      <w:r w:rsidR="0F02D8D3" w:rsidRPr="3C29BB1B">
        <w:rPr>
          <w:noProof/>
          <w:lang w:val="en-IE"/>
        </w:rPr>
        <w:t>T</w:t>
      </w:r>
      <w:r w:rsidR="7BD54B0B">
        <w:rPr>
          <w:noProof/>
        </w:rPr>
        <w:t xml:space="preserve">he </w:t>
      </w:r>
      <w:r w:rsidR="7BD54B0B" w:rsidRPr="3C29BB1B">
        <w:rPr>
          <w:b/>
          <w:bCs/>
          <w:noProof/>
        </w:rPr>
        <w:t>Clean Industrial Deal</w:t>
      </w:r>
      <w:r w:rsidR="0029168E">
        <w:rPr>
          <w:rStyle w:val="FootnoteReference"/>
          <w:b/>
          <w:bCs/>
          <w:noProof/>
        </w:rPr>
        <w:footnoteReference w:id="16"/>
      </w:r>
      <w:r w:rsidR="7BD54B0B">
        <w:rPr>
          <w:noProof/>
        </w:rPr>
        <w:t xml:space="preserve"> further confirms that the Competitiveness Fund would support </w:t>
      </w:r>
      <w:r w:rsidR="68D95993">
        <w:rPr>
          <w:noProof/>
        </w:rPr>
        <w:t>d</w:t>
      </w:r>
      <w:r w:rsidR="7BD54B0B">
        <w:rPr>
          <w:noProof/>
        </w:rPr>
        <w:t>ecarbonisation, mentioning that it will offer strong support to innovative industry for sustainable investment in the next MFF and a one-stop-shop</w:t>
      </w:r>
      <w:r w:rsidR="68D95993">
        <w:rPr>
          <w:noProof/>
        </w:rPr>
        <w:t xml:space="preserve"> offering</w:t>
      </w:r>
      <w:r w:rsidR="7BD54B0B">
        <w:rPr>
          <w:noProof/>
        </w:rPr>
        <w:t xml:space="preserve"> simplified access to EU funding.</w:t>
      </w:r>
      <w:r w:rsidR="003832CD">
        <w:rPr>
          <w:noProof/>
        </w:rPr>
        <w:t xml:space="preserve"> </w:t>
      </w:r>
    </w:p>
    <w:p w14:paraId="51E0C6EF" w14:textId="108B473A" w:rsidR="00A447C0" w:rsidRPr="009952CF" w:rsidRDefault="00A447C0" w:rsidP="00603157">
      <w:pPr>
        <w:rPr>
          <w:noProof/>
          <w:lang w:val="en-IE"/>
        </w:rPr>
      </w:pPr>
      <w:r w:rsidRPr="009952CF">
        <w:rPr>
          <w:noProof/>
          <w:lang w:val="en-IE"/>
        </w:rPr>
        <w:t xml:space="preserve">Stronger policy steer will be ensured via a steering mechanism linking EU priorities with the EU budget, considering the necessity to align Union, public and private spending with EU competitiveness priorities. The </w:t>
      </w:r>
      <w:r w:rsidRPr="009952CF">
        <w:rPr>
          <w:b/>
          <w:noProof/>
          <w:lang w:val="en-IE"/>
        </w:rPr>
        <w:t>Competitiveness Coordination Tool</w:t>
      </w:r>
      <w:r w:rsidRPr="009952CF">
        <w:rPr>
          <w:noProof/>
          <w:lang w:val="en-IE"/>
        </w:rPr>
        <w:t xml:space="preserve"> will </w:t>
      </w:r>
      <w:r w:rsidR="00561058" w:rsidRPr="009952CF">
        <w:rPr>
          <w:noProof/>
          <w:lang w:val="en-IE"/>
        </w:rPr>
        <w:t>aim to a</w:t>
      </w:r>
      <w:r w:rsidR="00561058" w:rsidRPr="00B03DD3">
        <w:rPr>
          <w:b/>
          <w:noProof/>
          <w:lang w:val="en-IE"/>
        </w:rPr>
        <w:t>lign industrial and research policies and investments at the EU and the national levels.</w:t>
      </w:r>
      <w:r w:rsidR="00561058" w:rsidRPr="009952CF">
        <w:rPr>
          <w:noProof/>
          <w:lang w:val="en-IE"/>
        </w:rPr>
        <w:t xml:space="preserve"> It will </w:t>
      </w:r>
      <w:r w:rsidRPr="009952CF">
        <w:rPr>
          <w:noProof/>
          <w:lang w:val="en-IE"/>
        </w:rPr>
        <w:t xml:space="preserve">identify areas of strategic importance and of common European interest, </w:t>
      </w:r>
      <w:r w:rsidR="00855E71" w:rsidRPr="009952CF">
        <w:rPr>
          <w:noProof/>
          <w:lang w:val="en-IE"/>
        </w:rPr>
        <w:t xml:space="preserve">to </w:t>
      </w:r>
      <w:r w:rsidRPr="009952CF">
        <w:rPr>
          <w:noProof/>
          <w:lang w:val="en-IE"/>
        </w:rPr>
        <w:t>deliver on initiatives with high European added value, such as cross-border projects, for structural economic transformation, productivity, long-term growth and quality jobs, and benefiting the Single Market.</w:t>
      </w:r>
      <w:r w:rsidR="00D47FF7" w:rsidRPr="009952CF">
        <w:rPr>
          <w:rStyle w:val="FootnoteReference"/>
          <w:noProof/>
          <w:lang w:val="en-IE"/>
        </w:rPr>
        <w:t xml:space="preserve"> </w:t>
      </w:r>
      <w:r w:rsidR="00D47FF7" w:rsidRPr="00C87B29">
        <w:rPr>
          <w:rStyle w:val="FootnoteReference"/>
          <w:noProof/>
          <w:lang w:val="en-IE"/>
        </w:rPr>
        <w:footnoteReference w:id="17"/>
      </w:r>
      <w:r w:rsidRPr="009952CF">
        <w:rPr>
          <w:noProof/>
          <w:lang w:val="en-IE"/>
        </w:rPr>
        <w:t> </w:t>
      </w:r>
    </w:p>
    <w:p w14:paraId="375572FA" w14:textId="4C2EFF69" w:rsidR="007279BD" w:rsidRPr="00BB184A" w:rsidRDefault="09F50F1F" w:rsidP="00603157">
      <w:pPr>
        <w:rPr>
          <w:rStyle w:val="FootnoteReference"/>
          <w:noProof/>
          <w:lang w:val="en-IE"/>
        </w:rPr>
      </w:pPr>
      <w:r w:rsidRPr="1B941C57">
        <w:rPr>
          <w:noProof/>
          <w:lang w:val="en-IE"/>
        </w:rPr>
        <w:t xml:space="preserve">The </w:t>
      </w:r>
      <w:r w:rsidRPr="003D3FD9">
        <w:rPr>
          <w:b/>
          <w:bCs/>
          <w:noProof/>
          <w:lang w:val="en-IE"/>
        </w:rPr>
        <w:t>Communication on the Road to the next MFF</w:t>
      </w:r>
      <w:r w:rsidR="0024746D" w:rsidRPr="007A6475">
        <w:rPr>
          <w:rStyle w:val="FootnoteReference"/>
          <w:noProof/>
          <w:lang w:val="en-IE"/>
        </w:rPr>
        <w:footnoteReference w:id="18"/>
      </w:r>
      <w:r w:rsidR="565836F9" w:rsidRPr="47E02BAF" w:rsidDel="0CB2B277">
        <w:rPr>
          <w:rStyle w:val="FootnoteReference"/>
          <w:b/>
          <w:bCs/>
          <w:noProof/>
          <w:lang w:val="en-IE"/>
        </w:rPr>
        <w:t xml:space="preserve"> </w:t>
      </w:r>
      <w:r w:rsidRPr="1B941C57">
        <w:rPr>
          <w:noProof/>
          <w:lang w:val="en-IE"/>
        </w:rPr>
        <w:t>outlined the objectives for the next EU Budget: simpler, more focused and more impactful</w:t>
      </w:r>
      <w:r w:rsidR="00AC1686">
        <w:rPr>
          <w:noProof/>
          <w:lang w:val="en-IE"/>
        </w:rPr>
        <w:t xml:space="preserve"> budget</w:t>
      </w:r>
      <w:r w:rsidRPr="1B941C57">
        <w:rPr>
          <w:noProof/>
          <w:lang w:val="en-IE"/>
        </w:rPr>
        <w:t>. A new approach for a modern EU budget should present at its core a European Competitiveness Fund</w:t>
      </w:r>
      <w:r w:rsidR="23CD2C37" w:rsidRPr="1B941C57">
        <w:rPr>
          <w:noProof/>
          <w:lang w:val="en-IE"/>
        </w:rPr>
        <w:t xml:space="preserve">, </w:t>
      </w:r>
      <w:r w:rsidR="72C9B2AD" w:rsidRPr="7AD7485A">
        <w:rPr>
          <w:noProof/>
          <w:lang w:val="en-IE"/>
        </w:rPr>
        <w:t>w</w:t>
      </w:r>
      <w:r w:rsidR="18F2E211" w:rsidRPr="7AD7485A">
        <w:rPr>
          <w:noProof/>
          <w:lang w:val="en-IE"/>
        </w:rPr>
        <w:t xml:space="preserve">ith </w:t>
      </w:r>
      <w:r w:rsidR="18F2E211" w:rsidRPr="296CB2DF">
        <w:rPr>
          <w:noProof/>
          <w:lang w:val="en-IE"/>
        </w:rPr>
        <w:t>a</w:t>
      </w:r>
      <w:r w:rsidR="5611A18D" w:rsidRPr="296CB2DF">
        <w:rPr>
          <w:noProof/>
          <w:lang w:val="en-IE"/>
        </w:rPr>
        <w:t xml:space="preserve"> comprehensive</w:t>
      </w:r>
      <w:r w:rsidR="491300E9" w:rsidRPr="7EE385BD">
        <w:rPr>
          <w:noProof/>
          <w:lang w:val="en-IE"/>
        </w:rPr>
        <w:t xml:space="preserve"> </w:t>
      </w:r>
      <w:r w:rsidR="00B03DD3" w:rsidRPr="1B941C57">
        <w:rPr>
          <w:noProof/>
          <w:lang w:val="en-IE"/>
        </w:rPr>
        <w:t>architecture</w:t>
      </w:r>
      <w:r w:rsidR="00B03DD3" w:rsidRPr="7AD7485A">
        <w:rPr>
          <w:noProof/>
          <w:lang w:val="en-IE"/>
        </w:rPr>
        <w:t xml:space="preserve"> designed</w:t>
      </w:r>
      <w:r w:rsidR="0B5777C8" w:rsidRPr="7AD7485A">
        <w:rPr>
          <w:noProof/>
          <w:lang w:val="en-IE"/>
        </w:rPr>
        <w:t xml:space="preserve"> </w:t>
      </w:r>
      <w:r w:rsidR="45951D24" w:rsidRPr="70B82A32">
        <w:rPr>
          <w:noProof/>
          <w:lang w:val="en-IE"/>
        </w:rPr>
        <w:t xml:space="preserve">to support </w:t>
      </w:r>
      <w:r w:rsidRPr="1B941C57">
        <w:rPr>
          <w:noProof/>
          <w:lang w:val="en-IE"/>
        </w:rPr>
        <w:t xml:space="preserve">European projects along the entire investment journey, from research, through scale-up, industrial deployment, to manufacturing. </w:t>
      </w:r>
      <w:r w:rsidR="23CD2C37" w:rsidRPr="1B941C57">
        <w:rPr>
          <w:noProof/>
          <w:lang w:val="en-IE"/>
        </w:rPr>
        <w:t>It will also help to leverage</w:t>
      </w:r>
      <w:r w:rsidR="2AB3F4E0" w:rsidRPr="47E02BAF">
        <w:rPr>
          <w:noProof/>
          <w:lang w:val="en-IE"/>
        </w:rPr>
        <w:t xml:space="preserve"> and de-risk private investment.</w:t>
      </w:r>
      <w:r w:rsidR="008D592A">
        <w:rPr>
          <w:rStyle w:val="FootnoteReference"/>
          <w:noProof/>
          <w:lang w:val="en-IE"/>
        </w:rPr>
        <w:footnoteReference w:id="19"/>
      </w:r>
      <w:r w:rsidR="00B65F32">
        <w:rPr>
          <w:noProof/>
          <w:lang w:val="en-IE"/>
        </w:rPr>
        <w:t xml:space="preserve"> </w:t>
      </w:r>
    </w:p>
    <w:p w14:paraId="09EFC04C" w14:textId="0C7B8981" w:rsidR="00CE5025" w:rsidDel="00746005" w:rsidRDefault="24AE699D" w:rsidP="00603157">
      <w:pPr>
        <w:spacing w:before="0" w:after="160"/>
        <w:rPr>
          <w:noProof/>
          <w:lang w:val="en-US"/>
        </w:rPr>
      </w:pPr>
      <w:r w:rsidRPr="6CD386C1">
        <w:rPr>
          <w:noProof/>
          <w:lang w:val="en-US"/>
        </w:rPr>
        <w:t>The 1</w:t>
      </w:r>
      <w:r w:rsidR="6B999ED6" w:rsidRPr="6CD386C1">
        <w:rPr>
          <w:noProof/>
          <w:lang w:val="en-US"/>
        </w:rPr>
        <w:t>4</w:t>
      </w:r>
      <w:r w:rsidRPr="6CD386C1">
        <w:rPr>
          <w:noProof/>
          <w:lang w:val="en-US"/>
        </w:rPr>
        <w:t xml:space="preserve"> EU program</w:t>
      </w:r>
      <w:r w:rsidR="3AF66D8E" w:rsidRPr="6CD386C1">
        <w:rPr>
          <w:noProof/>
          <w:lang w:val="en-US"/>
        </w:rPr>
        <w:t>mes</w:t>
      </w:r>
      <w:r w:rsidR="5614B329" w:rsidRPr="6CD386C1">
        <w:rPr>
          <w:noProof/>
          <w:lang w:val="en-US"/>
        </w:rPr>
        <w:t xml:space="preserve"> </w:t>
      </w:r>
      <w:r w:rsidRPr="6CD386C1">
        <w:rPr>
          <w:noProof/>
          <w:lang w:val="en-US"/>
        </w:rPr>
        <w:t xml:space="preserve">within the scope of </w:t>
      </w:r>
      <w:r w:rsidR="41B36A30" w:rsidRPr="6CD386C1">
        <w:rPr>
          <w:noProof/>
          <w:lang w:val="en-US"/>
        </w:rPr>
        <w:t>this IA</w:t>
      </w:r>
      <w:r w:rsidRPr="6CD386C1">
        <w:rPr>
          <w:noProof/>
          <w:lang w:val="en-US"/>
        </w:rPr>
        <w:t xml:space="preserve"> contribute to </w:t>
      </w:r>
      <w:r w:rsidR="41B36A30" w:rsidRPr="6CD386C1">
        <w:rPr>
          <w:noProof/>
          <w:lang w:val="en-US"/>
        </w:rPr>
        <w:t xml:space="preserve">the </w:t>
      </w:r>
      <w:r w:rsidRPr="6CD386C1">
        <w:rPr>
          <w:noProof/>
          <w:lang w:val="en-US"/>
        </w:rPr>
        <w:t xml:space="preserve">competitiveness </w:t>
      </w:r>
      <w:r w:rsidR="41B36A30" w:rsidRPr="6CD386C1">
        <w:rPr>
          <w:noProof/>
          <w:lang w:val="en-US"/>
        </w:rPr>
        <w:t xml:space="preserve">of the EU </w:t>
      </w:r>
      <w:r w:rsidRPr="6CD386C1">
        <w:rPr>
          <w:noProof/>
          <w:lang w:val="en-US"/>
        </w:rPr>
        <w:t>and span a broad range of policy areas</w:t>
      </w:r>
      <w:r w:rsidR="1D89A358" w:rsidRPr="6CD386C1">
        <w:rPr>
          <w:noProof/>
          <w:lang w:val="en-US"/>
        </w:rPr>
        <w:t xml:space="preserve"> from </w:t>
      </w:r>
      <w:r w:rsidR="067FA61A" w:rsidRPr="6CD386C1">
        <w:rPr>
          <w:noProof/>
          <w:lang w:val="en-US"/>
        </w:rPr>
        <w:t>R&amp;I, digitalization,</w:t>
      </w:r>
      <w:r w:rsidR="1C4DBC93" w:rsidRPr="6CD386C1">
        <w:rPr>
          <w:noProof/>
          <w:lang w:val="en-US"/>
        </w:rPr>
        <w:t xml:space="preserve"> </w:t>
      </w:r>
      <w:r w:rsidR="57AC5A97" w:rsidRPr="6CD386C1">
        <w:rPr>
          <w:noProof/>
          <w:lang w:val="en-US"/>
        </w:rPr>
        <w:t xml:space="preserve">space, </w:t>
      </w:r>
      <w:r w:rsidR="1C4DBC93" w:rsidRPr="6CD386C1">
        <w:rPr>
          <w:noProof/>
          <w:lang w:val="en-US"/>
        </w:rPr>
        <w:t>defence, health,</w:t>
      </w:r>
      <w:r w:rsidR="3B5E7B3D" w:rsidRPr="6CD386C1">
        <w:rPr>
          <w:noProof/>
          <w:lang w:val="en-US"/>
        </w:rPr>
        <w:t xml:space="preserve"> Single Market support, Circular Economy </w:t>
      </w:r>
      <w:r w:rsidR="6CDF7066" w:rsidRPr="6CD386C1">
        <w:rPr>
          <w:noProof/>
          <w:lang w:val="en-US"/>
        </w:rPr>
        <w:t>to</w:t>
      </w:r>
      <w:r w:rsidR="3B5E7B3D" w:rsidRPr="6CD386C1">
        <w:rPr>
          <w:noProof/>
          <w:lang w:val="en-US"/>
        </w:rPr>
        <w:t xml:space="preserve"> energy transition. </w:t>
      </w:r>
      <w:r w:rsidR="41B36A30" w:rsidRPr="6CD386C1">
        <w:rPr>
          <w:noProof/>
          <w:lang w:val="en-US"/>
        </w:rPr>
        <w:t>They</w:t>
      </w:r>
      <w:r w:rsidRPr="6CD386C1">
        <w:rPr>
          <w:noProof/>
          <w:lang w:val="en-US"/>
        </w:rPr>
        <w:t xml:space="preserve"> include Horizon Europe</w:t>
      </w:r>
      <w:r w:rsidR="5DF40C00" w:rsidRPr="6CD386C1">
        <w:rPr>
          <w:noProof/>
          <w:lang w:val="en-US"/>
        </w:rPr>
        <w:t xml:space="preserve"> (HE)</w:t>
      </w:r>
      <w:r w:rsidR="1D89A358" w:rsidRPr="6CD386C1">
        <w:rPr>
          <w:noProof/>
          <w:lang w:val="en-US"/>
        </w:rPr>
        <w:t xml:space="preserve">, </w:t>
      </w:r>
      <w:r w:rsidRPr="6CD386C1">
        <w:rPr>
          <w:noProof/>
          <w:lang w:val="en-US"/>
        </w:rPr>
        <w:t>Innovation Fund</w:t>
      </w:r>
      <w:r w:rsidR="5DF40C00" w:rsidRPr="6CD386C1">
        <w:rPr>
          <w:noProof/>
          <w:lang w:val="en-US"/>
        </w:rPr>
        <w:t xml:space="preserve"> (IF)</w:t>
      </w:r>
      <w:r w:rsidRPr="6CD386C1">
        <w:rPr>
          <w:noProof/>
          <w:lang w:val="en-US"/>
        </w:rPr>
        <w:t>, Digital Europe Programme</w:t>
      </w:r>
      <w:r w:rsidR="5DF40C00" w:rsidRPr="6CD386C1">
        <w:rPr>
          <w:noProof/>
          <w:lang w:val="en-US"/>
        </w:rPr>
        <w:t xml:space="preserve"> (DEP)</w:t>
      </w:r>
      <w:r w:rsidR="6CDF7066" w:rsidRPr="6CD386C1">
        <w:rPr>
          <w:noProof/>
          <w:lang w:val="en-US"/>
        </w:rPr>
        <w:t xml:space="preserve">, </w:t>
      </w:r>
      <w:r w:rsidRPr="6CD386C1">
        <w:rPr>
          <w:noProof/>
          <w:lang w:val="en-US"/>
        </w:rPr>
        <w:t>Connecting Europe Facility</w:t>
      </w:r>
      <w:r w:rsidR="5DF40C00" w:rsidRPr="6CD386C1">
        <w:rPr>
          <w:noProof/>
          <w:lang w:val="en-US"/>
        </w:rPr>
        <w:t xml:space="preserve"> (CEF)</w:t>
      </w:r>
      <w:r w:rsidR="06337543" w:rsidRPr="6CD386C1">
        <w:rPr>
          <w:noProof/>
          <w:lang w:val="en-US"/>
        </w:rPr>
        <w:t xml:space="preserve"> - Digital</w:t>
      </w:r>
      <w:r w:rsidR="6CDF7066" w:rsidRPr="6CD386C1">
        <w:rPr>
          <w:noProof/>
          <w:lang w:val="en-US"/>
        </w:rPr>
        <w:t xml:space="preserve">, </w:t>
      </w:r>
      <w:r w:rsidRPr="6CD386C1">
        <w:rPr>
          <w:noProof/>
          <w:lang w:val="en-US"/>
        </w:rPr>
        <w:t>European Defence Fund</w:t>
      </w:r>
      <w:r w:rsidR="5DF40C00" w:rsidRPr="6CD386C1">
        <w:rPr>
          <w:noProof/>
          <w:lang w:val="en-US"/>
        </w:rPr>
        <w:t xml:space="preserve"> (EDF)</w:t>
      </w:r>
      <w:r w:rsidRPr="6CD386C1">
        <w:rPr>
          <w:noProof/>
          <w:lang w:val="en-US"/>
        </w:rPr>
        <w:t>, the Act in Support of Ammunition Production (ASAP), the European Defence Industry Reinforcement through Common Procurement Act (EDIRPA), the European Defence Industry Programme</w:t>
      </w:r>
      <w:r w:rsidR="65AC6914" w:rsidRPr="6CD386C1">
        <w:rPr>
          <w:noProof/>
          <w:lang w:val="en-US"/>
        </w:rPr>
        <w:t xml:space="preserve"> (EDIP)</w:t>
      </w:r>
      <w:r w:rsidRPr="6CD386C1">
        <w:rPr>
          <w:noProof/>
          <w:lang w:val="en-US"/>
        </w:rPr>
        <w:t>, EU4Health</w:t>
      </w:r>
      <w:r w:rsidR="6CDF7066" w:rsidRPr="6CD386C1">
        <w:rPr>
          <w:noProof/>
          <w:lang w:val="en-US"/>
        </w:rPr>
        <w:t>, t</w:t>
      </w:r>
      <w:r w:rsidRPr="6CD386C1">
        <w:rPr>
          <w:noProof/>
          <w:lang w:val="en-US"/>
        </w:rPr>
        <w:t>he European Space Programme</w:t>
      </w:r>
      <w:r w:rsidR="65AC6914" w:rsidRPr="6CD386C1">
        <w:rPr>
          <w:noProof/>
          <w:lang w:val="en-US"/>
        </w:rPr>
        <w:t>,</w:t>
      </w:r>
      <w:r w:rsidRPr="6CD386C1">
        <w:rPr>
          <w:noProof/>
          <w:lang w:val="en-US"/>
        </w:rPr>
        <w:t xml:space="preserve"> IRIS2</w:t>
      </w:r>
      <w:r w:rsidR="6CDF7066" w:rsidRPr="6CD386C1">
        <w:rPr>
          <w:noProof/>
          <w:lang w:val="en-US"/>
        </w:rPr>
        <w:t xml:space="preserve">, </w:t>
      </w:r>
      <w:r w:rsidRPr="6CD386C1">
        <w:rPr>
          <w:noProof/>
          <w:lang w:val="en-US"/>
        </w:rPr>
        <w:t>InvestEU</w:t>
      </w:r>
      <w:r w:rsidR="7D6FD05F" w:rsidRPr="6CD386C1">
        <w:rPr>
          <w:noProof/>
          <w:lang w:val="en-US"/>
        </w:rPr>
        <w:t xml:space="preserve">, </w:t>
      </w:r>
      <w:r w:rsidRPr="6CD386C1">
        <w:rPr>
          <w:noProof/>
          <w:lang w:val="en-US"/>
        </w:rPr>
        <w:t>Single Market Programme</w:t>
      </w:r>
      <w:r w:rsidR="74575D34" w:rsidRPr="6CD386C1">
        <w:rPr>
          <w:noProof/>
          <w:lang w:val="en-US"/>
        </w:rPr>
        <w:t xml:space="preserve"> </w:t>
      </w:r>
      <w:r w:rsidRPr="6CD386C1">
        <w:rPr>
          <w:noProof/>
          <w:lang w:val="en-US"/>
        </w:rPr>
        <w:t>(SME</w:t>
      </w:r>
      <w:r w:rsidR="65AC6914" w:rsidRPr="6CD386C1">
        <w:rPr>
          <w:noProof/>
          <w:lang w:val="en-US"/>
        </w:rPr>
        <w:t xml:space="preserve"> </w:t>
      </w:r>
      <w:r w:rsidRPr="6CD386C1">
        <w:rPr>
          <w:noProof/>
          <w:lang w:val="en-US"/>
        </w:rPr>
        <w:t>Strand</w:t>
      </w:r>
      <w:r w:rsidR="6CDF7066" w:rsidRPr="6CD386C1">
        <w:rPr>
          <w:noProof/>
          <w:lang w:val="en-US"/>
        </w:rPr>
        <w:t>)</w:t>
      </w:r>
      <w:r w:rsidR="65AC6914" w:rsidRPr="6CD386C1">
        <w:rPr>
          <w:noProof/>
          <w:lang w:val="en-US"/>
        </w:rPr>
        <w:t xml:space="preserve"> and</w:t>
      </w:r>
      <w:r w:rsidRPr="6CD386C1">
        <w:rPr>
          <w:noProof/>
          <w:lang w:val="en-US"/>
        </w:rPr>
        <w:t xml:space="preserve"> LIF</w:t>
      </w:r>
      <w:r w:rsidR="6BA64D51" w:rsidRPr="6CD386C1">
        <w:rPr>
          <w:noProof/>
          <w:lang w:val="en-US"/>
        </w:rPr>
        <w:t xml:space="preserve">E (see Annex </w:t>
      </w:r>
      <w:r w:rsidR="00D246C7">
        <w:rPr>
          <w:noProof/>
          <w:lang w:val="en-US"/>
        </w:rPr>
        <w:t>8</w:t>
      </w:r>
      <w:r w:rsidR="6BA64D51" w:rsidRPr="6CD386C1">
        <w:rPr>
          <w:noProof/>
          <w:lang w:val="en-US"/>
        </w:rPr>
        <w:t xml:space="preserve"> for more details of each of these programmes).</w:t>
      </w:r>
      <w:r w:rsidR="7FFB9FFB" w:rsidRPr="6CD386C1">
        <w:rPr>
          <w:noProof/>
          <w:lang w:val="en-US"/>
        </w:rPr>
        <w:t xml:space="preserve"> </w:t>
      </w:r>
      <w:r w:rsidR="4D290282" w:rsidRPr="6CD386C1">
        <w:rPr>
          <w:noProof/>
          <w:lang w:val="en-US"/>
        </w:rPr>
        <w:t xml:space="preserve">The </w:t>
      </w:r>
      <w:r w:rsidR="4BD02804" w:rsidRPr="6CD386C1">
        <w:rPr>
          <w:noProof/>
          <w:lang w:val="en-US"/>
        </w:rPr>
        <w:t xml:space="preserve">size </w:t>
      </w:r>
      <w:r w:rsidR="4D290282" w:rsidRPr="6CD386C1">
        <w:rPr>
          <w:noProof/>
          <w:lang w:val="en-US"/>
        </w:rPr>
        <w:t xml:space="preserve">of these programmes </w:t>
      </w:r>
      <w:r w:rsidR="4B4085AA" w:rsidRPr="6CD386C1">
        <w:rPr>
          <w:noProof/>
          <w:lang w:val="en-US"/>
        </w:rPr>
        <w:t xml:space="preserve">today </w:t>
      </w:r>
      <w:r w:rsidR="4D290282" w:rsidRPr="6CD386C1">
        <w:rPr>
          <w:noProof/>
          <w:lang w:val="en-US"/>
        </w:rPr>
        <w:t xml:space="preserve">is very diverse, </w:t>
      </w:r>
      <w:r w:rsidR="5692D30B" w:rsidRPr="6CD386C1">
        <w:rPr>
          <w:noProof/>
          <w:lang w:val="en-US"/>
        </w:rPr>
        <w:t>with</w:t>
      </w:r>
      <w:r w:rsidR="4D290282" w:rsidRPr="6CD386C1">
        <w:rPr>
          <w:noProof/>
          <w:lang w:val="en-US"/>
        </w:rPr>
        <w:t xml:space="preserve"> Horizon Europe the </w:t>
      </w:r>
      <w:r w:rsidR="7894C3D0" w:rsidRPr="6CD386C1">
        <w:rPr>
          <w:noProof/>
          <w:lang w:val="en-US"/>
        </w:rPr>
        <w:t xml:space="preserve">largest, </w:t>
      </w:r>
      <w:r w:rsidR="64A4319D" w:rsidRPr="6CD386C1">
        <w:rPr>
          <w:noProof/>
          <w:lang w:val="en-US"/>
        </w:rPr>
        <w:t>EUR 93 billion</w:t>
      </w:r>
      <w:r w:rsidR="376ECA15" w:rsidRPr="6CD386C1">
        <w:rPr>
          <w:noProof/>
          <w:lang w:val="en-US"/>
        </w:rPr>
        <w:t xml:space="preserve"> over 7 years</w:t>
      </w:r>
      <w:r w:rsidR="17C5E253" w:rsidRPr="6CD386C1">
        <w:rPr>
          <w:noProof/>
          <w:lang w:val="en-US"/>
        </w:rPr>
        <w:t xml:space="preserve"> under this MFF (2021-2027, and the Innovation Fund </w:t>
      </w:r>
      <w:r w:rsidR="2A100345" w:rsidRPr="6CD386C1">
        <w:rPr>
          <w:noProof/>
          <w:lang w:val="en-US"/>
        </w:rPr>
        <w:t xml:space="preserve">the </w:t>
      </w:r>
      <w:r w:rsidR="0371C23E" w:rsidRPr="6CD386C1">
        <w:rPr>
          <w:noProof/>
          <w:lang w:val="en-US"/>
        </w:rPr>
        <w:t>second</w:t>
      </w:r>
      <w:r w:rsidR="2A100345" w:rsidRPr="6CD386C1">
        <w:rPr>
          <w:noProof/>
          <w:lang w:val="en-US"/>
        </w:rPr>
        <w:t xml:space="preserve"> largest, </w:t>
      </w:r>
      <w:r w:rsidR="17C5E253" w:rsidRPr="6CD386C1">
        <w:rPr>
          <w:noProof/>
          <w:lang w:val="en-US"/>
        </w:rPr>
        <w:t xml:space="preserve">accounting for </w:t>
      </w:r>
      <w:r w:rsidR="66428EFA" w:rsidRPr="6CD386C1">
        <w:rPr>
          <w:noProof/>
          <w:lang w:val="en-US"/>
        </w:rPr>
        <w:t xml:space="preserve">an estimated </w:t>
      </w:r>
      <w:r w:rsidR="17C5E253" w:rsidRPr="6CD386C1">
        <w:rPr>
          <w:noProof/>
          <w:lang w:val="en-US"/>
        </w:rPr>
        <w:t>40bn</w:t>
      </w:r>
      <w:r w:rsidR="00CA0E68">
        <w:rPr>
          <w:noProof/>
          <w:lang w:val="en-US"/>
        </w:rPr>
        <w:t xml:space="preserve"> </w:t>
      </w:r>
      <w:r w:rsidR="17C5E253" w:rsidRPr="6CD386C1">
        <w:rPr>
          <w:noProof/>
          <w:lang w:val="en-US"/>
        </w:rPr>
        <w:t xml:space="preserve">€ in the period 2020-2030 </w:t>
      </w:r>
      <w:r w:rsidR="73F66FA1" w:rsidRPr="6CD386C1">
        <w:rPr>
          <w:noProof/>
          <w:lang w:val="en-US"/>
        </w:rPr>
        <w:t>(funded by ETS revenues)</w:t>
      </w:r>
      <w:r w:rsidR="14A93F00" w:rsidRPr="6CD386C1">
        <w:rPr>
          <w:noProof/>
          <w:lang w:val="en-US"/>
        </w:rPr>
        <w:t>.</w:t>
      </w:r>
    </w:p>
    <w:p w14:paraId="11196C0C" w14:textId="405F6634" w:rsidR="5DB3CA40" w:rsidRDefault="16F2D485" w:rsidP="00603157">
      <w:pPr>
        <w:spacing w:before="0" w:after="160"/>
        <w:rPr>
          <w:rFonts w:eastAsia="Times New Roman"/>
          <w:noProof/>
        </w:rPr>
      </w:pPr>
      <w:r w:rsidRPr="797C6906">
        <w:rPr>
          <w:rFonts w:eastAsia="Times New Roman"/>
          <w:noProof/>
        </w:rPr>
        <w:t>The implementation of the current and previous EU programmes, as also demonstrated by the relevant programme evaluations</w:t>
      </w:r>
      <w:r w:rsidR="00943560">
        <w:rPr>
          <w:rStyle w:val="FootnoteReference"/>
          <w:rFonts w:eastAsia="Times New Roman"/>
          <w:noProof/>
        </w:rPr>
        <w:footnoteReference w:id="20"/>
      </w:r>
      <w:r w:rsidRPr="797C6906">
        <w:rPr>
          <w:rFonts w:eastAsia="Times New Roman"/>
          <w:noProof/>
        </w:rPr>
        <w:t>, has shown that the complexity of the funding architecture is the major factor hindering the impact of the EU budget. Currently, programmes may finance the</w:t>
      </w:r>
      <w:r w:rsidRPr="15AF5322">
        <w:rPr>
          <w:rFonts w:eastAsia="Times New Roman"/>
          <w:noProof/>
        </w:rPr>
        <w:t xml:space="preserve"> </w:t>
      </w:r>
      <w:r w:rsidR="16184667" w:rsidRPr="15AF5322">
        <w:rPr>
          <w:rFonts w:eastAsia="Times New Roman"/>
          <w:noProof/>
        </w:rPr>
        <w:t xml:space="preserve">different stages of the investment journey within the same </w:t>
      </w:r>
      <w:r w:rsidR="2CB18278" w:rsidRPr="15AF5322">
        <w:rPr>
          <w:rFonts w:eastAsia="Times New Roman"/>
          <w:noProof/>
        </w:rPr>
        <w:t>sector/</w:t>
      </w:r>
      <w:r w:rsidR="16184667" w:rsidRPr="15AF5322">
        <w:rPr>
          <w:rFonts w:eastAsia="Times New Roman"/>
          <w:noProof/>
        </w:rPr>
        <w:t>area</w:t>
      </w:r>
      <w:r w:rsidRPr="797C6906">
        <w:rPr>
          <w:rFonts w:eastAsia="Times New Roman"/>
          <w:noProof/>
        </w:rPr>
        <w:t xml:space="preserve">, but </w:t>
      </w:r>
      <w:r w:rsidR="001954E3" w:rsidRPr="797C6906">
        <w:rPr>
          <w:rFonts w:eastAsia="Times New Roman"/>
          <w:noProof/>
        </w:rPr>
        <w:t xml:space="preserve">based on </w:t>
      </w:r>
      <w:r w:rsidRPr="797C6906">
        <w:rPr>
          <w:rFonts w:eastAsia="Times New Roman"/>
          <w:noProof/>
        </w:rPr>
        <w:t xml:space="preserve">rules and conditions </w:t>
      </w:r>
      <w:r w:rsidR="161D9EDB" w:rsidRPr="797C6906">
        <w:rPr>
          <w:rFonts w:eastAsia="Times New Roman"/>
          <w:noProof/>
        </w:rPr>
        <w:t>which can differ - and with</w:t>
      </w:r>
      <w:r w:rsidRPr="797C6906">
        <w:rPr>
          <w:rFonts w:eastAsia="Times New Roman"/>
          <w:noProof/>
        </w:rPr>
        <w:t xml:space="preserve"> insufficient flexibility to respond to unforeseen needs. This leads to inefficiencies and administrative burden for beneficiaries, Member States and the Commission. </w:t>
      </w:r>
      <w:r w:rsidR="27D6F603" w:rsidRPr="797C6906">
        <w:rPr>
          <w:rFonts w:eastAsia="Times New Roman"/>
          <w:noProof/>
        </w:rPr>
        <w:t>This is even more acute in</w:t>
      </w:r>
      <w:r w:rsidRPr="797C6906">
        <w:rPr>
          <w:rFonts w:eastAsia="Times New Roman"/>
          <w:noProof/>
        </w:rPr>
        <w:t xml:space="preserve"> a </w:t>
      </w:r>
      <w:r w:rsidR="355F8E14" w:rsidRPr="797C6906">
        <w:rPr>
          <w:rFonts w:eastAsia="Times New Roman"/>
          <w:noProof/>
        </w:rPr>
        <w:t xml:space="preserve">demanding </w:t>
      </w:r>
      <w:r w:rsidRPr="00B234F5">
        <w:rPr>
          <w:rFonts w:eastAsia="Times New Roman"/>
          <w:noProof/>
        </w:rPr>
        <w:t xml:space="preserve">budgetary </w:t>
      </w:r>
      <w:r w:rsidR="27D6F603" w:rsidRPr="00B234F5">
        <w:rPr>
          <w:rFonts w:eastAsia="Times New Roman"/>
          <w:noProof/>
        </w:rPr>
        <w:t>context</w:t>
      </w:r>
      <w:r w:rsidRPr="00B234F5">
        <w:rPr>
          <w:rFonts w:eastAsia="Times New Roman"/>
          <w:noProof/>
        </w:rPr>
        <w:t xml:space="preserve"> </w:t>
      </w:r>
      <w:r w:rsidR="04183778" w:rsidRPr="00B234F5">
        <w:rPr>
          <w:rFonts w:eastAsia="Times New Roman"/>
          <w:noProof/>
        </w:rPr>
        <w:t xml:space="preserve">at EU level </w:t>
      </w:r>
      <w:r w:rsidRPr="00B234F5">
        <w:rPr>
          <w:rFonts w:eastAsia="Times New Roman"/>
          <w:noProof/>
        </w:rPr>
        <w:t>(</w:t>
      </w:r>
      <w:r w:rsidR="7B3EE07C" w:rsidRPr="00B234F5">
        <w:rPr>
          <w:rFonts w:eastAsia="Times New Roman"/>
          <w:noProof/>
        </w:rPr>
        <w:t xml:space="preserve">for example </w:t>
      </w:r>
      <w:r w:rsidRPr="00B234F5">
        <w:rPr>
          <w:rFonts w:eastAsia="Times New Roman"/>
          <w:noProof/>
        </w:rPr>
        <w:t>with the start of NextGenerationEU repayments</w:t>
      </w:r>
      <w:r w:rsidR="28518D75" w:rsidRPr="00B234F5">
        <w:rPr>
          <w:rFonts w:eastAsia="Times New Roman"/>
          <w:noProof/>
        </w:rPr>
        <w:t xml:space="preserve"> and</w:t>
      </w:r>
      <w:r w:rsidRPr="00B234F5">
        <w:rPr>
          <w:rFonts w:eastAsia="Times New Roman"/>
          <w:noProof/>
        </w:rPr>
        <w:t xml:space="preserve"> the </w:t>
      </w:r>
      <w:r w:rsidR="3B906332" w:rsidRPr="00B234F5">
        <w:rPr>
          <w:rFonts w:eastAsia="Times New Roman"/>
          <w:noProof/>
        </w:rPr>
        <w:t xml:space="preserve">support to </w:t>
      </w:r>
      <w:r w:rsidR="0CEA6982" w:rsidRPr="00B234F5">
        <w:rPr>
          <w:rFonts w:eastAsia="Times New Roman"/>
          <w:noProof/>
        </w:rPr>
        <w:t>new</w:t>
      </w:r>
      <w:r w:rsidRPr="00B234F5">
        <w:rPr>
          <w:rFonts w:eastAsia="Times New Roman"/>
          <w:noProof/>
        </w:rPr>
        <w:t xml:space="preserve"> EU priorities). </w:t>
      </w:r>
    </w:p>
    <w:p w14:paraId="5F4F7292" w14:textId="23CB1795" w:rsidR="5DB3CA40" w:rsidRDefault="5DB3CA40" w:rsidP="000D886E">
      <w:pPr>
        <w:spacing w:before="0" w:after="160"/>
        <w:rPr>
          <w:noProof/>
          <w:lang w:val="en-US"/>
        </w:rPr>
      </w:pPr>
      <w:r w:rsidRPr="000D886E">
        <w:rPr>
          <w:rFonts w:eastAsia="Times New Roman"/>
          <w:noProof/>
          <w:lang w:val="en-IE"/>
        </w:rPr>
        <w:t xml:space="preserve">The Political Guidelines set out that the new long-term budget needs to be more focused, simpler, with fewer programmes and more impactful. </w:t>
      </w:r>
      <w:r w:rsidRPr="000D886E">
        <w:rPr>
          <w:rFonts w:eastAsia="Times New Roman"/>
          <w:noProof/>
        </w:rPr>
        <w:t>In line with the Political Guidelines, the College adopted on 11 February 2025 the Communication ‘</w:t>
      </w:r>
      <w:r w:rsidRPr="000D886E">
        <w:rPr>
          <w:rFonts w:eastAsia="Times New Roman"/>
          <w:i/>
          <w:iCs/>
          <w:noProof/>
        </w:rPr>
        <w:t>The road to the next multiannual financial framework</w:t>
      </w:r>
      <w:r w:rsidRPr="000D886E">
        <w:rPr>
          <w:rFonts w:eastAsia="Times New Roman"/>
          <w:noProof/>
        </w:rPr>
        <w:t xml:space="preserve">’, which states that </w:t>
      </w:r>
      <w:r w:rsidRPr="000D886E">
        <w:rPr>
          <w:rFonts w:eastAsia="Times New Roman"/>
          <w:i/>
          <w:iCs/>
          <w:noProof/>
        </w:rPr>
        <w:t>‘the next long-term budget will have to address the complexities, weaknesses and rigidities that are currently present and maximise the impact of every euro it spends</w:t>
      </w:r>
      <w:r w:rsidRPr="000D886E">
        <w:rPr>
          <w:rFonts w:eastAsia="Times New Roman"/>
          <w:noProof/>
        </w:rPr>
        <w:t>’. The Communication also underlines that flexibility is key in guaranteeing the budget’s ability to respond to a changing reality</w:t>
      </w:r>
      <w:r w:rsidR="00A7477F" w:rsidRPr="000D886E">
        <w:rPr>
          <w:rFonts w:eastAsia="Times New Roman"/>
          <w:noProof/>
        </w:rPr>
        <w:t xml:space="preserve">, focusing on </w:t>
      </w:r>
      <w:r w:rsidR="00006F24" w:rsidRPr="000D886E">
        <w:rPr>
          <w:rFonts w:eastAsia="Times New Roman"/>
          <w:noProof/>
        </w:rPr>
        <w:t xml:space="preserve">challenges </w:t>
      </w:r>
      <w:r w:rsidR="427D6D7F" w:rsidRPr="000D886E">
        <w:rPr>
          <w:rFonts w:eastAsia="Times New Roman"/>
          <w:noProof/>
        </w:rPr>
        <w:t xml:space="preserve">such as bolstering EU competitiveness </w:t>
      </w:r>
      <w:r w:rsidR="00006F24" w:rsidRPr="000D886E">
        <w:rPr>
          <w:rFonts w:eastAsia="Times New Roman"/>
          <w:noProof/>
        </w:rPr>
        <w:t>which can only be solved through joint action in a united Eu</w:t>
      </w:r>
      <w:r w:rsidR="00E825E1" w:rsidRPr="000D886E">
        <w:rPr>
          <w:rFonts w:eastAsia="Times New Roman"/>
          <w:noProof/>
        </w:rPr>
        <w:t>rope</w:t>
      </w:r>
      <w:r w:rsidRPr="000D886E">
        <w:rPr>
          <w:rFonts w:eastAsia="Times New Roman"/>
          <w:noProof/>
        </w:rPr>
        <w:t>.</w:t>
      </w:r>
      <w:r w:rsidR="00E825E1" w:rsidRPr="000D886E">
        <w:rPr>
          <w:rFonts w:eastAsia="Times New Roman"/>
          <w:noProof/>
        </w:rPr>
        <w:t xml:space="preserve"> </w:t>
      </w:r>
      <w:r w:rsidR="0098434D" w:rsidRPr="000D886E">
        <w:rPr>
          <w:noProof/>
          <w:lang w:val="en-US"/>
        </w:rPr>
        <w:t xml:space="preserve"> These guiding principles apply to several other proposals under the next MFF. </w:t>
      </w:r>
      <w:r w:rsidR="52AA269D" w:rsidRPr="000D886E">
        <w:rPr>
          <w:noProof/>
          <w:lang w:val="en-US"/>
        </w:rPr>
        <w:t>A revamped external action financing will also make it more impactful and targeted for our partners and more aligned with our strategic interests.</w:t>
      </w:r>
      <w:r w:rsidR="4A49A1EB" w:rsidRPr="000D886E">
        <w:rPr>
          <w:noProof/>
          <w:lang w:val="en-US"/>
        </w:rPr>
        <w:t xml:space="preserve"> The regional and national </w:t>
      </w:r>
      <w:r w:rsidR="52AA269D" w:rsidRPr="000D886E">
        <w:rPr>
          <w:noProof/>
          <w:lang w:val="en-US"/>
        </w:rPr>
        <w:t>partnership</w:t>
      </w:r>
      <w:r w:rsidR="68DC1F0F" w:rsidRPr="000D886E">
        <w:rPr>
          <w:noProof/>
          <w:lang w:val="en-US"/>
        </w:rPr>
        <w:t>s</w:t>
      </w:r>
      <w:r w:rsidR="52AA269D" w:rsidRPr="000D886E">
        <w:rPr>
          <w:noProof/>
          <w:lang w:val="en-US"/>
        </w:rPr>
        <w:t xml:space="preserve"> with key reforms and investments </w:t>
      </w:r>
      <w:r w:rsidR="2E817865" w:rsidRPr="000D886E">
        <w:rPr>
          <w:noProof/>
          <w:lang w:val="en-US"/>
        </w:rPr>
        <w:t>focusing</w:t>
      </w:r>
      <w:r w:rsidR="52AA269D" w:rsidRPr="000D886E">
        <w:rPr>
          <w:noProof/>
          <w:lang w:val="en-US"/>
        </w:rPr>
        <w:t xml:space="preserve"> on joint </w:t>
      </w:r>
      <w:r w:rsidR="1612FF19" w:rsidRPr="000D886E">
        <w:rPr>
          <w:noProof/>
          <w:lang w:val="en-US"/>
        </w:rPr>
        <w:t>priorities,</w:t>
      </w:r>
      <w:r w:rsidR="76457DB9" w:rsidRPr="000D886E">
        <w:rPr>
          <w:noProof/>
          <w:lang w:val="en-US"/>
        </w:rPr>
        <w:t xml:space="preserve"> including promoti</w:t>
      </w:r>
      <w:r w:rsidR="189B2791" w:rsidRPr="000D886E">
        <w:rPr>
          <w:noProof/>
          <w:lang w:val="en-US"/>
        </w:rPr>
        <w:t>ng</w:t>
      </w:r>
      <w:r w:rsidR="76457DB9" w:rsidRPr="000D886E">
        <w:rPr>
          <w:noProof/>
          <w:lang w:val="en-US"/>
        </w:rPr>
        <w:t xml:space="preserve"> economic social and territorial cohesion with </w:t>
      </w:r>
      <w:r w:rsidR="232D2476" w:rsidRPr="000D886E">
        <w:rPr>
          <w:noProof/>
          <w:lang w:val="en-US"/>
        </w:rPr>
        <w:t>regions</w:t>
      </w:r>
      <w:r w:rsidR="76457DB9" w:rsidRPr="000D886E">
        <w:rPr>
          <w:noProof/>
          <w:lang w:val="en-US"/>
        </w:rPr>
        <w:t xml:space="preserve"> at its </w:t>
      </w:r>
      <w:r w:rsidR="20741A44" w:rsidRPr="000D886E">
        <w:rPr>
          <w:noProof/>
          <w:lang w:val="en-US"/>
        </w:rPr>
        <w:t>center,</w:t>
      </w:r>
      <w:r w:rsidR="76457DB9" w:rsidRPr="000D886E">
        <w:rPr>
          <w:noProof/>
          <w:lang w:val="en-US"/>
        </w:rPr>
        <w:t xml:space="preserve"> will also be designed following these objectives. </w:t>
      </w:r>
      <w:r w:rsidR="0B0FE249" w:rsidRPr="000D886E">
        <w:rPr>
          <w:rFonts w:eastAsia="Times New Roman"/>
          <w:noProof/>
          <w:lang w:val="en-US"/>
        </w:rPr>
        <w:t>Together, the three pillars (</w:t>
      </w:r>
      <w:r w:rsidR="002D1742" w:rsidRPr="000D886E">
        <w:rPr>
          <w:rFonts w:eastAsia="Times New Roman"/>
          <w:noProof/>
          <w:lang w:val="en-US"/>
        </w:rPr>
        <w:t>i.e.</w:t>
      </w:r>
      <w:r w:rsidR="0B0FE249" w:rsidRPr="000D886E">
        <w:rPr>
          <w:rFonts w:eastAsia="Times New Roman"/>
          <w:noProof/>
          <w:lang w:val="en-US"/>
        </w:rPr>
        <w:t xml:space="preserve"> The partnership</w:t>
      </w:r>
      <w:r w:rsidR="063E38A6" w:rsidRPr="000D886E">
        <w:rPr>
          <w:rFonts w:eastAsia="Times New Roman"/>
          <w:noProof/>
          <w:lang w:val="en-US"/>
        </w:rPr>
        <w:t xml:space="preserve">s, the European competitiveness Fund and the Global Europe </w:t>
      </w:r>
      <w:r w:rsidR="00F0281E" w:rsidRPr="000D886E">
        <w:rPr>
          <w:rFonts w:eastAsia="Times New Roman"/>
          <w:noProof/>
          <w:lang w:val="en-US"/>
        </w:rPr>
        <w:t>instruments) and</w:t>
      </w:r>
      <w:r w:rsidR="0B0FE249" w:rsidRPr="000D886E">
        <w:rPr>
          <w:rFonts w:eastAsia="Times New Roman"/>
          <w:noProof/>
          <w:lang w:val="en-US"/>
        </w:rPr>
        <w:t xml:space="preserve"> self-standing programmes will form a coherent system to </w:t>
      </w:r>
      <w:r w:rsidR="75E6FEE3" w:rsidRPr="000D886E">
        <w:rPr>
          <w:rFonts w:eastAsia="Times New Roman"/>
          <w:noProof/>
          <w:lang w:val="en-US"/>
        </w:rPr>
        <w:t>deliver</w:t>
      </w:r>
      <w:r w:rsidR="0B0FE249" w:rsidRPr="000D886E">
        <w:rPr>
          <w:rFonts w:eastAsia="Times New Roman"/>
          <w:noProof/>
          <w:lang w:val="en-US"/>
        </w:rPr>
        <w:t xml:space="preserve"> key priorities.</w:t>
      </w:r>
    </w:p>
    <w:p w14:paraId="3B340D45" w14:textId="6D4F034D" w:rsidR="00A3508E" w:rsidRPr="00A3508E" w:rsidRDefault="5DB3CA40" w:rsidP="0038438D">
      <w:pPr>
        <w:spacing w:before="0" w:after="0"/>
        <w:rPr>
          <w:noProof/>
        </w:rPr>
      </w:pPr>
      <w:r w:rsidRPr="797C6906">
        <w:rPr>
          <w:rFonts w:eastAsia="Times New Roman"/>
          <w:noProof/>
        </w:rPr>
        <w:t xml:space="preserve">In this political context, impact assessments for programmes under the next </w:t>
      </w:r>
      <w:r w:rsidR="00770361">
        <w:rPr>
          <w:rFonts w:eastAsia="Times New Roman"/>
          <w:noProof/>
        </w:rPr>
        <w:t>MFF</w:t>
      </w:r>
      <w:r w:rsidRPr="797C6906">
        <w:rPr>
          <w:rFonts w:eastAsia="Times New Roman"/>
          <w:noProof/>
        </w:rPr>
        <w:t xml:space="preserve"> focus on how to streamline the architecture of the EU budget, thereby assessing the most important policy choices underpinning the legislative proposals for the future EU programmes. </w:t>
      </w:r>
      <w:r w:rsidR="00A3508E" w:rsidRPr="00A3508E">
        <w:rPr>
          <w:noProof/>
        </w:rPr>
        <w:t xml:space="preserve">Policy aspects are considered in the analysis of the context, the problem definition and the objectives, which inform the choices on the programme architecture. Given that the architecture of the new </w:t>
      </w:r>
      <w:r w:rsidR="00B64F0D">
        <w:rPr>
          <w:noProof/>
        </w:rPr>
        <w:t xml:space="preserve">MFF </w:t>
      </w:r>
      <w:r w:rsidR="00A3508E" w:rsidRPr="00A3508E">
        <w:rPr>
          <w:noProof/>
        </w:rPr>
        <w:t xml:space="preserve">will be significantly different from the current structure, assumptions on the budget of each programme would be unreliable at this stage. Therefore, the impact assessment does not include </w:t>
      </w:r>
      <w:r w:rsidR="4408FBB6">
        <w:rPr>
          <w:noProof/>
        </w:rPr>
        <w:t xml:space="preserve">sectoral </w:t>
      </w:r>
      <w:r w:rsidR="00A3508E" w:rsidRPr="00A3508E">
        <w:rPr>
          <w:noProof/>
        </w:rPr>
        <w:t>funding scenarios.</w:t>
      </w:r>
    </w:p>
    <w:p w14:paraId="49886F96" w14:textId="56EDD35A" w:rsidR="00172066" w:rsidRPr="00BB184A" w:rsidRDefault="00A3508E" w:rsidP="00603157">
      <w:pPr>
        <w:rPr>
          <w:noProof/>
          <w:lang w:val="en-US"/>
        </w:rPr>
      </w:pPr>
      <w:r w:rsidRPr="00A3508E">
        <w:rPr>
          <w:noProof/>
        </w:rPr>
        <w:t xml:space="preserve">This reflects the specificities of this exercise, as clearly acknowledged in the Commission’s better regulation rules, which this impact assessment follows. Tool #9 of the better regulation toolbox states that </w:t>
      </w:r>
      <w:r w:rsidRPr="00A3508E">
        <w:rPr>
          <w:i/>
          <w:iCs/>
          <w:noProof/>
        </w:rPr>
        <w:t>‘the special case of preparing a new multiannual financial framework is a unique process requiring a specific approach as regards scope and depth of analysis’</w:t>
      </w:r>
    </w:p>
    <w:p w14:paraId="5BDA5DC0" w14:textId="3322164F" w:rsidR="006B087E" w:rsidRPr="007E33D2" w:rsidRDefault="006B087E" w:rsidP="00603157">
      <w:pPr>
        <w:pStyle w:val="Heading1"/>
        <w:rPr>
          <w:noProof/>
          <w:lang w:val="en-IE"/>
        </w:rPr>
      </w:pPr>
      <w:bookmarkStart w:id="4" w:name="_Toc192172346"/>
      <w:bookmarkStart w:id="5" w:name="_Toc192172413"/>
      <w:bookmarkStart w:id="6" w:name="_Toc192172444"/>
      <w:bookmarkStart w:id="7" w:name="_Toc192172495"/>
      <w:bookmarkStart w:id="8" w:name="_Toc192172347"/>
      <w:bookmarkStart w:id="9" w:name="_Toc192172414"/>
      <w:bookmarkStart w:id="10" w:name="_Toc192172445"/>
      <w:bookmarkStart w:id="11" w:name="_Toc192172496"/>
      <w:bookmarkStart w:id="12" w:name="_Toc192172348"/>
      <w:bookmarkStart w:id="13" w:name="_Toc192172415"/>
      <w:bookmarkStart w:id="14" w:name="_Toc192172446"/>
      <w:bookmarkStart w:id="15" w:name="_Toc192172497"/>
      <w:bookmarkStart w:id="16" w:name="_Toc192172349"/>
      <w:bookmarkStart w:id="17" w:name="_Toc192172416"/>
      <w:bookmarkStart w:id="18" w:name="_Toc192172447"/>
      <w:bookmarkStart w:id="19" w:name="_Toc192172498"/>
      <w:bookmarkStart w:id="20" w:name="_Toc192172350"/>
      <w:bookmarkStart w:id="21" w:name="_Toc192172417"/>
      <w:bookmarkStart w:id="22" w:name="_Toc192172448"/>
      <w:bookmarkStart w:id="23" w:name="_Toc192172499"/>
      <w:bookmarkStart w:id="24" w:name="_Toc192172351"/>
      <w:bookmarkStart w:id="25" w:name="_Toc192172418"/>
      <w:bookmarkStart w:id="26" w:name="_Toc192172449"/>
      <w:bookmarkStart w:id="27" w:name="_Toc192172500"/>
      <w:bookmarkStart w:id="28" w:name="_Toc192172352"/>
      <w:bookmarkStart w:id="29" w:name="_Toc192172419"/>
      <w:bookmarkStart w:id="30" w:name="_Toc192172450"/>
      <w:bookmarkStart w:id="31" w:name="_Toc192172501"/>
      <w:bookmarkStart w:id="32" w:name="_Toc192172353"/>
      <w:bookmarkStart w:id="33" w:name="_Toc192172420"/>
      <w:bookmarkStart w:id="34" w:name="_Toc192172451"/>
      <w:bookmarkStart w:id="35" w:name="_Toc192172502"/>
      <w:bookmarkStart w:id="36" w:name="_Toc192172354"/>
      <w:bookmarkStart w:id="37" w:name="_Toc192172421"/>
      <w:bookmarkStart w:id="38" w:name="_Toc192172452"/>
      <w:bookmarkStart w:id="39" w:name="_Toc192172503"/>
      <w:bookmarkStart w:id="40" w:name="_Toc192172355"/>
      <w:bookmarkStart w:id="41" w:name="_Toc192172422"/>
      <w:bookmarkStart w:id="42" w:name="_Toc192172453"/>
      <w:bookmarkStart w:id="43" w:name="_Toc192172504"/>
      <w:bookmarkStart w:id="44" w:name="_Toc192172356"/>
      <w:bookmarkStart w:id="45" w:name="_Toc195700182"/>
      <w:bookmarkStart w:id="46" w:name="_Toc20304363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5F80AB6C">
        <w:rPr>
          <w:noProof/>
          <w:lang w:val="en-IE"/>
        </w:rPr>
        <w:t>Problem definition</w:t>
      </w:r>
      <w:bookmarkEnd w:id="44"/>
      <w:bookmarkEnd w:id="45"/>
      <w:bookmarkEnd w:id="46"/>
    </w:p>
    <w:p w14:paraId="634B85A9" w14:textId="2D08C68B" w:rsidR="006B087E" w:rsidRPr="007E33D2" w:rsidRDefault="151F2903" w:rsidP="00603157">
      <w:pPr>
        <w:pStyle w:val="Heading2"/>
        <w:rPr>
          <w:noProof/>
          <w:lang w:val="en-IE"/>
        </w:rPr>
      </w:pPr>
      <w:bookmarkStart w:id="47" w:name="_Toc195700183"/>
      <w:bookmarkStart w:id="48" w:name="_Toc203043634"/>
      <w:r w:rsidRPr="2A1AD167">
        <w:rPr>
          <w:noProof/>
          <w:lang w:val="en-IE"/>
        </w:rPr>
        <w:t>What are the problems</w:t>
      </w:r>
      <w:bookmarkEnd w:id="47"/>
      <w:r w:rsidR="00540A8E" w:rsidRPr="2A1AD167">
        <w:rPr>
          <w:noProof/>
          <w:lang w:val="en-IE"/>
        </w:rPr>
        <w:t>?</w:t>
      </w:r>
      <w:bookmarkEnd w:id="48"/>
    </w:p>
    <w:p w14:paraId="332C597E" w14:textId="06892540" w:rsidR="00E46CF9" w:rsidRPr="005F34D2" w:rsidRDefault="07E4E5F9" w:rsidP="00E46CF9">
      <w:pPr>
        <w:rPr>
          <w:b/>
          <w:bCs/>
          <w:noProof/>
          <w:color w:val="000000" w:themeColor="text1"/>
          <w:lang w:val="en-US"/>
        </w:rPr>
      </w:pPr>
      <w:r w:rsidRPr="007E33D2">
        <w:rPr>
          <w:noProof/>
          <w:lang w:val="en-IE"/>
        </w:rPr>
        <w:t>For the last thirty years, the productivity gap</w:t>
      </w:r>
      <w:r w:rsidR="009A2B51">
        <w:rPr>
          <w:noProof/>
          <w:lang w:val="en-IE"/>
        </w:rPr>
        <w:t>s</w:t>
      </w:r>
      <w:r w:rsidR="00B86A4D">
        <w:rPr>
          <w:rStyle w:val="FootnoteReference"/>
          <w:noProof/>
          <w:lang w:val="en-IE"/>
        </w:rPr>
        <w:footnoteReference w:id="21"/>
      </w:r>
      <w:r w:rsidRPr="007E33D2">
        <w:rPr>
          <w:noProof/>
          <w:lang w:val="en-IE"/>
        </w:rPr>
        <w:t xml:space="preserve"> between the EU and other advanced economies </w:t>
      </w:r>
      <w:r w:rsidR="02489873">
        <w:rPr>
          <w:noProof/>
          <w:lang w:val="en-IE"/>
        </w:rPr>
        <w:t>have</w:t>
      </w:r>
      <w:r w:rsidR="02489873" w:rsidRPr="007E33D2">
        <w:rPr>
          <w:noProof/>
          <w:lang w:val="en-IE"/>
        </w:rPr>
        <w:t xml:space="preserve"> </w:t>
      </w:r>
      <w:r w:rsidRPr="007E33D2">
        <w:rPr>
          <w:noProof/>
          <w:lang w:val="en-IE"/>
        </w:rPr>
        <w:t>widened</w:t>
      </w:r>
      <w:r w:rsidR="00D24339">
        <w:rPr>
          <w:noProof/>
          <w:lang w:val="en-IE"/>
        </w:rPr>
        <w:t xml:space="preserve">, making the EU </w:t>
      </w:r>
      <w:r w:rsidR="00ED1ECC">
        <w:rPr>
          <w:noProof/>
          <w:lang w:val="en-IE"/>
        </w:rPr>
        <w:t xml:space="preserve">less competitive than other </w:t>
      </w:r>
      <w:r w:rsidR="00D01DA9">
        <w:rPr>
          <w:noProof/>
          <w:lang w:val="en-IE"/>
        </w:rPr>
        <w:t>major</w:t>
      </w:r>
      <w:r w:rsidR="00ED1ECC">
        <w:rPr>
          <w:noProof/>
          <w:lang w:val="en-IE"/>
        </w:rPr>
        <w:t xml:space="preserve"> economies</w:t>
      </w:r>
      <w:r w:rsidRPr="007E33D2">
        <w:rPr>
          <w:noProof/>
          <w:lang w:val="en-IE"/>
        </w:rPr>
        <w:t>.</w:t>
      </w:r>
      <w:r w:rsidR="28264186" w:rsidRPr="3C29BB1B">
        <w:rPr>
          <w:noProof/>
          <w:lang w:val="en-IE"/>
        </w:rPr>
        <w:t xml:space="preserve"> </w:t>
      </w:r>
      <w:r w:rsidR="121F3C79">
        <w:rPr>
          <w:b/>
          <w:bCs/>
          <w:noProof/>
          <w:lang w:val="en-IE"/>
        </w:rPr>
        <w:t>T</w:t>
      </w:r>
      <w:r w:rsidRPr="3C29BB1B">
        <w:rPr>
          <w:b/>
          <w:bCs/>
          <w:noProof/>
          <w:lang w:val="en-IE"/>
        </w:rPr>
        <w:t xml:space="preserve">he EU is currently falling behind in multiple areas, including technological development, </w:t>
      </w:r>
      <w:r w:rsidR="5E81C7A7" w:rsidRPr="3C29BB1B">
        <w:rPr>
          <w:b/>
          <w:bCs/>
          <w:noProof/>
          <w:lang w:val="en-IE"/>
        </w:rPr>
        <w:t xml:space="preserve">research and </w:t>
      </w:r>
      <w:r w:rsidRPr="3C29BB1B">
        <w:rPr>
          <w:b/>
          <w:bCs/>
          <w:noProof/>
          <w:lang w:val="en-IE"/>
        </w:rPr>
        <w:t xml:space="preserve">innovation </w:t>
      </w:r>
      <w:r w:rsidR="6C475CF4" w:rsidRPr="3C29BB1B">
        <w:rPr>
          <w:b/>
          <w:bCs/>
          <w:noProof/>
          <w:lang w:val="en-IE"/>
        </w:rPr>
        <w:t>performance</w:t>
      </w:r>
      <w:r w:rsidRPr="3C29BB1B">
        <w:rPr>
          <w:b/>
          <w:bCs/>
          <w:noProof/>
          <w:lang w:val="en-IE"/>
        </w:rPr>
        <w:t>, market dynamism and industrial capacity</w:t>
      </w:r>
      <w:r w:rsidR="00A56794">
        <w:rPr>
          <w:rStyle w:val="FootnoteReference"/>
          <w:noProof/>
          <w:lang w:val="en-IE"/>
        </w:rPr>
        <w:footnoteReference w:id="22"/>
      </w:r>
      <w:r w:rsidR="6636379E" w:rsidRPr="3C29BB1B">
        <w:rPr>
          <w:noProof/>
          <w:lang w:val="en-IE"/>
        </w:rPr>
        <w:t>.</w:t>
      </w:r>
      <w:r w:rsidR="00E46CF9" w:rsidRPr="0014208F">
        <w:rPr>
          <w:noProof/>
          <w:color w:val="000000" w:themeColor="text1"/>
          <w:lang w:val="en-IE"/>
        </w:rPr>
        <w:t xml:space="preserve">This initiative addresses challenges related to both regulatory and market failures of the current EU funding landscape with a focus on </w:t>
      </w:r>
      <w:r w:rsidR="00E46CF9" w:rsidRPr="0014208F">
        <w:rPr>
          <w:b/>
          <w:bCs/>
          <w:noProof/>
          <w:color w:val="000000" w:themeColor="text1"/>
          <w:lang w:val="en-IE"/>
        </w:rPr>
        <w:t xml:space="preserve">simplification, financing and better coordination. </w:t>
      </w:r>
      <w:r w:rsidR="00E0459B" w:rsidRPr="0014208F">
        <w:rPr>
          <w:noProof/>
          <w:color w:val="000000" w:themeColor="text1"/>
          <w:lang w:val="en-IE"/>
        </w:rPr>
        <w:t xml:space="preserve">Furthermore, the initiative aims at </w:t>
      </w:r>
      <w:r w:rsidR="00F0281E" w:rsidRPr="0014208F">
        <w:rPr>
          <w:noProof/>
          <w:color w:val="000000" w:themeColor="text1"/>
          <w:lang w:val="en-IE"/>
        </w:rPr>
        <w:t>reducing</w:t>
      </w:r>
      <w:r w:rsidR="00F0281E" w:rsidRPr="00043781">
        <w:rPr>
          <w:noProof/>
          <w:color w:val="000000" w:themeColor="text1"/>
          <w:u w:val="single"/>
          <w:lang w:val="en-IE"/>
        </w:rPr>
        <w:t xml:space="preserve"> </w:t>
      </w:r>
      <w:r w:rsidR="00F0281E">
        <w:rPr>
          <w:noProof/>
          <w:color w:val="000000" w:themeColor="text1"/>
          <w:lang w:val="en-IE"/>
        </w:rPr>
        <w:t>market</w:t>
      </w:r>
      <w:r w:rsidR="00E46CF9" w:rsidRPr="00F02CAC">
        <w:rPr>
          <w:noProof/>
          <w:lang w:val="en-US"/>
        </w:rPr>
        <w:t xml:space="preserve"> failures</w:t>
      </w:r>
      <w:r w:rsidR="00E0459B">
        <w:rPr>
          <w:noProof/>
          <w:lang w:val="en-US"/>
        </w:rPr>
        <w:t xml:space="preserve"> </w:t>
      </w:r>
      <w:r w:rsidR="0014208F">
        <w:rPr>
          <w:noProof/>
          <w:lang w:val="en-US"/>
        </w:rPr>
        <w:t>related to</w:t>
      </w:r>
      <w:r w:rsidR="00E46CF9">
        <w:rPr>
          <w:noProof/>
          <w:lang w:val="en-US"/>
        </w:rPr>
        <w:t xml:space="preserve"> </w:t>
      </w:r>
      <w:r w:rsidR="00E46CF9" w:rsidRPr="00F02CAC">
        <w:rPr>
          <w:noProof/>
          <w:lang w:val="en-US"/>
        </w:rPr>
        <w:t>the challenge of securing funding for projects with significant positive externalities like</w:t>
      </w:r>
      <w:r w:rsidR="005B0DE9">
        <w:rPr>
          <w:noProof/>
          <w:lang w:val="en-US"/>
        </w:rPr>
        <w:t xml:space="preserve"> </w:t>
      </w:r>
      <w:r w:rsidR="001928A3">
        <w:rPr>
          <w:noProof/>
          <w:lang w:val="en-US"/>
        </w:rPr>
        <w:t xml:space="preserve">R&amp;I, </w:t>
      </w:r>
      <w:r w:rsidR="00E46CF9" w:rsidRPr="00F02CAC">
        <w:rPr>
          <w:noProof/>
          <w:lang w:val="en-US"/>
        </w:rPr>
        <w:t>decarboni</w:t>
      </w:r>
      <w:r w:rsidR="007C3693">
        <w:rPr>
          <w:noProof/>
          <w:lang w:val="en-US"/>
        </w:rPr>
        <w:t>s</w:t>
      </w:r>
      <w:r w:rsidR="00E46CF9" w:rsidRPr="00F02CAC">
        <w:rPr>
          <w:noProof/>
          <w:lang w:val="en-US"/>
        </w:rPr>
        <w:t xml:space="preserve">ation and digital transitions, </w:t>
      </w:r>
      <w:r w:rsidR="001928A3">
        <w:rPr>
          <w:noProof/>
          <w:lang w:val="en-US"/>
        </w:rPr>
        <w:t xml:space="preserve">financing gaps in the innovation journey (“valley of death”) </w:t>
      </w:r>
      <w:r w:rsidR="00E46CF9">
        <w:rPr>
          <w:noProof/>
          <w:lang w:val="en-US"/>
        </w:rPr>
        <w:t xml:space="preserve">or asymmetry of information, key for SMEs to secure the necessary funding. </w:t>
      </w:r>
    </w:p>
    <w:p w14:paraId="6EDD9E52" w14:textId="723C05E4" w:rsidR="008A1FA0" w:rsidRPr="007E33D2" w:rsidRDefault="39F9F739" w:rsidP="00603157">
      <w:pPr>
        <w:rPr>
          <w:noProof/>
          <w:lang w:val="en-IE"/>
        </w:rPr>
      </w:pPr>
      <w:r w:rsidRPr="4947ADCE">
        <w:rPr>
          <w:rStyle w:val="normaltextrun"/>
          <w:noProof/>
          <w:color w:val="000000" w:themeColor="text1"/>
          <w:lang w:val="en-IE"/>
        </w:rPr>
        <w:t xml:space="preserve">Concretely, </w:t>
      </w:r>
      <w:r w:rsidRPr="4947ADCE">
        <w:rPr>
          <w:rStyle w:val="normaltextrun"/>
          <w:b/>
          <w:bCs/>
          <w:noProof/>
          <w:color w:val="000000" w:themeColor="text1"/>
          <w:lang w:val="en-IE"/>
        </w:rPr>
        <w:t xml:space="preserve">there are </w:t>
      </w:r>
      <w:r w:rsidR="37E10D93" w:rsidRPr="4947ADCE">
        <w:rPr>
          <w:rStyle w:val="normaltextrun"/>
          <w:b/>
          <w:bCs/>
          <w:noProof/>
          <w:color w:val="000000" w:themeColor="text1"/>
          <w:lang w:val="en-IE"/>
        </w:rPr>
        <w:t xml:space="preserve">five </w:t>
      </w:r>
      <w:r w:rsidRPr="4947ADCE">
        <w:rPr>
          <w:rStyle w:val="normaltextrun"/>
          <w:b/>
          <w:bCs/>
          <w:noProof/>
          <w:color w:val="000000" w:themeColor="text1"/>
          <w:lang w:val="en-IE"/>
        </w:rPr>
        <w:t xml:space="preserve">key systemic challenges for </w:t>
      </w:r>
      <w:r w:rsidR="5932D5DE" w:rsidRPr="4947ADCE">
        <w:rPr>
          <w:rStyle w:val="normaltextrun"/>
          <w:b/>
          <w:bCs/>
          <w:noProof/>
          <w:color w:val="000000" w:themeColor="text1"/>
          <w:lang w:val="en-IE"/>
        </w:rPr>
        <w:t xml:space="preserve">European </w:t>
      </w:r>
      <w:r w:rsidRPr="4947ADCE">
        <w:rPr>
          <w:rStyle w:val="normaltextrun"/>
          <w:b/>
          <w:bCs/>
          <w:noProof/>
          <w:color w:val="000000" w:themeColor="text1"/>
          <w:lang w:val="en-IE"/>
        </w:rPr>
        <w:t>competitiveness</w:t>
      </w:r>
      <w:r w:rsidR="003E35E0">
        <w:rPr>
          <w:rStyle w:val="normaltextrun"/>
          <w:b/>
          <w:bCs/>
          <w:noProof/>
          <w:color w:val="000000" w:themeColor="text1"/>
          <w:lang w:val="en-IE"/>
        </w:rPr>
        <w:t xml:space="preserve"> of both</w:t>
      </w:r>
      <w:r w:rsidR="007D346E">
        <w:rPr>
          <w:rStyle w:val="normaltextrun"/>
          <w:b/>
          <w:bCs/>
          <w:noProof/>
          <w:color w:val="000000" w:themeColor="text1"/>
          <w:lang w:val="en-IE"/>
        </w:rPr>
        <w:t xml:space="preserve"> </w:t>
      </w:r>
      <w:r w:rsidR="007B1B8B">
        <w:rPr>
          <w:rStyle w:val="normaltextrun"/>
          <w:b/>
          <w:bCs/>
          <w:noProof/>
          <w:color w:val="000000" w:themeColor="text1"/>
          <w:lang w:val="en-IE"/>
        </w:rPr>
        <w:t xml:space="preserve">architectural </w:t>
      </w:r>
      <w:r w:rsidR="00160A67">
        <w:rPr>
          <w:rStyle w:val="normaltextrun"/>
          <w:b/>
          <w:bCs/>
          <w:noProof/>
          <w:color w:val="000000" w:themeColor="text1"/>
          <w:lang w:val="en-IE"/>
        </w:rPr>
        <w:t>and broader policy nature</w:t>
      </w:r>
      <w:r w:rsidR="002B63C7">
        <w:rPr>
          <w:rStyle w:val="normaltextrun"/>
          <w:noProof/>
          <w:color w:val="000000" w:themeColor="text1"/>
          <w:lang w:val="en-IE"/>
        </w:rPr>
        <w:t>. The challenges include</w:t>
      </w:r>
      <w:r w:rsidR="005F347E">
        <w:rPr>
          <w:rStyle w:val="normaltextrun"/>
          <w:noProof/>
          <w:color w:val="000000" w:themeColor="text1"/>
          <w:lang w:val="en-IE"/>
        </w:rPr>
        <w:t xml:space="preserve"> </w:t>
      </w:r>
      <w:r w:rsidRPr="4947ADCE">
        <w:rPr>
          <w:rStyle w:val="normaltextrun"/>
          <w:noProof/>
          <w:color w:val="000000" w:themeColor="text1"/>
          <w:lang w:val="en-IE"/>
        </w:rPr>
        <w:t>(</w:t>
      </w:r>
      <w:r w:rsidR="00554753">
        <w:rPr>
          <w:rStyle w:val="normaltextrun"/>
          <w:noProof/>
          <w:color w:val="000000" w:themeColor="text1"/>
          <w:lang w:val="en-IE"/>
        </w:rPr>
        <w:t>1</w:t>
      </w:r>
      <w:r w:rsidRPr="4947ADCE">
        <w:rPr>
          <w:rStyle w:val="normaltextrun"/>
          <w:noProof/>
          <w:color w:val="000000" w:themeColor="text1"/>
          <w:lang w:val="en-IE"/>
        </w:rPr>
        <w:t xml:space="preserve">) </w:t>
      </w:r>
      <w:r w:rsidR="11A674EE" w:rsidRPr="4947ADCE">
        <w:rPr>
          <w:noProof/>
          <w:color w:val="000000" w:themeColor="text1"/>
          <w:lang w:val="en-IE"/>
        </w:rPr>
        <w:t>suboptimal support along the investment journey, from fundamental research, applied research through scale-up, industrial deployment, to manufacturing</w:t>
      </w:r>
      <w:r w:rsidR="008E3736">
        <w:rPr>
          <w:noProof/>
          <w:color w:val="000000" w:themeColor="text1"/>
          <w:lang w:val="en-IE"/>
        </w:rPr>
        <w:t xml:space="preserve"> </w:t>
      </w:r>
      <w:r w:rsidR="003C0295" w:rsidRPr="4947ADCE">
        <w:rPr>
          <w:rStyle w:val="normaltextrun"/>
          <w:noProof/>
          <w:color w:val="000000" w:themeColor="text1"/>
          <w:lang w:val="en-IE"/>
        </w:rPr>
        <w:t>and (</w:t>
      </w:r>
      <w:r w:rsidR="008E3736">
        <w:rPr>
          <w:rStyle w:val="normaltextrun"/>
          <w:noProof/>
          <w:color w:val="000000" w:themeColor="text1"/>
          <w:lang w:val="en-IE"/>
        </w:rPr>
        <w:t>2</w:t>
      </w:r>
      <w:r w:rsidR="003C0295" w:rsidRPr="4947ADCE">
        <w:rPr>
          <w:rStyle w:val="normaltextrun"/>
          <w:noProof/>
          <w:color w:val="000000" w:themeColor="text1"/>
          <w:lang w:val="en-IE"/>
        </w:rPr>
        <w:t>) a complex and uncoordinated EU funding landscape</w:t>
      </w:r>
      <w:r w:rsidR="00D47B30">
        <w:rPr>
          <w:rStyle w:val="normaltextrun"/>
          <w:noProof/>
          <w:color w:val="000000" w:themeColor="text1"/>
          <w:lang w:val="en-IE"/>
        </w:rPr>
        <w:t>, while</w:t>
      </w:r>
      <w:r w:rsidR="003C0295" w:rsidRPr="4947ADCE">
        <w:rPr>
          <w:rStyle w:val="normaltextrun"/>
          <w:noProof/>
          <w:color w:val="000000" w:themeColor="text1"/>
          <w:lang w:val="en-IE"/>
        </w:rPr>
        <w:t xml:space="preserve"> </w:t>
      </w:r>
      <w:r w:rsidR="00D47B30">
        <w:rPr>
          <w:rStyle w:val="normaltextrun"/>
          <w:noProof/>
          <w:color w:val="000000" w:themeColor="text1"/>
          <w:lang w:val="en-IE"/>
        </w:rPr>
        <w:t>t</w:t>
      </w:r>
      <w:r w:rsidR="002B63C7">
        <w:rPr>
          <w:rStyle w:val="normaltextrun"/>
          <w:noProof/>
          <w:color w:val="000000" w:themeColor="text1"/>
          <w:lang w:val="en-IE"/>
        </w:rPr>
        <w:t xml:space="preserve">he broader policy </w:t>
      </w:r>
      <w:r w:rsidR="000F2A02">
        <w:rPr>
          <w:rStyle w:val="normaltextrun"/>
          <w:noProof/>
          <w:color w:val="000000" w:themeColor="text1"/>
          <w:lang w:val="en-IE"/>
        </w:rPr>
        <w:t xml:space="preserve">problems </w:t>
      </w:r>
      <w:r w:rsidR="00FE4522">
        <w:rPr>
          <w:rStyle w:val="normaltextrun"/>
          <w:noProof/>
          <w:color w:val="000000" w:themeColor="text1"/>
          <w:lang w:val="en-IE"/>
        </w:rPr>
        <w:t xml:space="preserve">include </w:t>
      </w:r>
      <w:r w:rsidRPr="4947ADCE">
        <w:rPr>
          <w:rStyle w:val="normaltextrun"/>
          <w:noProof/>
          <w:color w:val="000000" w:themeColor="text1"/>
          <w:lang w:val="en-IE"/>
        </w:rPr>
        <w:t>(</w:t>
      </w:r>
      <w:r w:rsidR="008E3736">
        <w:rPr>
          <w:rStyle w:val="normaltextrun"/>
          <w:noProof/>
          <w:color w:val="000000" w:themeColor="text1"/>
          <w:lang w:val="en-IE"/>
        </w:rPr>
        <w:t>3</w:t>
      </w:r>
      <w:r w:rsidRPr="4947ADCE">
        <w:rPr>
          <w:rStyle w:val="normaltextrun"/>
          <w:noProof/>
          <w:color w:val="000000" w:themeColor="text1"/>
          <w:lang w:val="en-IE"/>
        </w:rPr>
        <w:t>) a</w:t>
      </w:r>
      <w:r w:rsidR="3718D982" w:rsidRPr="4947ADCE">
        <w:rPr>
          <w:rStyle w:val="normaltextrun"/>
          <w:noProof/>
          <w:color w:val="000000" w:themeColor="text1"/>
          <w:lang w:val="en-IE"/>
        </w:rPr>
        <w:t>n innovation</w:t>
      </w:r>
      <w:r w:rsidRPr="4947ADCE">
        <w:rPr>
          <w:rStyle w:val="normaltextrun"/>
          <w:noProof/>
          <w:color w:val="000000" w:themeColor="text1"/>
          <w:lang w:val="en-IE"/>
        </w:rPr>
        <w:t xml:space="preserve"> gap with other world regions;</w:t>
      </w:r>
      <w:r w:rsidR="008E3736">
        <w:rPr>
          <w:noProof/>
          <w:color w:val="000000" w:themeColor="text1"/>
          <w:lang w:val="en-IE"/>
        </w:rPr>
        <w:t xml:space="preserve"> (</w:t>
      </w:r>
      <w:r w:rsidR="00A776E1">
        <w:rPr>
          <w:noProof/>
          <w:color w:val="000000" w:themeColor="text1"/>
          <w:lang w:val="en-IE"/>
        </w:rPr>
        <w:t>4</w:t>
      </w:r>
      <w:r w:rsidR="008E3736">
        <w:rPr>
          <w:noProof/>
          <w:color w:val="000000" w:themeColor="text1"/>
          <w:lang w:val="en-IE"/>
        </w:rPr>
        <w:t>) a</w:t>
      </w:r>
      <w:r w:rsidR="5CF9E48E" w:rsidRPr="4947ADCE">
        <w:rPr>
          <w:noProof/>
          <w:color w:val="000000" w:themeColor="text1"/>
          <w:lang w:val="en-IE"/>
        </w:rPr>
        <w:t xml:space="preserve"> challenging geopolitical situation, </w:t>
      </w:r>
      <w:r w:rsidR="222ECD5E" w:rsidRPr="4947ADCE">
        <w:rPr>
          <w:noProof/>
          <w:color w:val="000000" w:themeColor="text1"/>
          <w:lang w:val="en-IE"/>
        </w:rPr>
        <w:t xml:space="preserve">with </w:t>
      </w:r>
      <w:r w:rsidR="5CF9E48E" w:rsidRPr="4947ADCE">
        <w:rPr>
          <w:noProof/>
          <w:color w:val="000000" w:themeColor="text1"/>
          <w:lang w:val="en-IE"/>
        </w:rPr>
        <w:t>excessive strategic dependencies</w:t>
      </w:r>
      <w:r w:rsidR="08128616" w:rsidRPr="4947ADCE">
        <w:rPr>
          <w:noProof/>
          <w:color w:val="000000" w:themeColor="text1"/>
          <w:lang w:val="en-IE"/>
        </w:rPr>
        <w:t>, and security</w:t>
      </w:r>
      <w:r w:rsidR="5CF9E48E" w:rsidRPr="4947ADCE">
        <w:rPr>
          <w:noProof/>
          <w:color w:val="000000" w:themeColor="text1"/>
          <w:lang w:val="en-IE"/>
        </w:rPr>
        <w:t xml:space="preserve"> and resilience </w:t>
      </w:r>
      <w:r w:rsidR="369A67B7" w:rsidRPr="4947ADCE">
        <w:rPr>
          <w:noProof/>
          <w:color w:val="000000" w:themeColor="text1"/>
          <w:lang w:val="en-IE"/>
        </w:rPr>
        <w:t>issues</w:t>
      </w:r>
      <w:r w:rsidR="00A776E1">
        <w:rPr>
          <w:rStyle w:val="normaltextrun"/>
          <w:noProof/>
          <w:color w:val="000000" w:themeColor="text1"/>
          <w:lang w:val="en-IE"/>
        </w:rPr>
        <w:t xml:space="preserve"> and</w:t>
      </w:r>
      <w:r w:rsidR="00A776E1" w:rsidRPr="00A776E1">
        <w:rPr>
          <w:rStyle w:val="normaltextrun"/>
          <w:noProof/>
          <w:color w:val="000000" w:themeColor="text1"/>
          <w:lang w:val="en-IE"/>
        </w:rPr>
        <w:t xml:space="preserve"> </w:t>
      </w:r>
      <w:r w:rsidR="00A776E1" w:rsidRPr="4947ADCE">
        <w:rPr>
          <w:rStyle w:val="normaltextrun"/>
          <w:noProof/>
          <w:color w:val="000000" w:themeColor="text1"/>
          <w:lang w:val="en-IE"/>
        </w:rPr>
        <w:t>(</w:t>
      </w:r>
      <w:r w:rsidR="00A776E1">
        <w:rPr>
          <w:rStyle w:val="normaltextrun"/>
          <w:noProof/>
          <w:color w:val="000000" w:themeColor="text1"/>
          <w:lang w:val="en-IE"/>
        </w:rPr>
        <w:t>5</w:t>
      </w:r>
      <w:r w:rsidR="00A776E1" w:rsidRPr="4947ADCE">
        <w:rPr>
          <w:rStyle w:val="normaltextrun"/>
          <w:noProof/>
          <w:color w:val="000000" w:themeColor="text1"/>
          <w:lang w:val="en-IE"/>
        </w:rPr>
        <w:t>) high investment needs to deliver on EU priorities</w:t>
      </w:r>
      <w:r w:rsidR="003814B3">
        <w:rPr>
          <w:rStyle w:val="normaltextrun"/>
          <w:noProof/>
          <w:color w:val="000000" w:themeColor="text1"/>
          <w:lang w:val="en-IE"/>
        </w:rPr>
        <w:t>, including for decarbonisation and the digital transition</w:t>
      </w:r>
      <w:r w:rsidR="00A776E1">
        <w:rPr>
          <w:rStyle w:val="normaltextrun"/>
          <w:noProof/>
          <w:color w:val="000000" w:themeColor="text1"/>
          <w:lang w:val="en-IE"/>
        </w:rPr>
        <w:t>.</w:t>
      </w:r>
    </w:p>
    <w:p w14:paraId="142904FA" w14:textId="1046A6FC" w:rsidR="006A61CA" w:rsidRPr="009952CF" w:rsidRDefault="47790AC6" w:rsidP="00603157">
      <w:pPr>
        <w:pStyle w:val="Heading3"/>
        <w:rPr>
          <w:noProof/>
          <w:lang w:val="en-IE"/>
        </w:rPr>
      </w:pPr>
      <w:bookmarkStart w:id="49" w:name="_Toc195700184"/>
      <w:r w:rsidRPr="4947ADCE">
        <w:rPr>
          <w:noProof/>
          <w:lang w:val="en-IE"/>
        </w:rPr>
        <w:t>P</w:t>
      </w:r>
      <w:r w:rsidR="61127D1C" w:rsidRPr="4947ADCE">
        <w:rPr>
          <w:noProof/>
          <w:lang w:val="en-IE"/>
        </w:rPr>
        <w:t>roblem</w:t>
      </w:r>
      <w:r w:rsidRPr="4947ADCE">
        <w:rPr>
          <w:noProof/>
          <w:lang w:val="en-IE"/>
        </w:rPr>
        <w:t xml:space="preserve"> 1 </w:t>
      </w:r>
      <w:r w:rsidR="7441B491" w:rsidRPr="4947ADCE">
        <w:rPr>
          <w:noProof/>
          <w:lang w:val="en-IE"/>
        </w:rPr>
        <w:t>Suboptimal support along the</w:t>
      </w:r>
      <w:r w:rsidR="048067F6" w:rsidRPr="4947ADCE">
        <w:rPr>
          <w:noProof/>
          <w:lang w:val="en-IE"/>
        </w:rPr>
        <w:t xml:space="preserve"> investment journey, from fundamental research, </w:t>
      </w:r>
      <w:r w:rsidR="7441B491" w:rsidRPr="4947ADCE">
        <w:rPr>
          <w:noProof/>
          <w:lang w:val="en-IE"/>
        </w:rPr>
        <w:t xml:space="preserve">applied research </w:t>
      </w:r>
      <w:r w:rsidR="048067F6" w:rsidRPr="4947ADCE">
        <w:rPr>
          <w:noProof/>
          <w:lang w:val="en-IE"/>
        </w:rPr>
        <w:t>through scale-up, industrial deployment, to manufacturing</w:t>
      </w:r>
      <w:bookmarkEnd w:id="49"/>
      <w:r w:rsidR="002D3CDC">
        <w:rPr>
          <w:noProof/>
          <w:lang w:val="en-IE"/>
        </w:rPr>
        <w:t xml:space="preserve"> </w:t>
      </w:r>
    </w:p>
    <w:p w14:paraId="37270047" w14:textId="5B17D5AC" w:rsidR="00AD21A4" w:rsidRPr="007E33D2" w:rsidRDefault="0CC4BD5C" w:rsidP="00603157">
      <w:pPr>
        <w:rPr>
          <w:noProof/>
        </w:rPr>
      </w:pPr>
      <w:r w:rsidRPr="6F28B210">
        <w:rPr>
          <w:b/>
          <w:bCs/>
          <w:noProof/>
        </w:rPr>
        <w:t xml:space="preserve">The EU currently struggles to </w:t>
      </w:r>
      <w:r w:rsidR="75F7F3D9" w:rsidRPr="083250B3">
        <w:rPr>
          <w:b/>
          <w:bCs/>
          <w:noProof/>
        </w:rPr>
        <w:t xml:space="preserve">seamlessly </w:t>
      </w:r>
      <w:r w:rsidRPr="6F28B210">
        <w:rPr>
          <w:b/>
          <w:bCs/>
          <w:noProof/>
        </w:rPr>
        <w:t>support</w:t>
      </w:r>
      <w:r w:rsidR="49D1F985" w:rsidRPr="6F28B210">
        <w:rPr>
          <w:b/>
          <w:bCs/>
          <w:noProof/>
        </w:rPr>
        <w:t xml:space="preserve"> the investment journey</w:t>
      </w:r>
      <w:r w:rsidR="00AB14A6">
        <w:rPr>
          <w:rStyle w:val="FootnoteReference"/>
          <w:b/>
          <w:bCs/>
          <w:noProof/>
        </w:rPr>
        <w:footnoteReference w:id="23"/>
      </w:r>
      <w:r w:rsidR="00DE5871">
        <w:rPr>
          <w:b/>
          <w:bCs/>
          <w:noProof/>
        </w:rPr>
        <w:t xml:space="preserve">. </w:t>
      </w:r>
      <w:r w:rsidR="00DE5871" w:rsidRPr="00B03DD3">
        <w:rPr>
          <w:noProof/>
        </w:rPr>
        <w:t>I</w:t>
      </w:r>
      <w:r w:rsidR="29E60273" w:rsidRPr="00DE5871">
        <w:rPr>
          <w:noProof/>
        </w:rPr>
        <w:t>t</w:t>
      </w:r>
      <w:r>
        <w:rPr>
          <w:noProof/>
        </w:rPr>
        <w:t xml:space="preserve"> lacks an environment that </w:t>
      </w:r>
      <w:r w:rsidR="77263A96">
        <w:rPr>
          <w:noProof/>
        </w:rPr>
        <w:t xml:space="preserve">builds on its worldclass research, technology and industrial </w:t>
      </w:r>
      <w:r w:rsidR="00937BFA">
        <w:rPr>
          <w:noProof/>
        </w:rPr>
        <w:t>foundations to</w:t>
      </w:r>
      <w:r w:rsidR="77263A96">
        <w:rPr>
          <w:noProof/>
        </w:rPr>
        <w:t xml:space="preserve"> attract and retain talents, </w:t>
      </w:r>
      <w:r>
        <w:rPr>
          <w:noProof/>
        </w:rPr>
        <w:t xml:space="preserve">stimulate </w:t>
      </w:r>
      <w:r w:rsidR="65E6CD4D">
        <w:rPr>
          <w:noProof/>
        </w:rPr>
        <w:t xml:space="preserve">cross-border cooperation, support </w:t>
      </w:r>
      <w:r>
        <w:rPr>
          <w:noProof/>
        </w:rPr>
        <w:t xml:space="preserve">the emergence of innovative, high-growth companies </w:t>
      </w:r>
      <w:r w:rsidR="005955B4">
        <w:rPr>
          <w:noProof/>
        </w:rPr>
        <w:t xml:space="preserve">and that </w:t>
      </w:r>
      <w:r w:rsidR="00431395">
        <w:rPr>
          <w:noProof/>
        </w:rPr>
        <w:t>promotes private investment</w:t>
      </w:r>
      <w:r>
        <w:rPr>
          <w:noProof/>
        </w:rPr>
        <w:t xml:space="preserve">. </w:t>
      </w:r>
      <w:r w:rsidR="681FF981">
        <w:rPr>
          <w:noProof/>
        </w:rPr>
        <w:t xml:space="preserve">The drivers include investment weaknesses </w:t>
      </w:r>
      <w:r w:rsidR="5F78ED3C">
        <w:rPr>
          <w:noProof/>
        </w:rPr>
        <w:t>such as</w:t>
      </w:r>
      <w:r>
        <w:rPr>
          <w:noProof/>
        </w:rPr>
        <w:t xml:space="preserve"> </w:t>
      </w:r>
      <w:r w:rsidR="6E5A5E4D">
        <w:rPr>
          <w:noProof/>
        </w:rPr>
        <w:t xml:space="preserve">(i) </w:t>
      </w:r>
      <w:r>
        <w:rPr>
          <w:noProof/>
        </w:rPr>
        <w:t>fragmented support through</w:t>
      </w:r>
      <w:r w:rsidR="6CECF28E">
        <w:rPr>
          <w:noProof/>
        </w:rPr>
        <w:t>out</w:t>
      </w:r>
      <w:r>
        <w:rPr>
          <w:noProof/>
        </w:rPr>
        <w:t xml:space="preserve"> the investment journey</w:t>
      </w:r>
      <w:r w:rsidR="493150BA">
        <w:rPr>
          <w:noProof/>
        </w:rPr>
        <w:t xml:space="preserve"> within the EU</w:t>
      </w:r>
      <w:r>
        <w:rPr>
          <w:noProof/>
        </w:rPr>
        <w:t xml:space="preserve">, </w:t>
      </w:r>
      <w:r w:rsidR="004B5C27">
        <w:rPr>
          <w:noProof/>
        </w:rPr>
        <w:t xml:space="preserve">(Problem driver 1) , as well as a an insufficient provision and leverage of private investment (Problem driver 2), </w:t>
      </w:r>
      <w:r w:rsidR="54B72DBB">
        <w:rPr>
          <w:noProof/>
        </w:rPr>
        <w:t>which hampers innovators’ ability to exploit scientific results, commercialise and scale up their production in Europe</w:t>
      </w:r>
      <w:r>
        <w:rPr>
          <w:noProof/>
        </w:rPr>
        <w:t xml:space="preserve">. This </w:t>
      </w:r>
      <w:r w:rsidR="379A53EB">
        <w:rPr>
          <w:noProof/>
        </w:rPr>
        <w:t xml:space="preserve">results in </w:t>
      </w:r>
      <w:r w:rsidR="00AFA057">
        <w:rPr>
          <w:noProof/>
        </w:rPr>
        <w:t xml:space="preserve">the lack of talent retention, lack of scale and </w:t>
      </w:r>
      <w:r w:rsidR="24E0DDAB">
        <w:rPr>
          <w:noProof/>
        </w:rPr>
        <w:t xml:space="preserve">strategic </w:t>
      </w:r>
      <w:r w:rsidR="00AFA057">
        <w:rPr>
          <w:noProof/>
        </w:rPr>
        <w:t xml:space="preserve">focus and </w:t>
      </w:r>
      <w:r>
        <w:rPr>
          <w:noProof/>
        </w:rPr>
        <w:t>companies seek</w:t>
      </w:r>
      <w:r w:rsidR="6CF7CCB0">
        <w:rPr>
          <w:noProof/>
        </w:rPr>
        <w:t>ing</w:t>
      </w:r>
      <w:r>
        <w:rPr>
          <w:noProof/>
        </w:rPr>
        <w:t xml:space="preserve"> funding for commercialisation and market entry outside of the EU.</w:t>
      </w:r>
    </w:p>
    <w:p w14:paraId="193F5DD4" w14:textId="40B36072" w:rsidR="00A776E1" w:rsidRPr="009952CF" w:rsidRDefault="55174E0C" w:rsidP="00603157">
      <w:pPr>
        <w:pStyle w:val="Heading3"/>
        <w:rPr>
          <w:noProof/>
          <w:lang w:val="en-IE"/>
        </w:rPr>
      </w:pPr>
      <w:bookmarkStart w:id="50" w:name="_Toc195700185"/>
      <w:r w:rsidRPr="01161804">
        <w:rPr>
          <w:noProof/>
          <w:lang w:val="en-IE"/>
        </w:rPr>
        <w:t xml:space="preserve">Problem 2 </w:t>
      </w:r>
      <w:r w:rsidR="40DFD32D" w:rsidRPr="01161804">
        <w:rPr>
          <w:noProof/>
          <w:lang w:val="en-IE"/>
        </w:rPr>
        <w:t>Complex and uncoordinated funding landscape</w:t>
      </w:r>
      <w:r w:rsidR="002D3CDC">
        <w:rPr>
          <w:noProof/>
          <w:lang w:val="en-IE"/>
        </w:rPr>
        <w:t xml:space="preserve"> </w:t>
      </w:r>
    </w:p>
    <w:p w14:paraId="06F5EE66" w14:textId="24760F8C" w:rsidR="001E4BE1" w:rsidRPr="00702F59" w:rsidRDefault="40DFD32D" w:rsidP="00603157">
      <w:pPr>
        <w:rPr>
          <w:rFonts w:ascii="Arial" w:hAnsi="Arial"/>
          <w:noProof/>
          <w:sz w:val="22"/>
          <w:szCs w:val="22"/>
        </w:rPr>
      </w:pPr>
      <w:r>
        <w:rPr>
          <w:noProof/>
        </w:rPr>
        <w:t>The EU’s financial landscape has evolved significantly over the past decades, but according to the European Court of Auditors (ECA) the complexity of these instruments, often overlapping in their goals and structures, has led to inefficiencies and fragmentation.</w:t>
      </w:r>
      <w:r w:rsidR="00A776E1">
        <w:rPr>
          <w:rStyle w:val="FootnoteReference"/>
          <w:noProof/>
        </w:rPr>
        <w:footnoteReference w:id="24"/>
      </w:r>
      <w:r>
        <w:rPr>
          <w:noProof/>
        </w:rPr>
        <w:t xml:space="preserve"> Despite integrating several </w:t>
      </w:r>
      <w:r w:rsidR="005B5BA9">
        <w:rPr>
          <w:noProof/>
        </w:rPr>
        <w:t xml:space="preserve">financial </w:t>
      </w:r>
      <w:r>
        <w:rPr>
          <w:noProof/>
        </w:rPr>
        <w:t xml:space="preserve">instruments </w:t>
      </w:r>
      <w:r w:rsidR="00766E59">
        <w:rPr>
          <w:noProof/>
        </w:rPr>
        <w:t>and budgetary guarantees</w:t>
      </w:r>
      <w:r>
        <w:rPr>
          <w:noProof/>
        </w:rPr>
        <w:t xml:space="preserve"> in the 2021-2027 M</w:t>
      </w:r>
      <w:r w:rsidR="0047666B">
        <w:rPr>
          <w:noProof/>
        </w:rPr>
        <w:t>FF</w:t>
      </w:r>
      <w:r>
        <w:rPr>
          <w:noProof/>
        </w:rPr>
        <w:t xml:space="preserve"> through the introduction of InvestEU, there is still a lack of cohesion between funding programmes, making it challenging to coordinate investments effectively</w:t>
      </w:r>
      <w:r w:rsidR="0018209F">
        <w:rPr>
          <w:rStyle w:val="FootnoteReference"/>
          <w:noProof/>
        </w:rPr>
        <w:footnoteReference w:id="25"/>
      </w:r>
      <w:r>
        <w:rPr>
          <w:noProof/>
        </w:rPr>
        <w:t xml:space="preserve">. </w:t>
      </w:r>
      <w:r w:rsidR="46D43974">
        <w:rPr>
          <w:noProof/>
        </w:rPr>
        <w:t>This is also reflected in the</w:t>
      </w:r>
      <w:r w:rsidR="46D43974" w:rsidRPr="0038438D">
        <w:rPr>
          <w:rFonts w:eastAsia="Arial"/>
          <w:noProof/>
        </w:rPr>
        <w:t xml:space="preserve"> relatively </w:t>
      </w:r>
      <w:r w:rsidR="00D11FB4">
        <w:rPr>
          <w:rFonts w:eastAsia="Arial"/>
          <w:noProof/>
        </w:rPr>
        <w:t>long</w:t>
      </w:r>
      <w:r w:rsidR="46D43974" w:rsidRPr="0038438D">
        <w:rPr>
          <w:rFonts w:eastAsia="Arial"/>
          <w:noProof/>
        </w:rPr>
        <w:t xml:space="preserve"> time needed for applicants to search for opportunities </w:t>
      </w:r>
      <w:r w:rsidR="27B40D1B" w:rsidRPr="0038438D">
        <w:rPr>
          <w:rFonts w:eastAsia="Arial"/>
          <w:noProof/>
        </w:rPr>
        <w:t>because</w:t>
      </w:r>
      <w:r w:rsidR="46D43974" w:rsidRPr="0038438D">
        <w:rPr>
          <w:rFonts w:eastAsia="Arial"/>
          <w:noProof/>
        </w:rPr>
        <w:t xml:space="preserve"> of different </w:t>
      </w:r>
      <w:r w:rsidR="6FD9F21F" w:rsidRPr="0038438D">
        <w:rPr>
          <w:rFonts w:eastAsia="Arial"/>
          <w:noProof/>
        </w:rPr>
        <w:t xml:space="preserve">existing </w:t>
      </w:r>
      <w:r w:rsidR="46D43974" w:rsidRPr="0038438D">
        <w:rPr>
          <w:rFonts w:eastAsia="Arial"/>
          <w:noProof/>
        </w:rPr>
        <w:t xml:space="preserve">frameworks </w:t>
      </w:r>
      <w:r w:rsidR="3A28C94D" w:rsidRPr="0038438D">
        <w:rPr>
          <w:rFonts w:eastAsia="Arial"/>
          <w:noProof/>
        </w:rPr>
        <w:t xml:space="preserve">which ultimately leads to </w:t>
      </w:r>
      <w:r w:rsidR="0014208F" w:rsidRPr="0038438D">
        <w:rPr>
          <w:rFonts w:eastAsia="Arial"/>
          <w:noProof/>
        </w:rPr>
        <w:t>complexity</w:t>
      </w:r>
      <w:r w:rsidR="0014208F">
        <w:rPr>
          <w:rFonts w:eastAsia="Arial"/>
          <w:noProof/>
        </w:rPr>
        <w:t>.</w:t>
      </w:r>
      <w:r w:rsidR="3A28C94D" w:rsidRPr="227594C8">
        <w:rPr>
          <w:rFonts w:ascii="Arial" w:eastAsia="Arial" w:hAnsi="Arial" w:cs="Arial"/>
          <w:noProof/>
          <w:sz w:val="18"/>
          <w:szCs w:val="18"/>
        </w:rPr>
        <w:t xml:space="preserve"> </w:t>
      </w:r>
      <w:r>
        <w:rPr>
          <w:noProof/>
        </w:rPr>
        <w:t xml:space="preserve">As a result, </w:t>
      </w:r>
      <w:r w:rsidRPr="01161804">
        <w:rPr>
          <w:b/>
          <w:bCs/>
          <w:noProof/>
        </w:rPr>
        <w:t>t</w:t>
      </w:r>
      <w:r w:rsidRPr="01161804">
        <w:rPr>
          <w:b/>
          <w:bCs/>
          <w:noProof/>
          <w:lang w:val="en-IE"/>
        </w:rPr>
        <w:t xml:space="preserve">he current EU funding landscape for competitiveness </w:t>
      </w:r>
      <w:r w:rsidRPr="01161804">
        <w:rPr>
          <w:noProof/>
          <w:lang w:val="en-IE"/>
        </w:rPr>
        <w:t>with var</w:t>
      </w:r>
      <w:r w:rsidRPr="00702F59">
        <w:rPr>
          <w:noProof/>
          <w:lang w:val="en-IE"/>
        </w:rPr>
        <w:t xml:space="preserve">ying conditions and criteria </w:t>
      </w:r>
      <w:r w:rsidR="001F4CB3" w:rsidRPr="00702F59">
        <w:rPr>
          <w:noProof/>
          <w:lang w:val="en-IE"/>
        </w:rPr>
        <w:t xml:space="preserve">could </w:t>
      </w:r>
      <w:r w:rsidRPr="00702F59">
        <w:rPr>
          <w:noProof/>
          <w:lang w:val="en-IE"/>
        </w:rPr>
        <w:t xml:space="preserve">make it difficult for applicants to </w:t>
      </w:r>
      <w:r w:rsidR="006C2C9B" w:rsidRPr="00702F59">
        <w:rPr>
          <w:noProof/>
        </w:rPr>
        <w:t xml:space="preserve">access EU finance in the different stages of the investment journey despite the capacity to identify funding opportunities at specific </w:t>
      </w:r>
      <w:r w:rsidR="00702F59" w:rsidRPr="00702F59">
        <w:rPr>
          <w:noProof/>
        </w:rPr>
        <w:t>junctures (</w:t>
      </w:r>
      <w:r w:rsidR="00AC57AC" w:rsidRPr="00702F59">
        <w:rPr>
          <w:noProof/>
          <w:lang w:val="en-IE"/>
        </w:rPr>
        <w:t>see Syn</w:t>
      </w:r>
      <w:r w:rsidR="00D02343" w:rsidRPr="00702F59">
        <w:rPr>
          <w:noProof/>
          <w:lang w:val="en-IE"/>
        </w:rPr>
        <w:t>o</w:t>
      </w:r>
      <w:r w:rsidR="00AC57AC" w:rsidRPr="00702F59">
        <w:rPr>
          <w:noProof/>
          <w:lang w:val="en-IE"/>
        </w:rPr>
        <w:t xml:space="preserve">psis </w:t>
      </w:r>
      <w:r w:rsidR="0014208F" w:rsidRPr="00702F59">
        <w:rPr>
          <w:noProof/>
          <w:lang w:val="en-IE"/>
        </w:rPr>
        <w:t>Report</w:t>
      </w:r>
      <w:r w:rsidR="004E7DD0" w:rsidRPr="00702F59">
        <w:rPr>
          <w:noProof/>
          <w:lang w:val="en-IE"/>
        </w:rPr>
        <w:t xml:space="preserve"> in Annex </w:t>
      </w:r>
      <w:r w:rsidR="00B56C62" w:rsidRPr="00702F59">
        <w:rPr>
          <w:noProof/>
          <w:lang w:val="en-IE"/>
        </w:rPr>
        <w:t>2</w:t>
      </w:r>
      <w:r w:rsidR="00AC57AC" w:rsidRPr="00702F59">
        <w:rPr>
          <w:noProof/>
          <w:lang w:val="en-IE"/>
        </w:rPr>
        <w:t>).</w:t>
      </w:r>
      <w:r w:rsidRPr="00702F59">
        <w:rPr>
          <w:noProof/>
          <w:lang w:val="en-IE"/>
        </w:rPr>
        <w:t xml:space="preserve"> </w:t>
      </w:r>
      <w:r w:rsidR="0074349D" w:rsidRPr="00702F59">
        <w:rPr>
          <w:noProof/>
          <w:lang w:val="en-IE"/>
        </w:rPr>
        <w:t>8</w:t>
      </w:r>
      <w:r w:rsidR="006F1971" w:rsidRPr="00702F59">
        <w:rPr>
          <w:noProof/>
          <w:lang w:val="en-IE"/>
        </w:rPr>
        <w:t>8</w:t>
      </w:r>
      <w:r w:rsidR="0074349D" w:rsidRPr="00702F59">
        <w:rPr>
          <w:noProof/>
          <w:lang w:val="en-IE"/>
        </w:rPr>
        <w:t>% (</w:t>
      </w:r>
      <w:r w:rsidR="008D48E0" w:rsidRPr="00702F59">
        <w:rPr>
          <w:noProof/>
          <w:lang w:val="en-IE"/>
        </w:rPr>
        <w:t>1</w:t>
      </w:r>
      <w:r w:rsidR="00333DDD" w:rsidRPr="00702F59">
        <w:rPr>
          <w:noProof/>
          <w:lang w:val="en-IE"/>
        </w:rPr>
        <w:t> </w:t>
      </w:r>
      <w:r w:rsidR="00A121A0" w:rsidRPr="00702F59">
        <w:rPr>
          <w:noProof/>
          <w:lang w:val="en-IE"/>
        </w:rPr>
        <w:t>083</w:t>
      </w:r>
      <w:r w:rsidR="0074349D" w:rsidRPr="00702F59">
        <w:rPr>
          <w:noProof/>
          <w:lang w:val="en-IE"/>
        </w:rPr>
        <w:t>) of respondents</w:t>
      </w:r>
      <w:r w:rsidR="190434DD" w:rsidRPr="00702F59">
        <w:rPr>
          <w:noProof/>
          <w:lang w:val="en-IE"/>
        </w:rPr>
        <w:t xml:space="preserve"> to the public consultation</w:t>
      </w:r>
      <w:r w:rsidR="0074349D" w:rsidRPr="00702F59">
        <w:rPr>
          <w:noProof/>
          <w:lang w:val="en-IE"/>
        </w:rPr>
        <w:t xml:space="preserve"> – including </w:t>
      </w:r>
      <w:r w:rsidR="00E97578" w:rsidRPr="00702F59">
        <w:rPr>
          <w:noProof/>
          <w:lang w:val="en-IE"/>
        </w:rPr>
        <w:t>86</w:t>
      </w:r>
      <w:r w:rsidR="0074349D" w:rsidRPr="00702F59">
        <w:rPr>
          <w:noProof/>
          <w:lang w:val="en-IE"/>
        </w:rPr>
        <w:t>% (</w:t>
      </w:r>
      <w:r w:rsidR="0047516C" w:rsidRPr="00702F59">
        <w:rPr>
          <w:noProof/>
          <w:lang w:val="en-IE"/>
        </w:rPr>
        <w:t>198</w:t>
      </w:r>
      <w:r w:rsidR="0074349D" w:rsidRPr="00702F59">
        <w:rPr>
          <w:noProof/>
          <w:lang w:val="en-IE"/>
        </w:rPr>
        <w:t xml:space="preserve">) of </w:t>
      </w:r>
      <w:r w:rsidR="00C81615" w:rsidRPr="00702F59">
        <w:rPr>
          <w:noProof/>
          <w:lang w:val="en-IE"/>
        </w:rPr>
        <w:t>companies</w:t>
      </w:r>
      <w:r w:rsidR="002C13CB" w:rsidRPr="00702F59">
        <w:rPr>
          <w:noProof/>
          <w:lang w:val="en-IE"/>
        </w:rPr>
        <w:t>/businesses</w:t>
      </w:r>
      <w:r w:rsidR="00C81615" w:rsidRPr="00702F59">
        <w:rPr>
          <w:noProof/>
          <w:lang w:val="en-IE"/>
        </w:rPr>
        <w:t xml:space="preserve"> and </w:t>
      </w:r>
      <w:r w:rsidR="0047516C" w:rsidRPr="00702F59">
        <w:rPr>
          <w:noProof/>
          <w:lang w:val="en-IE"/>
        </w:rPr>
        <w:t>business</w:t>
      </w:r>
      <w:r w:rsidR="00C81615" w:rsidRPr="00702F59">
        <w:rPr>
          <w:noProof/>
          <w:lang w:val="en-IE"/>
        </w:rPr>
        <w:t xml:space="preserve"> associations</w:t>
      </w:r>
      <w:r w:rsidR="00FA381C" w:rsidRPr="00702F59">
        <w:rPr>
          <w:rStyle w:val="FootnoteReference"/>
          <w:noProof/>
          <w:lang w:val="en-IE"/>
        </w:rPr>
        <w:footnoteReference w:id="26"/>
      </w:r>
      <w:r w:rsidR="0074349D" w:rsidRPr="00702F59">
        <w:rPr>
          <w:noProof/>
          <w:lang w:val="en-IE"/>
        </w:rPr>
        <w:t xml:space="preserve"> </w:t>
      </w:r>
      <w:r w:rsidR="007E6B8F">
        <w:rPr>
          <w:noProof/>
          <w:lang w:val="en-IE"/>
        </w:rPr>
        <w:t xml:space="preserve"> </w:t>
      </w:r>
      <w:r w:rsidR="007E6B8F" w:rsidRPr="00702F59">
        <w:rPr>
          <w:noProof/>
          <w:lang w:val="en-IE"/>
        </w:rPr>
        <w:t>–</w:t>
      </w:r>
      <w:r w:rsidR="007E6B8F">
        <w:rPr>
          <w:noProof/>
          <w:lang w:val="en-IE"/>
        </w:rPr>
        <w:t xml:space="preserve"> </w:t>
      </w:r>
      <w:r w:rsidR="0074349D" w:rsidRPr="00702F59">
        <w:rPr>
          <w:noProof/>
          <w:lang w:val="en-IE"/>
        </w:rPr>
        <w:t>have had a positive or very positive experience with identifying current funding opportunities</w:t>
      </w:r>
      <w:r w:rsidR="00B27213" w:rsidRPr="00702F59">
        <w:rPr>
          <w:noProof/>
          <w:lang w:val="en-IE"/>
        </w:rPr>
        <w:t xml:space="preserve">. </w:t>
      </w:r>
      <w:r w:rsidR="0074349D" w:rsidRPr="00702F59">
        <w:rPr>
          <w:noProof/>
          <w:lang w:val="en-IE"/>
        </w:rPr>
        <w:t xml:space="preserve"> </w:t>
      </w:r>
      <w:r w:rsidR="00DC6E7C" w:rsidRPr="00702F59">
        <w:rPr>
          <w:noProof/>
          <w:lang w:val="en-IE"/>
        </w:rPr>
        <w:t>On the other hand, t</w:t>
      </w:r>
      <w:r w:rsidR="00A46C33" w:rsidRPr="00702F59">
        <w:rPr>
          <w:noProof/>
          <w:lang w:val="en-IE"/>
        </w:rPr>
        <w:t>he costs for applicants/project promoters</w:t>
      </w:r>
      <w:r w:rsidR="0041713E" w:rsidRPr="00702F59">
        <w:rPr>
          <w:noProof/>
          <w:lang w:val="en-IE"/>
        </w:rPr>
        <w:t xml:space="preserve"> are</w:t>
      </w:r>
      <w:r w:rsidR="00C91D7D" w:rsidRPr="00702F59">
        <w:rPr>
          <w:noProof/>
        </w:rPr>
        <w:t xml:space="preserve"> evidenced by an EU-wide survey on access to EU funding carried out in the context of the Strategic Technologies for Europe Platform</w:t>
      </w:r>
      <w:r w:rsidR="00B27213" w:rsidRPr="00702F59">
        <w:rPr>
          <w:noProof/>
        </w:rPr>
        <w:t xml:space="preserve"> (STEP)</w:t>
      </w:r>
      <w:r w:rsidR="00BB1897" w:rsidRPr="00702F59">
        <w:rPr>
          <w:noProof/>
        </w:rPr>
        <w:t xml:space="preserve"> (</w:t>
      </w:r>
      <w:r w:rsidR="00C91D7D" w:rsidRPr="00702F59">
        <w:rPr>
          <w:noProof/>
        </w:rPr>
        <w:t xml:space="preserve">500 </w:t>
      </w:r>
      <w:r w:rsidR="00BB1897" w:rsidRPr="00702F59">
        <w:rPr>
          <w:noProof/>
        </w:rPr>
        <w:t>respondents)</w:t>
      </w:r>
      <w:r w:rsidR="0074349D" w:rsidRPr="00702F59">
        <w:rPr>
          <w:noProof/>
        </w:rPr>
        <w:t xml:space="preserve">, where </w:t>
      </w:r>
      <w:r w:rsidR="0074349D" w:rsidRPr="00702F59">
        <w:rPr>
          <w:noProof/>
          <w:lang w:val="en-US"/>
        </w:rPr>
        <w:t xml:space="preserve">both new and experienced users score the easiness to find information on EU funding only 5/10, indicating the </w:t>
      </w:r>
      <w:r w:rsidR="0074349D" w:rsidRPr="00702F59">
        <w:rPr>
          <w:noProof/>
        </w:rPr>
        <w:t>overall experience to be challenging</w:t>
      </w:r>
      <w:r w:rsidR="0074349D" w:rsidRPr="00702F59">
        <w:rPr>
          <w:noProof/>
          <w:lang w:val="en-US"/>
        </w:rPr>
        <w:t xml:space="preserve"> regardless of the level of experience the user has</w:t>
      </w:r>
      <w:r w:rsidR="0074349D" w:rsidRPr="00702F59">
        <w:rPr>
          <w:rStyle w:val="FootnoteReference"/>
          <w:noProof/>
          <w:lang w:val="en-US"/>
        </w:rPr>
        <w:footnoteReference w:id="27"/>
      </w:r>
      <w:r w:rsidR="00C91D7D" w:rsidRPr="00702F59">
        <w:rPr>
          <w:noProof/>
        </w:rPr>
        <w:t>.</w:t>
      </w:r>
      <w:r w:rsidR="00ED4FFC">
        <w:rPr>
          <w:noProof/>
        </w:rPr>
        <w:t xml:space="preserve"> </w:t>
      </w:r>
      <w:r w:rsidR="0032545C">
        <w:rPr>
          <w:noProof/>
        </w:rPr>
        <w:t>For example, w</w:t>
      </w:r>
      <w:r w:rsidR="00ED4FFC">
        <w:rPr>
          <w:noProof/>
        </w:rPr>
        <w:t xml:space="preserve">hile </w:t>
      </w:r>
      <w:r w:rsidR="00F65FA9">
        <w:rPr>
          <w:noProof/>
        </w:rPr>
        <w:t xml:space="preserve">in the EU, it frequently takes </w:t>
      </w:r>
      <w:r w:rsidR="007A54A5">
        <w:rPr>
          <w:noProof/>
        </w:rPr>
        <w:t>close to</w:t>
      </w:r>
      <w:r w:rsidR="00F65FA9">
        <w:rPr>
          <w:noProof/>
        </w:rPr>
        <w:t xml:space="preserve"> a year</w:t>
      </w:r>
      <w:r w:rsidR="003C2BB0">
        <w:rPr>
          <w:noProof/>
        </w:rPr>
        <w:t xml:space="preserve"> to award funds from an open call</w:t>
      </w:r>
      <w:r w:rsidR="003C2BB0">
        <w:rPr>
          <w:rStyle w:val="FootnoteReference"/>
          <w:noProof/>
        </w:rPr>
        <w:footnoteReference w:id="28"/>
      </w:r>
      <w:r w:rsidR="007A54A5">
        <w:rPr>
          <w:noProof/>
        </w:rPr>
        <w:t xml:space="preserve">, </w:t>
      </w:r>
      <w:r w:rsidR="002F10C4">
        <w:rPr>
          <w:noProof/>
        </w:rPr>
        <w:t>US feder</w:t>
      </w:r>
      <w:r w:rsidR="00E2375F">
        <w:rPr>
          <w:noProof/>
        </w:rPr>
        <w:t>al grant calls</w:t>
      </w:r>
      <w:r w:rsidR="00E6391D">
        <w:rPr>
          <w:noProof/>
        </w:rPr>
        <w:t>’ award procedures</w:t>
      </w:r>
      <w:r w:rsidR="00E2375F">
        <w:rPr>
          <w:noProof/>
        </w:rPr>
        <w:t xml:space="preserve"> </w:t>
      </w:r>
      <w:r w:rsidR="00670D4B">
        <w:rPr>
          <w:noProof/>
        </w:rPr>
        <w:t xml:space="preserve">in the field of environment </w:t>
      </w:r>
      <w:r w:rsidR="00E6391D">
        <w:rPr>
          <w:noProof/>
        </w:rPr>
        <w:t>may be as short as 90 days.</w:t>
      </w:r>
      <w:r w:rsidR="00E6391D">
        <w:rPr>
          <w:rStyle w:val="FootnoteReference"/>
          <w:noProof/>
        </w:rPr>
        <w:footnoteReference w:id="29"/>
      </w:r>
    </w:p>
    <w:p w14:paraId="2EFF5A5E" w14:textId="2E08621A" w:rsidR="00A776E1" w:rsidRPr="00702F59" w:rsidRDefault="00947663" w:rsidP="00603157">
      <w:pPr>
        <w:rPr>
          <w:rFonts w:eastAsia="Times New Roman"/>
          <w:noProof/>
          <w:lang w:val="en-IE"/>
        </w:rPr>
      </w:pPr>
      <w:r w:rsidRPr="00702F59">
        <w:rPr>
          <w:noProof/>
          <w:lang w:val="en-IE"/>
        </w:rPr>
        <w:t>C</w:t>
      </w:r>
      <w:r w:rsidR="40DFD32D" w:rsidRPr="00702F59">
        <w:rPr>
          <w:noProof/>
          <w:lang w:val="en-IE"/>
        </w:rPr>
        <w:t xml:space="preserve">omplexity, combined with the lack of coherence, directionality, and a high administrative burden </w:t>
      </w:r>
      <w:r w:rsidR="001F4CB3" w:rsidRPr="00702F59">
        <w:rPr>
          <w:noProof/>
          <w:lang w:val="en-IE"/>
        </w:rPr>
        <w:t xml:space="preserve">potentially </w:t>
      </w:r>
      <w:r w:rsidR="40DFD32D" w:rsidRPr="00702F59">
        <w:rPr>
          <w:noProof/>
          <w:lang w:val="en-IE"/>
        </w:rPr>
        <w:t xml:space="preserve">disincentivises participation. Furthermore, </w:t>
      </w:r>
      <w:r w:rsidR="40DFD32D" w:rsidRPr="00702F59">
        <w:rPr>
          <w:rFonts w:eastAsia="Times New Roman"/>
          <w:noProof/>
          <w:lang w:val="en-US"/>
        </w:rPr>
        <w:t xml:space="preserve">while ensuring the predictability </w:t>
      </w:r>
      <w:r w:rsidR="008A5EEC" w:rsidRPr="00702F59">
        <w:rPr>
          <w:rFonts w:eastAsia="Times New Roman"/>
          <w:noProof/>
          <w:lang w:val="en-US"/>
        </w:rPr>
        <w:t xml:space="preserve">and stability </w:t>
      </w:r>
      <w:r w:rsidR="40DFD32D" w:rsidRPr="00702F59">
        <w:rPr>
          <w:rFonts w:eastAsia="Times New Roman"/>
          <w:noProof/>
          <w:lang w:val="en-US"/>
        </w:rPr>
        <w:t>of critical long-term investments in research, development and core infrastructure,</w:t>
      </w:r>
      <w:r w:rsidR="40DFD32D" w:rsidRPr="00702F59">
        <w:rPr>
          <w:rFonts w:eastAsia="Times New Roman"/>
          <w:noProof/>
          <w:lang w:val="en-IE"/>
        </w:rPr>
        <w:t xml:space="preserve"> </w:t>
      </w:r>
      <w:r w:rsidR="40DFD32D" w:rsidRPr="00702F59">
        <w:rPr>
          <w:noProof/>
          <w:lang w:val="en-IE"/>
        </w:rPr>
        <w:t xml:space="preserve">the existing structure of programmes does not </w:t>
      </w:r>
      <w:r w:rsidR="40DFD32D" w:rsidRPr="00702F59">
        <w:rPr>
          <w:rFonts w:eastAsia="Times New Roman"/>
          <w:noProof/>
          <w:lang w:val="en-US"/>
        </w:rPr>
        <w:t>sufficiently</w:t>
      </w:r>
      <w:r w:rsidR="40DFD32D" w:rsidRPr="00702F59">
        <w:rPr>
          <w:rFonts w:eastAsia="Times New Roman"/>
          <w:noProof/>
          <w:lang w:val="en-IE"/>
        </w:rPr>
        <w:t xml:space="preserve"> </w:t>
      </w:r>
      <w:r w:rsidR="40DFD32D" w:rsidRPr="00702F59">
        <w:rPr>
          <w:noProof/>
          <w:lang w:val="en-IE"/>
        </w:rPr>
        <w:t xml:space="preserve">allow for flexibility, impeding </w:t>
      </w:r>
      <w:r w:rsidR="00F306F8" w:rsidRPr="00702F59">
        <w:rPr>
          <w:noProof/>
          <w:lang w:val="en-IE"/>
        </w:rPr>
        <w:t>adequate</w:t>
      </w:r>
      <w:r w:rsidR="40DFD32D" w:rsidRPr="00702F59">
        <w:rPr>
          <w:noProof/>
          <w:lang w:val="en-IE"/>
        </w:rPr>
        <w:t xml:space="preserve"> ability to reallocate funds effectively in response to evolving needs or unforeseen crises.</w:t>
      </w:r>
      <w:r w:rsidR="40DFD32D" w:rsidRPr="00702F59">
        <w:rPr>
          <w:rFonts w:eastAsia="Times New Roman"/>
          <w:noProof/>
          <w:lang w:val="en-IE"/>
        </w:rPr>
        <w:t xml:space="preserve"> </w:t>
      </w:r>
      <w:r w:rsidR="000B1513">
        <w:rPr>
          <w:rFonts w:eastAsia="Times New Roman"/>
          <w:noProof/>
          <w:lang w:val="en-IE"/>
        </w:rPr>
        <w:t>The drivers of this problem include complexity to access, mobilise and implement EU funding by beneficiaries (Problem driver 3), inefficient coordination mechanism (Problem driver 4) and insufficient flexibility of funding instrument (Problem driver 5).</w:t>
      </w:r>
    </w:p>
    <w:p w14:paraId="0C0C89DE" w14:textId="387A5A0D" w:rsidR="002B48CB" w:rsidRPr="00702F59" w:rsidRDefault="428DC68C" w:rsidP="00603157">
      <w:pPr>
        <w:pStyle w:val="Heading3"/>
        <w:rPr>
          <w:noProof/>
          <w:lang w:val="en-IE"/>
        </w:rPr>
      </w:pPr>
      <w:r w:rsidRPr="00702F59">
        <w:rPr>
          <w:noProof/>
          <w:lang w:val="en-IE"/>
        </w:rPr>
        <w:t xml:space="preserve">Problem </w:t>
      </w:r>
      <w:r w:rsidR="005948F6" w:rsidRPr="00702F59">
        <w:rPr>
          <w:noProof/>
          <w:lang w:val="en-IE"/>
        </w:rPr>
        <w:t>3</w:t>
      </w:r>
      <w:r w:rsidRPr="00702F59">
        <w:rPr>
          <w:noProof/>
          <w:lang w:val="en-IE"/>
        </w:rPr>
        <w:t xml:space="preserve"> Innovation Gap</w:t>
      </w:r>
      <w:bookmarkEnd w:id="50"/>
      <w:r w:rsidRPr="00702F59">
        <w:rPr>
          <w:noProof/>
          <w:lang w:val="en-IE"/>
        </w:rPr>
        <w:t xml:space="preserve"> </w:t>
      </w:r>
    </w:p>
    <w:p w14:paraId="3C968943" w14:textId="3CF72677" w:rsidR="006970C1" w:rsidRPr="00702F59" w:rsidRDefault="1D34E9BB" w:rsidP="00603157">
      <w:pPr>
        <w:rPr>
          <w:rFonts w:eastAsia="Times New Roman"/>
          <w:noProof/>
          <w:lang w:val="en-IE"/>
        </w:rPr>
      </w:pPr>
      <w:r w:rsidRPr="00702F59">
        <w:rPr>
          <w:rFonts w:eastAsia="Times New Roman"/>
          <w:b/>
          <w:bCs/>
          <w:noProof/>
          <w:lang w:val="en-IE"/>
        </w:rPr>
        <w:t>For over two decades, Europe has not kept pace with other major economies, due to a persistent gap in productivity growth</w:t>
      </w:r>
      <w:r w:rsidR="4B355496" w:rsidRPr="00702F59">
        <w:rPr>
          <w:rFonts w:eastAsia="Times New Roman"/>
          <w:noProof/>
          <w:lang w:val="en-IE"/>
        </w:rPr>
        <w:t>, notably with</w:t>
      </w:r>
      <w:r w:rsidRPr="00702F59">
        <w:rPr>
          <w:rFonts w:eastAsia="Times New Roman"/>
          <w:noProof/>
          <w:lang w:val="en-IE"/>
        </w:rPr>
        <w:t xml:space="preserve"> the US in advanced technologies</w:t>
      </w:r>
      <w:r w:rsidR="4B355496" w:rsidRPr="00702F59">
        <w:rPr>
          <w:rFonts w:eastAsia="Times New Roman"/>
          <w:noProof/>
          <w:lang w:val="en-IE"/>
        </w:rPr>
        <w:t xml:space="preserve"> and </w:t>
      </w:r>
      <w:r w:rsidRPr="00702F59">
        <w:rPr>
          <w:rFonts w:eastAsia="Times New Roman"/>
          <w:noProof/>
          <w:lang w:val="en-IE"/>
        </w:rPr>
        <w:t>China in certain new growth areas.</w:t>
      </w:r>
      <w:r w:rsidR="00504983" w:rsidRPr="00702F59">
        <w:rPr>
          <w:rStyle w:val="FootnoteReference"/>
          <w:rFonts w:eastAsia="Times New Roman"/>
          <w:noProof/>
          <w:lang w:val="en-IE"/>
        </w:rPr>
        <w:footnoteReference w:id="30"/>
      </w:r>
      <w:r w:rsidRPr="00702F59">
        <w:rPr>
          <w:rFonts w:eastAsia="Times New Roman"/>
          <w:noProof/>
          <w:lang w:val="en-IE"/>
        </w:rPr>
        <w:t xml:space="preserve"> </w:t>
      </w:r>
      <w:r w:rsidR="00854C3E" w:rsidRPr="00702F59">
        <w:rPr>
          <w:rStyle w:val="FootnoteReference"/>
          <w:bCs/>
          <w:noProof/>
          <w:lang w:val="en-IE"/>
        </w:rPr>
        <w:footnoteReference w:id="31"/>
      </w:r>
      <w:r w:rsidRPr="00702F59">
        <w:rPr>
          <w:rFonts w:eastAsia="Times New Roman"/>
          <w:bCs/>
          <w:noProof/>
          <w:lang w:val="en-IE"/>
        </w:rPr>
        <w:t xml:space="preserve"> </w:t>
      </w:r>
      <w:r w:rsidR="5032CB8B" w:rsidRPr="00702F59">
        <w:rPr>
          <w:rFonts w:eastAsia="Times New Roman"/>
          <w:noProof/>
          <w:lang w:val="en-IE"/>
        </w:rPr>
        <w:t xml:space="preserve">As the Competitiveness Compass highlights, </w:t>
      </w:r>
      <w:r w:rsidR="2B8681C1" w:rsidRPr="00702F59">
        <w:rPr>
          <w:rFonts w:eastAsia="Times New Roman"/>
          <w:b/>
          <w:bCs/>
          <w:noProof/>
          <w:lang w:val="en-IE"/>
        </w:rPr>
        <w:t>a</w:t>
      </w:r>
      <w:r w:rsidRPr="00702F59">
        <w:rPr>
          <w:rFonts w:eastAsia="Times New Roman"/>
          <w:b/>
          <w:bCs/>
          <w:noProof/>
          <w:lang w:val="en-IE"/>
        </w:rPr>
        <w:t xml:space="preserve"> root cause is a lack of innovation</w:t>
      </w:r>
      <w:r w:rsidR="3AD2CCB3" w:rsidRPr="00702F59">
        <w:rPr>
          <w:b/>
          <w:bCs/>
          <w:noProof/>
          <w:lang w:val="en-IE"/>
        </w:rPr>
        <w:t>.</w:t>
      </w:r>
      <w:r w:rsidR="3662D523" w:rsidRPr="00702F59">
        <w:rPr>
          <w:b/>
          <w:bCs/>
          <w:noProof/>
          <w:lang w:val="en-IE"/>
        </w:rPr>
        <w:t xml:space="preserve"> </w:t>
      </w:r>
    </w:p>
    <w:p w14:paraId="618A2BE9" w14:textId="21C0FA34" w:rsidR="007A7B07" w:rsidRPr="00702F59" w:rsidRDefault="5D7B4A8A" w:rsidP="00603157">
      <w:pPr>
        <w:rPr>
          <w:rFonts w:eastAsia="Times New Roman"/>
          <w:noProof/>
          <w:lang w:val="en-IE"/>
        </w:rPr>
      </w:pPr>
      <w:r w:rsidRPr="00702F59">
        <w:rPr>
          <w:rFonts w:eastAsia="Times New Roman"/>
          <w:b/>
          <w:bCs/>
          <w:noProof/>
          <w:lang w:val="en-IE"/>
        </w:rPr>
        <w:t xml:space="preserve">Public and private R&amp;I investments in the EU </w:t>
      </w:r>
      <w:r w:rsidR="2E9913F2" w:rsidRPr="00702F59">
        <w:rPr>
          <w:rFonts w:eastAsia="Times New Roman"/>
          <w:b/>
          <w:bCs/>
          <w:noProof/>
          <w:lang w:val="en-IE"/>
        </w:rPr>
        <w:t xml:space="preserve">have </w:t>
      </w:r>
      <w:r w:rsidRPr="00702F59">
        <w:rPr>
          <w:rFonts w:eastAsia="Times New Roman"/>
          <w:b/>
          <w:bCs/>
          <w:noProof/>
          <w:lang w:val="en-IE"/>
        </w:rPr>
        <w:t>systematically</w:t>
      </w:r>
      <w:r w:rsidR="0DD95B6C" w:rsidRPr="00702F59">
        <w:rPr>
          <w:rFonts w:eastAsia="Times New Roman"/>
          <w:b/>
          <w:bCs/>
          <w:noProof/>
          <w:lang w:val="en-IE"/>
        </w:rPr>
        <w:t xml:space="preserve"> </w:t>
      </w:r>
      <w:r w:rsidRPr="00702F59">
        <w:rPr>
          <w:rFonts w:eastAsia="Times New Roman"/>
          <w:b/>
          <w:bCs/>
          <w:noProof/>
          <w:lang w:val="en-IE"/>
        </w:rPr>
        <w:t>fall</w:t>
      </w:r>
      <w:r w:rsidR="0DD95B6C" w:rsidRPr="00702F59">
        <w:rPr>
          <w:rFonts w:eastAsia="Times New Roman"/>
          <w:b/>
          <w:bCs/>
          <w:noProof/>
          <w:lang w:val="en-IE"/>
        </w:rPr>
        <w:t>en</w:t>
      </w:r>
      <w:r w:rsidRPr="00702F59">
        <w:rPr>
          <w:rFonts w:eastAsia="Times New Roman"/>
          <w:b/>
          <w:bCs/>
          <w:noProof/>
          <w:lang w:val="en-IE"/>
        </w:rPr>
        <w:t xml:space="preserve"> short of aspirations</w:t>
      </w:r>
      <w:r w:rsidRPr="00702F59">
        <w:rPr>
          <w:rFonts w:eastAsia="Times New Roman"/>
          <w:noProof/>
          <w:lang w:val="en-IE"/>
        </w:rPr>
        <w:t>.</w:t>
      </w:r>
      <w:r w:rsidR="266F03FB" w:rsidRPr="00702F59">
        <w:rPr>
          <w:rFonts w:eastAsia="Times New Roman"/>
          <w:noProof/>
          <w:lang w:val="en-IE"/>
        </w:rPr>
        <w:t xml:space="preserve"> </w:t>
      </w:r>
      <w:r w:rsidR="266F03FB" w:rsidRPr="00702F59">
        <w:rPr>
          <w:noProof/>
        </w:rPr>
        <w:t xml:space="preserve">In </w:t>
      </w:r>
      <w:r w:rsidR="266F03FB" w:rsidRPr="00702F59">
        <w:rPr>
          <w:rFonts w:eastAsia="Times New Roman"/>
          <w:noProof/>
        </w:rPr>
        <w:t>2023,</w:t>
      </w:r>
      <w:r w:rsidR="266F03FB" w:rsidRPr="00702F59">
        <w:rPr>
          <w:noProof/>
        </w:rPr>
        <w:t xml:space="preserve"> the EU </w:t>
      </w:r>
      <w:r w:rsidR="266F03FB" w:rsidRPr="00702F59">
        <w:rPr>
          <w:rFonts w:eastAsia="Times New Roman"/>
          <w:noProof/>
        </w:rPr>
        <w:t xml:space="preserve">allocated approximately EUR 381 billion to R&amp;D, which accounts for </w:t>
      </w:r>
      <w:r w:rsidR="266F03FB" w:rsidRPr="00702F59">
        <w:rPr>
          <w:noProof/>
        </w:rPr>
        <w:t>2.</w:t>
      </w:r>
      <w:r w:rsidR="266F03FB" w:rsidRPr="00702F59">
        <w:rPr>
          <w:rFonts w:eastAsia="Times New Roman"/>
          <w:noProof/>
        </w:rPr>
        <w:t>22</w:t>
      </w:r>
      <w:r w:rsidR="266F03FB" w:rsidRPr="00702F59">
        <w:rPr>
          <w:noProof/>
        </w:rPr>
        <w:t xml:space="preserve">% of </w:t>
      </w:r>
      <w:r w:rsidR="266F03FB" w:rsidRPr="00702F59">
        <w:rPr>
          <w:rFonts w:eastAsia="Times New Roman"/>
          <w:noProof/>
        </w:rPr>
        <w:t xml:space="preserve">its </w:t>
      </w:r>
      <w:r w:rsidR="266F03FB" w:rsidRPr="00702F59">
        <w:rPr>
          <w:noProof/>
        </w:rPr>
        <w:t>GDP</w:t>
      </w:r>
      <w:r w:rsidR="266F03FB" w:rsidRPr="00702F59">
        <w:rPr>
          <w:rFonts w:eastAsia="Times New Roman"/>
          <w:noProof/>
        </w:rPr>
        <w:t xml:space="preserve">. To meet </w:t>
      </w:r>
      <w:r w:rsidR="266F03FB" w:rsidRPr="00702F59">
        <w:rPr>
          <w:noProof/>
        </w:rPr>
        <w:t xml:space="preserve">the 3% </w:t>
      </w:r>
      <w:r w:rsidR="266F03FB" w:rsidRPr="00702F59">
        <w:rPr>
          <w:rFonts w:eastAsia="Times New Roman"/>
          <w:noProof/>
        </w:rPr>
        <w:t>target</w:t>
      </w:r>
      <w:r w:rsidR="0012737B" w:rsidRPr="00702F59">
        <w:rPr>
          <w:rStyle w:val="FootnoteReference"/>
          <w:rFonts w:eastAsia="Times New Roman"/>
          <w:noProof/>
        </w:rPr>
        <w:footnoteReference w:id="32"/>
      </w:r>
      <w:r w:rsidR="266F03FB" w:rsidRPr="00702F59">
        <w:rPr>
          <w:rFonts w:eastAsia="Times New Roman"/>
          <w:noProof/>
        </w:rPr>
        <w:t xml:space="preserve">, an additional investment of EUR 134 billion per year </w:t>
      </w:r>
      <w:r w:rsidR="354E9023" w:rsidRPr="00702F59">
        <w:rPr>
          <w:rFonts w:eastAsia="Times New Roman"/>
          <w:noProof/>
        </w:rPr>
        <w:t xml:space="preserve">at EU level </w:t>
      </w:r>
      <w:r w:rsidR="266F03FB" w:rsidRPr="00702F59">
        <w:rPr>
          <w:rFonts w:eastAsia="Times New Roman"/>
          <w:noProof/>
        </w:rPr>
        <w:t xml:space="preserve">would be required. </w:t>
      </w:r>
      <w:r w:rsidR="3160D465" w:rsidRPr="00702F59">
        <w:rPr>
          <w:rFonts w:eastAsia="Times New Roman"/>
          <w:noProof/>
        </w:rPr>
        <w:t>At current pace, the</w:t>
      </w:r>
      <w:r w:rsidR="266F03FB" w:rsidRPr="00702F59">
        <w:rPr>
          <w:rFonts w:eastAsia="Times New Roman"/>
          <w:noProof/>
        </w:rPr>
        <w:t xml:space="preserve"> R&amp;D intensity is expected to reach 2.34% by 2030 while the </w:t>
      </w:r>
      <w:r w:rsidR="266F03FB" w:rsidRPr="00702F59">
        <w:rPr>
          <w:noProof/>
        </w:rPr>
        <w:t xml:space="preserve">objective of </w:t>
      </w:r>
      <w:r w:rsidR="266F03FB" w:rsidRPr="00702F59">
        <w:rPr>
          <w:rFonts w:eastAsia="Times New Roman"/>
          <w:noProof/>
        </w:rPr>
        <w:t>3% will not be achieved until around 2050.</w:t>
      </w:r>
      <w:r w:rsidR="0012737B" w:rsidRPr="00702F59">
        <w:rPr>
          <w:rStyle w:val="FootnoteReference"/>
          <w:rFonts w:eastAsia="Times New Roman"/>
          <w:noProof/>
        </w:rPr>
        <w:footnoteReference w:id="33"/>
      </w:r>
      <w:r w:rsidR="266F03FB" w:rsidRPr="00702F59">
        <w:rPr>
          <w:noProof/>
        </w:rPr>
        <w:t xml:space="preserve"> </w:t>
      </w:r>
      <w:r w:rsidR="37B3E0F9" w:rsidRPr="00702F59">
        <w:rPr>
          <w:rFonts w:eastAsia="Times New Roman"/>
          <w:noProof/>
          <w:lang w:val="en-IE"/>
        </w:rPr>
        <w:t>while remaining</w:t>
      </w:r>
      <w:r w:rsidR="266F03FB" w:rsidRPr="00702F59">
        <w:rPr>
          <w:rFonts w:eastAsia="Times New Roman"/>
          <w:noProof/>
          <w:lang w:val="en-IE"/>
        </w:rPr>
        <w:t xml:space="preserve"> behind global competitors</w:t>
      </w:r>
      <w:r w:rsidR="2F6EA93E" w:rsidRPr="00702F59">
        <w:rPr>
          <w:rFonts w:eastAsia="Times New Roman"/>
          <w:noProof/>
          <w:lang w:val="en-IE"/>
        </w:rPr>
        <w:t>.</w:t>
      </w:r>
      <w:r w:rsidR="266F03FB" w:rsidRPr="00702F59">
        <w:rPr>
          <w:rFonts w:eastAsia="Times New Roman"/>
          <w:noProof/>
          <w:lang w:val="en-IE"/>
        </w:rPr>
        <w:t xml:space="preserve"> China (2.6%) recently overt</w:t>
      </w:r>
      <w:r w:rsidR="04B6DF78" w:rsidRPr="00702F59">
        <w:rPr>
          <w:rFonts w:eastAsia="Times New Roman"/>
          <w:noProof/>
          <w:lang w:val="en-IE"/>
        </w:rPr>
        <w:t>ook</w:t>
      </w:r>
      <w:r w:rsidR="266F03FB" w:rsidRPr="00702F59">
        <w:rPr>
          <w:rFonts w:eastAsia="Times New Roman"/>
          <w:noProof/>
          <w:lang w:val="en-IE"/>
        </w:rPr>
        <w:t xml:space="preserve"> the EU, and South Korea (4.9%), Japan (3.4%), and the US (3.6%) </w:t>
      </w:r>
      <w:r w:rsidR="3AB50839" w:rsidRPr="00702F59">
        <w:rPr>
          <w:rFonts w:eastAsia="Times New Roman"/>
          <w:noProof/>
          <w:lang w:val="en-IE"/>
        </w:rPr>
        <w:t>in term of R&amp;D intensity</w:t>
      </w:r>
      <w:r w:rsidR="266F03FB" w:rsidRPr="00702F59">
        <w:rPr>
          <w:rFonts w:eastAsia="Times New Roman"/>
          <w:noProof/>
          <w:lang w:val="en-IE"/>
        </w:rPr>
        <w:t xml:space="preserve"> substantially ahead of the EU.</w:t>
      </w:r>
      <w:r w:rsidR="232A6E53" w:rsidRPr="00702F59">
        <w:rPr>
          <w:rFonts w:eastAsia="Times New Roman"/>
          <w:noProof/>
          <w:lang w:val="en-IE"/>
        </w:rPr>
        <w:t xml:space="preserve"> </w:t>
      </w:r>
    </w:p>
    <w:p w14:paraId="32A3CB3E" w14:textId="4308458C" w:rsidR="00C23DEA" w:rsidRPr="00702F59" w:rsidRDefault="6CBE6C3B" w:rsidP="00603157">
      <w:pPr>
        <w:rPr>
          <w:noProof/>
          <w:lang w:val="en-IE"/>
        </w:rPr>
      </w:pPr>
      <w:r w:rsidRPr="00702F59">
        <w:rPr>
          <w:rFonts w:eastAsia="Times New Roman"/>
          <w:noProof/>
          <w:lang w:val="en-IE"/>
        </w:rPr>
        <w:t xml:space="preserve">Underinvestment in research and innovation is the </w:t>
      </w:r>
      <w:r w:rsidR="3EE7C3AD" w:rsidRPr="00702F59">
        <w:rPr>
          <w:rFonts w:eastAsia="Times New Roman"/>
          <w:noProof/>
          <w:lang w:val="en-IE"/>
        </w:rPr>
        <w:t>most frequently mentioned challenge for EU competitiveness in the public consultation (9</w:t>
      </w:r>
      <w:r w:rsidR="00FA4FA5" w:rsidRPr="00702F59">
        <w:rPr>
          <w:rFonts w:eastAsia="Times New Roman"/>
          <w:noProof/>
          <w:lang w:val="en-IE"/>
        </w:rPr>
        <w:t>1</w:t>
      </w:r>
      <w:r w:rsidR="3EE7C3AD" w:rsidRPr="00702F59">
        <w:rPr>
          <w:rFonts w:eastAsia="Times New Roman"/>
          <w:noProof/>
          <w:lang w:val="en-IE"/>
        </w:rPr>
        <w:t>% of respondents</w:t>
      </w:r>
      <w:r w:rsidR="10FC8097" w:rsidRPr="00702F59">
        <w:rPr>
          <w:rFonts w:eastAsia="Times New Roman"/>
          <w:noProof/>
          <w:lang w:val="en-IE"/>
        </w:rPr>
        <w:t xml:space="preserve">, or </w:t>
      </w:r>
      <w:r w:rsidR="00D664A2" w:rsidRPr="00702F59">
        <w:rPr>
          <w:rFonts w:eastAsia="Times New Roman"/>
          <w:noProof/>
          <w:lang w:val="en-IE"/>
        </w:rPr>
        <w:t xml:space="preserve">1 795 </w:t>
      </w:r>
      <w:r w:rsidR="002C1158" w:rsidRPr="00702F59">
        <w:rPr>
          <w:rFonts w:eastAsia="Times New Roman"/>
          <w:noProof/>
          <w:lang w:val="en-IE"/>
        </w:rPr>
        <w:t>said it is “important” or “very important”</w:t>
      </w:r>
      <w:r w:rsidR="3EE7C3AD" w:rsidRPr="00702F59">
        <w:rPr>
          <w:rFonts w:eastAsia="Times New Roman"/>
          <w:noProof/>
          <w:lang w:val="en-IE"/>
        </w:rPr>
        <w:t>)</w:t>
      </w:r>
      <w:r w:rsidR="00304433" w:rsidRPr="00702F59">
        <w:rPr>
          <w:rStyle w:val="FootnoteReference"/>
          <w:rFonts w:eastAsia="Times New Roman"/>
          <w:noProof/>
          <w:lang w:val="en-IE"/>
        </w:rPr>
        <w:footnoteReference w:id="34"/>
      </w:r>
      <w:r w:rsidR="087A6899" w:rsidRPr="00702F59">
        <w:rPr>
          <w:rFonts w:eastAsia="Times New Roman"/>
          <w:noProof/>
          <w:lang w:val="en-IE"/>
        </w:rPr>
        <w:t xml:space="preserve">, </w:t>
      </w:r>
      <w:r w:rsidR="266F03FB" w:rsidRPr="00702F59">
        <w:rPr>
          <w:rFonts w:eastAsia="Times New Roman"/>
          <w:noProof/>
          <w:lang w:val="en-IE"/>
        </w:rPr>
        <w:t>The R&amp;D investment gap between the EU and its global competitors is particularly pronounced in private sector investments.</w:t>
      </w:r>
      <w:r w:rsidR="568EB93D" w:rsidRPr="00702F59">
        <w:rPr>
          <w:rFonts w:eastAsia="Times New Roman"/>
          <w:noProof/>
          <w:lang w:val="en-IE"/>
        </w:rPr>
        <w:t xml:space="preserve"> </w:t>
      </w:r>
      <w:r w:rsidR="1D1EE5B0" w:rsidRPr="00702F59">
        <w:rPr>
          <w:b/>
          <w:bCs/>
          <w:noProof/>
          <w:lang w:val="en-IE"/>
        </w:rPr>
        <w:t>To regain its competitive edge,</w:t>
      </w:r>
      <w:r w:rsidR="56AD578B" w:rsidRPr="00702F59">
        <w:rPr>
          <w:b/>
          <w:bCs/>
          <w:noProof/>
          <w:lang w:val="en-IE"/>
        </w:rPr>
        <w:t xml:space="preserve"> the EU must </w:t>
      </w:r>
      <w:r w:rsidR="1D1EE5B0" w:rsidRPr="00702F59" w:rsidDel="17764F35">
        <w:rPr>
          <w:b/>
          <w:bCs/>
          <w:noProof/>
          <w:lang w:val="en-IE"/>
        </w:rPr>
        <w:t>revive</w:t>
      </w:r>
      <w:r w:rsidR="56AD578B" w:rsidRPr="00702F59">
        <w:rPr>
          <w:b/>
          <w:bCs/>
          <w:noProof/>
          <w:lang w:val="en-IE"/>
        </w:rPr>
        <w:t xml:space="preserve"> the innovation cycle</w:t>
      </w:r>
      <w:r w:rsidR="568EB93D" w:rsidRPr="00702F59">
        <w:rPr>
          <w:b/>
          <w:bCs/>
          <w:noProof/>
          <w:lang w:val="en-IE"/>
        </w:rPr>
        <w:t>.</w:t>
      </w:r>
      <w:r w:rsidR="0041469A" w:rsidRPr="00702F59">
        <w:rPr>
          <w:rStyle w:val="FootnoteReference"/>
          <w:noProof/>
          <w:lang w:val="en-IE"/>
        </w:rPr>
        <w:footnoteReference w:id="35"/>
      </w:r>
      <w:r w:rsidR="1D1EE5B0" w:rsidRPr="00702F59">
        <w:rPr>
          <w:noProof/>
          <w:lang w:val="en-IE"/>
        </w:rPr>
        <w:t xml:space="preserve"> For this goal, </w:t>
      </w:r>
      <w:r w:rsidR="5F7DE39E" w:rsidRPr="00702F59">
        <w:rPr>
          <w:noProof/>
          <w:lang w:val="en-IE"/>
        </w:rPr>
        <w:t>multiple</w:t>
      </w:r>
      <w:r w:rsidR="1D1EE5B0" w:rsidRPr="00702F59">
        <w:rPr>
          <w:noProof/>
          <w:lang w:val="en-IE"/>
        </w:rPr>
        <w:t xml:space="preserve"> </w:t>
      </w:r>
      <w:r w:rsidR="5F774F08" w:rsidRPr="00702F59">
        <w:rPr>
          <w:noProof/>
          <w:lang w:val="en-IE"/>
        </w:rPr>
        <w:t xml:space="preserve">problem drivers </w:t>
      </w:r>
      <w:r w:rsidR="2FC5C7BE" w:rsidRPr="00702F59">
        <w:rPr>
          <w:noProof/>
          <w:lang w:val="en-IE"/>
        </w:rPr>
        <w:t>need addressing</w:t>
      </w:r>
      <w:r w:rsidR="0990291C" w:rsidRPr="00702F59">
        <w:rPr>
          <w:noProof/>
          <w:lang w:val="en-IE"/>
        </w:rPr>
        <w:t>, particularly:</w:t>
      </w:r>
      <w:r w:rsidR="70649F6A" w:rsidRPr="00702F59">
        <w:rPr>
          <w:noProof/>
          <w:lang w:val="en-IE"/>
        </w:rPr>
        <w:t xml:space="preserve"> </w:t>
      </w:r>
      <w:r w:rsidR="1D1EE5B0" w:rsidRPr="00702F59">
        <w:rPr>
          <w:noProof/>
          <w:lang w:val="en-IE"/>
        </w:rPr>
        <w:t xml:space="preserve">the </w:t>
      </w:r>
      <w:r w:rsidR="1D1EE5B0" w:rsidRPr="00702F59">
        <w:rPr>
          <w:b/>
          <w:bCs/>
          <w:noProof/>
          <w:lang w:val="en-IE"/>
        </w:rPr>
        <w:t>capacity gap</w:t>
      </w:r>
      <w:r w:rsidR="09B813C4" w:rsidRPr="00702F59">
        <w:rPr>
          <w:b/>
          <w:bCs/>
          <w:noProof/>
          <w:lang w:val="en-IE"/>
        </w:rPr>
        <w:t>s related to</w:t>
      </w:r>
      <w:r w:rsidR="1D1EE5B0" w:rsidRPr="00702F59">
        <w:rPr>
          <w:b/>
          <w:bCs/>
          <w:noProof/>
          <w:lang w:val="en-IE"/>
        </w:rPr>
        <w:t xml:space="preserve"> R&amp;I</w:t>
      </w:r>
      <w:r w:rsidR="1D1EE5B0" w:rsidRPr="00702F59">
        <w:rPr>
          <w:noProof/>
          <w:lang w:val="en-IE"/>
        </w:rPr>
        <w:t xml:space="preserve">, </w:t>
      </w:r>
      <w:r w:rsidR="0990291C" w:rsidRPr="00702F59">
        <w:rPr>
          <w:noProof/>
          <w:lang w:val="en-IE"/>
        </w:rPr>
        <w:t xml:space="preserve">a </w:t>
      </w:r>
      <w:r w:rsidR="1D1EE5B0" w:rsidRPr="00702F59">
        <w:rPr>
          <w:b/>
          <w:bCs/>
          <w:noProof/>
          <w:lang w:val="en-IE"/>
        </w:rPr>
        <w:t xml:space="preserve">weak </w:t>
      </w:r>
      <w:r w:rsidR="0990291C" w:rsidRPr="00702F59">
        <w:rPr>
          <w:b/>
          <w:bCs/>
          <w:noProof/>
          <w:lang w:val="en-IE"/>
        </w:rPr>
        <w:t>translation of research results into</w:t>
      </w:r>
      <w:r w:rsidR="1D1EE5B0" w:rsidRPr="00702F59">
        <w:rPr>
          <w:b/>
          <w:bCs/>
          <w:noProof/>
          <w:lang w:val="en-IE"/>
        </w:rPr>
        <w:t xml:space="preserve"> market</w:t>
      </w:r>
      <w:r w:rsidR="0990291C" w:rsidRPr="00702F59">
        <w:rPr>
          <w:b/>
          <w:bCs/>
          <w:noProof/>
          <w:lang w:val="en-IE"/>
        </w:rPr>
        <w:t xml:space="preserve">able outputs, </w:t>
      </w:r>
      <w:r w:rsidR="0990291C" w:rsidRPr="00702F59" w:rsidDel="1590CB83">
        <w:rPr>
          <w:noProof/>
          <w:lang w:val="en-IE"/>
        </w:rPr>
        <w:t xml:space="preserve">and </w:t>
      </w:r>
      <w:r w:rsidR="0990291C" w:rsidRPr="00702F59" w:rsidDel="1590CB83">
        <w:rPr>
          <w:b/>
          <w:bCs/>
          <w:noProof/>
          <w:lang w:val="en-IE"/>
        </w:rPr>
        <w:t>low and fragmented investment in strategic technologies and sectors</w:t>
      </w:r>
      <w:r w:rsidR="0990291C" w:rsidRPr="00702F59" w:rsidDel="1590CB83">
        <w:rPr>
          <w:noProof/>
          <w:lang w:val="en-IE"/>
        </w:rPr>
        <w:t>.</w:t>
      </w:r>
      <w:r w:rsidR="1D1EE5B0" w:rsidRPr="00702F59">
        <w:rPr>
          <w:noProof/>
          <w:lang w:val="en-IE"/>
        </w:rPr>
        <w:t xml:space="preserve"> </w:t>
      </w:r>
      <w:r w:rsidR="6D1C39B5" w:rsidRPr="00702F59">
        <w:rPr>
          <w:noProof/>
          <w:lang w:val="en-IE"/>
        </w:rPr>
        <w:t>This is supported by findings from the public consultation</w:t>
      </w:r>
      <w:r w:rsidR="6E510E44" w:rsidRPr="00702F59">
        <w:rPr>
          <w:noProof/>
          <w:lang w:val="en-IE"/>
        </w:rPr>
        <w:t xml:space="preserve">: </w:t>
      </w:r>
      <w:r w:rsidR="209C3DB4" w:rsidRPr="00702F59">
        <w:rPr>
          <w:noProof/>
          <w:lang w:val="en-IE"/>
        </w:rPr>
        <w:t xml:space="preserve">when </w:t>
      </w:r>
      <w:r w:rsidR="08FAFDB9" w:rsidRPr="00702F59">
        <w:rPr>
          <w:noProof/>
          <w:lang w:val="en-IE"/>
        </w:rPr>
        <w:t xml:space="preserve">asked what development stages of technologies and products the next MFF should support, </w:t>
      </w:r>
      <w:r w:rsidR="00C166A2" w:rsidRPr="00702F59">
        <w:rPr>
          <w:noProof/>
          <w:lang w:val="en-IE"/>
        </w:rPr>
        <w:t>93</w:t>
      </w:r>
      <w:r w:rsidR="1DD145DA" w:rsidRPr="00702F59">
        <w:rPr>
          <w:noProof/>
          <w:lang w:val="en-IE"/>
        </w:rPr>
        <w:t xml:space="preserve">% </w:t>
      </w:r>
      <w:r w:rsidR="695064F3" w:rsidRPr="00702F59">
        <w:rPr>
          <w:noProof/>
          <w:lang w:val="en-IE"/>
        </w:rPr>
        <w:t>(</w:t>
      </w:r>
      <w:r w:rsidR="160AB5FF" w:rsidRPr="00702F59">
        <w:rPr>
          <w:noProof/>
          <w:lang w:val="en-IE"/>
        </w:rPr>
        <w:t>N=</w:t>
      </w:r>
      <w:r w:rsidR="00C166A2" w:rsidRPr="00702F59">
        <w:rPr>
          <w:noProof/>
          <w:lang w:val="en-IE"/>
        </w:rPr>
        <w:t>1 815</w:t>
      </w:r>
      <w:r w:rsidR="695064F3" w:rsidRPr="00702F59">
        <w:rPr>
          <w:noProof/>
          <w:lang w:val="en-IE"/>
        </w:rPr>
        <w:t xml:space="preserve">) </w:t>
      </w:r>
      <w:r w:rsidR="1DD145DA" w:rsidRPr="00702F59">
        <w:rPr>
          <w:noProof/>
          <w:lang w:val="en-IE"/>
        </w:rPr>
        <w:t xml:space="preserve">of respondent said </w:t>
      </w:r>
      <w:r w:rsidR="36222C18" w:rsidRPr="00702F59">
        <w:rPr>
          <w:noProof/>
          <w:lang w:val="en-IE"/>
        </w:rPr>
        <w:t xml:space="preserve">that </w:t>
      </w:r>
      <w:r w:rsidR="134C2624" w:rsidRPr="00702F59">
        <w:rPr>
          <w:noProof/>
          <w:lang w:val="en-IE"/>
        </w:rPr>
        <w:t>applied</w:t>
      </w:r>
      <w:r w:rsidR="4FCEC717" w:rsidRPr="00702F59">
        <w:rPr>
          <w:noProof/>
          <w:lang w:val="en-IE"/>
        </w:rPr>
        <w:t xml:space="preserve"> research should be supported</w:t>
      </w:r>
      <w:r w:rsidR="3B69DC48" w:rsidRPr="00702F59">
        <w:rPr>
          <w:noProof/>
          <w:lang w:val="en-IE"/>
        </w:rPr>
        <w:t xml:space="preserve"> ‘to a large extent’ or ‘somewhat’</w:t>
      </w:r>
      <w:r w:rsidR="4FCEC717" w:rsidRPr="00702F59">
        <w:rPr>
          <w:noProof/>
          <w:lang w:val="en-IE"/>
        </w:rPr>
        <w:t>, followed by early-stage technologies (</w:t>
      </w:r>
      <w:r w:rsidR="09C8C9EC" w:rsidRPr="00702F59">
        <w:rPr>
          <w:noProof/>
          <w:lang w:val="en-IE"/>
        </w:rPr>
        <w:t>9</w:t>
      </w:r>
      <w:r w:rsidR="006946FC" w:rsidRPr="00702F59">
        <w:rPr>
          <w:noProof/>
          <w:lang w:val="en-IE"/>
        </w:rPr>
        <w:t>1</w:t>
      </w:r>
      <w:r w:rsidR="09C8C9EC" w:rsidRPr="00702F59">
        <w:rPr>
          <w:noProof/>
          <w:lang w:val="en-IE"/>
        </w:rPr>
        <w:t>%</w:t>
      </w:r>
      <w:r w:rsidR="695064F3" w:rsidRPr="00702F59">
        <w:rPr>
          <w:noProof/>
          <w:lang w:val="en-IE"/>
        </w:rPr>
        <w:t xml:space="preserve">, or </w:t>
      </w:r>
      <w:r w:rsidR="006946FC" w:rsidRPr="00702F59">
        <w:rPr>
          <w:noProof/>
          <w:lang w:val="en-IE"/>
        </w:rPr>
        <w:t>1 170</w:t>
      </w:r>
      <w:r w:rsidR="09C8C9EC" w:rsidRPr="00702F59">
        <w:rPr>
          <w:noProof/>
          <w:lang w:val="en-IE"/>
        </w:rPr>
        <w:t>)</w:t>
      </w:r>
      <w:r w:rsidR="72B8CAEA" w:rsidRPr="00702F59">
        <w:rPr>
          <w:noProof/>
          <w:lang w:val="en-IE"/>
        </w:rPr>
        <w:t xml:space="preserve">, </w:t>
      </w:r>
      <w:r w:rsidR="362C5BB6" w:rsidRPr="00702F59">
        <w:rPr>
          <w:noProof/>
          <w:lang w:val="en-IE"/>
        </w:rPr>
        <w:t>fundamental research (</w:t>
      </w:r>
      <w:r w:rsidR="00EC552E" w:rsidRPr="00702F59">
        <w:rPr>
          <w:noProof/>
          <w:lang w:val="en-IE"/>
        </w:rPr>
        <w:t>87</w:t>
      </w:r>
      <w:r w:rsidR="362C5BB6" w:rsidRPr="00702F59">
        <w:rPr>
          <w:noProof/>
          <w:lang w:val="en-IE"/>
        </w:rPr>
        <w:t>%</w:t>
      </w:r>
      <w:r w:rsidR="2911608F" w:rsidRPr="00702F59">
        <w:rPr>
          <w:noProof/>
          <w:lang w:val="en-IE"/>
        </w:rPr>
        <w:t xml:space="preserve">, or </w:t>
      </w:r>
      <w:r w:rsidR="00EC552E" w:rsidRPr="00702F59">
        <w:rPr>
          <w:noProof/>
          <w:lang w:val="en-IE"/>
        </w:rPr>
        <w:t>1 </w:t>
      </w:r>
      <w:r w:rsidR="2911608F" w:rsidRPr="00702F59">
        <w:rPr>
          <w:noProof/>
          <w:lang w:val="en-IE"/>
        </w:rPr>
        <w:t>691</w:t>
      </w:r>
      <w:r w:rsidR="64AA5ECA" w:rsidRPr="00702F59">
        <w:rPr>
          <w:noProof/>
          <w:lang w:val="en-IE"/>
        </w:rPr>
        <w:t>,</w:t>
      </w:r>
      <w:r w:rsidR="72B8CAEA" w:rsidRPr="00702F59">
        <w:rPr>
          <w:noProof/>
          <w:lang w:val="en-IE"/>
        </w:rPr>
        <w:t xml:space="preserve"> and</w:t>
      </w:r>
      <w:r w:rsidR="09C8C9EC" w:rsidRPr="00702F59">
        <w:rPr>
          <w:noProof/>
          <w:lang w:val="en-IE"/>
        </w:rPr>
        <w:t xml:space="preserve"> </w:t>
      </w:r>
      <w:r w:rsidR="72B8CAEA" w:rsidRPr="00702F59">
        <w:rPr>
          <w:noProof/>
          <w:lang w:val="en-IE"/>
        </w:rPr>
        <w:t>m</w:t>
      </w:r>
      <w:r w:rsidR="09C8C9EC" w:rsidRPr="00702F59">
        <w:rPr>
          <w:noProof/>
          <w:lang w:val="en-IE"/>
        </w:rPr>
        <w:t xml:space="preserve">anufacturing capacities </w:t>
      </w:r>
      <w:r w:rsidR="72B8CAEA" w:rsidRPr="00702F59">
        <w:rPr>
          <w:noProof/>
          <w:lang w:val="en-IE"/>
        </w:rPr>
        <w:t>(</w:t>
      </w:r>
      <w:r w:rsidR="00AC0F36" w:rsidRPr="00702F59">
        <w:rPr>
          <w:noProof/>
          <w:lang w:val="en-IE"/>
        </w:rPr>
        <w:t>66</w:t>
      </w:r>
      <w:r w:rsidR="1C096115" w:rsidRPr="00702F59">
        <w:rPr>
          <w:noProof/>
          <w:lang w:val="en-IE"/>
        </w:rPr>
        <w:t>% of respondents</w:t>
      </w:r>
      <w:r w:rsidR="6E5A3023" w:rsidRPr="00702F59">
        <w:rPr>
          <w:noProof/>
          <w:lang w:val="en-IE"/>
        </w:rPr>
        <w:t xml:space="preserve">, or </w:t>
      </w:r>
      <w:r w:rsidR="00AC0F36" w:rsidRPr="00702F59">
        <w:rPr>
          <w:noProof/>
          <w:lang w:val="en-IE"/>
        </w:rPr>
        <w:t>1 267</w:t>
      </w:r>
      <w:r w:rsidR="72B8CAEA" w:rsidRPr="00702F59">
        <w:rPr>
          <w:noProof/>
          <w:lang w:val="en-IE"/>
        </w:rPr>
        <w:t>)</w:t>
      </w:r>
      <w:r w:rsidR="1C096115" w:rsidRPr="00702F59">
        <w:rPr>
          <w:noProof/>
          <w:lang w:val="en-IE"/>
        </w:rPr>
        <w:t>.</w:t>
      </w:r>
    </w:p>
    <w:p w14:paraId="70C5800C" w14:textId="059FF99B" w:rsidR="0041053D" w:rsidRDefault="00EC319E" w:rsidP="0041053D">
      <w:pPr>
        <w:rPr>
          <w:noProof/>
          <w:lang w:val="en-IE"/>
        </w:rPr>
      </w:pPr>
      <w:r>
        <w:rPr>
          <w:noProof/>
          <w:lang w:val="en-IE"/>
        </w:rPr>
        <w:t>Stronger i</w:t>
      </w:r>
      <w:r w:rsidR="750B5A5D" w:rsidRPr="00702F59">
        <w:rPr>
          <w:noProof/>
          <w:lang w:val="en-IE"/>
        </w:rPr>
        <w:t>nvestment in innovation, as well as intangible capital</w:t>
      </w:r>
      <w:r w:rsidR="750B5A5D" w:rsidRPr="01161804">
        <w:rPr>
          <w:noProof/>
          <w:lang w:val="en-IE"/>
        </w:rPr>
        <w:t xml:space="preserve"> and advanced machinery and equipment is fundamental to enhancing productivity growth.</w:t>
      </w:r>
      <w:r w:rsidR="00A81DB6">
        <w:rPr>
          <w:noProof/>
          <w:lang w:val="en-IE"/>
        </w:rPr>
        <w:t xml:space="preserve"> </w:t>
      </w:r>
      <w:r w:rsidR="0041053D">
        <w:rPr>
          <w:noProof/>
          <w:lang w:val="en-IE"/>
        </w:rPr>
        <w:t xml:space="preserve">The drivers of this problem </w:t>
      </w:r>
      <w:r w:rsidR="0014208F">
        <w:rPr>
          <w:noProof/>
          <w:lang w:val="en-IE"/>
        </w:rPr>
        <w:t>include</w:t>
      </w:r>
      <w:r w:rsidR="00183632">
        <w:rPr>
          <w:noProof/>
          <w:lang w:val="en-IE"/>
        </w:rPr>
        <w:t xml:space="preserve"> </w:t>
      </w:r>
      <w:r w:rsidR="0041053D">
        <w:rPr>
          <w:noProof/>
          <w:lang w:val="en-IE"/>
        </w:rPr>
        <w:t xml:space="preserve">capacity gaps (Problem driver 6), weak translation of research results into marketable outputs (Problem driver 7) and low and fragmented investment in strategic technologies and sectors (Problem driver 8). </w:t>
      </w:r>
    </w:p>
    <w:p w14:paraId="2D8DAF31" w14:textId="1A5B7F57" w:rsidR="00A37815" w:rsidRPr="00814821" w:rsidRDefault="00A37815" w:rsidP="00603157">
      <w:pPr>
        <w:pStyle w:val="Heading3"/>
        <w:rPr>
          <w:noProof/>
          <w:lang w:val="en-IE"/>
        </w:rPr>
      </w:pPr>
      <w:bookmarkStart w:id="51" w:name="_Toc195700186"/>
      <w:r w:rsidRPr="77961842">
        <w:rPr>
          <w:noProof/>
          <w:lang w:val="en-IE"/>
        </w:rPr>
        <w:t xml:space="preserve">Problem </w:t>
      </w:r>
      <w:r w:rsidR="00AB4828">
        <w:rPr>
          <w:noProof/>
          <w:lang w:val="en-IE"/>
        </w:rPr>
        <w:t>4</w:t>
      </w:r>
      <w:r w:rsidRPr="77961842">
        <w:rPr>
          <w:noProof/>
          <w:lang w:val="en-IE"/>
        </w:rPr>
        <w:t xml:space="preserve"> </w:t>
      </w:r>
      <w:r w:rsidR="001B2C07" w:rsidRPr="77961842">
        <w:rPr>
          <w:noProof/>
          <w:lang w:val="en-IE"/>
        </w:rPr>
        <w:t>Challenging geopolitical situation, excessive strategic dependencies</w:t>
      </w:r>
      <w:r w:rsidR="00695DC1">
        <w:rPr>
          <w:noProof/>
          <w:lang w:val="en-IE"/>
        </w:rPr>
        <w:t>,</w:t>
      </w:r>
      <w:r w:rsidR="001B2C07" w:rsidRPr="77961842">
        <w:rPr>
          <w:noProof/>
          <w:lang w:val="en-IE"/>
        </w:rPr>
        <w:t xml:space="preserve"> and </w:t>
      </w:r>
      <w:r w:rsidR="00695DC1">
        <w:rPr>
          <w:noProof/>
          <w:lang w:val="en-IE"/>
        </w:rPr>
        <w:t xml:space="preserve">security and </w:t>
      </w:r>
      <w:r w:rsidR="001B2C07" w:rsidRPr="77961842">
        <w:rPr>
          <w:noProof/>
          <w:lang w:val="en-IE"/>
        </w:rPr>
        <w:t>resilience issues in the EU</w:t>
      </w:r>
      <w:bookmarkEnd w:id="51"/>
    </w:p>
    <w:p w14:paraId="3CA5BA98" w14:textId="09416B0D" w:rsidR="008D60E2" w:rsidRPr="009952CF" w:rsidRDefault="40773AD2" w:rsidP="00603157">
      <w:pPr>
        <w:rPr>
          <w:rFonts w:eastAsia="Calibri"/>
          <w:noProof/>
        </w:rPr>
      </w:pPr>
      <w:r w:rsidRPr="2A10074B">
        <w:rPr>
          <w:noProof/>
          <w:lang w:val="en-IE"/>
        </w:rPr>
        <w:t>The E</w:t>
      </w:r>
      <w:r w:rsidR="6843B51D">
        <w:rPr>
          <w:noProof/>
          <w:lang w:val="en-IE"/>
        </w:rPr>
        <w:t>U</w:t>
      </w:r>
      <w:r w:rsidR="362C5BB6" w:rsidRPr="01161804">
        <w:rPr>
          <w:noProof/>
          <w:lang w:val="en-IE"/>
        </w:rPr>
        <w:t xml:space="preserve"> i</w:t>
      </w:r>
      <w:r w:rsidRPr="2A10074B">
        <w:rPr>
          <w:noProof/>
          <w:lang w:val="en-IE"/>
        </w:rPr>
        <w:t xml:space="preserve">s </w:t>
      </w:r>
      <w:r w:rsidRPr="2A10074B">
        <w:rPr>
          <w:b/>
          <w:bCs/>
          <w:noProof/>
          <w:lang w:val="en-IE"/>
        </w:rPr>
        <w:t xml:space="preserve">highly dependent on external sources for critical </w:t>
      </w:r>
      <w:r w:rsidR="2823DAFC" w:rsidRPr="2A10074B">
        <w:rPr>
          <w:b/>
          <w:bCs/>
          <w:noProof/>
          <w:lang w:val="en-IE"/>
        </w:rPr>
        <w:t xml:space="preserve">materials, </w:t>
      </w:r>
      <w:r w:rsidRPr="2A10074B">
        <w:rPr>
          <w:b/>
          <w:bCs/>
          <w:noProof/>
          <w:lang w:val="en-IE"/>
        </w:rPr>
        <w:t>technologies</w:t>
      </w:r>
      <w:r w:rsidR="095CFB62" w:rsidRPr="01161804">
        <w:rPr>
          <w:b/>
          <w:bCs/>
          <w:noProof/>
          <w:lang w:val="en-IE"/>
        </w:rPr>
        <w:t>,</w:t>
      </w:r>
      <w:r w:rsidRPr="2A10074B">
        <w:rPr>
          <w:b/>
          <w:bCs/>
          <w:noProof/>
          <w:lang w:val="en-IE"/>
        </w:rPr>
        <w:t xml:space="preserve"> industrial components</w:t>
      </w:r>
      <w:r w:rsidR="2823DAFC" w:rsidRPr="2A10074B">
        <w:rPr>
          <w:b/>
          <w:bCs/>
          <w:noProof/>
          <w:lang w:val="en-IE"/>
        </w:rPr>
        <w:t xml:space="preserve"> and products</w:t>
      </w:r>
      <w:r w:rsidRPr="2A10074B">
        <w:rPr>
          <w:noProof/>
          <w:lang w:val="en-IE"/>
        </w:rPr>
        <w:t xml:space="preserve">, posing significant </w:t>
      </w:r>
      <w:r w:rsidRPr="2A10074B">
        <w:rPr>
          <w:b/>
          <w:bCs/>
          <w:noProof/>
          <w:lang w:val="en-IE"/>
        </w:rPr>
        <w:t>risks to its economic security and strategic autonomy</w:t>
      </w:r>
      <w:r w:rsidR="5A134BC4" w:rsidRPr="2A10074B">
        <w:rPr>
          <w:b/>
          <w:bCs/>
          <w:noProof/>
          <w:lang w:val="en-IE"/>
        </w:rPr>
        <w:t xml:space="preserve">, </w:t>
      </w:r>
      <w:r w:rsidR="5A134BC4" w:rsidRPr="009056DE">
        <w:rPr>
          <w:noProof/>
          <w:lang w:val="en-IE"/>
        </w:rPr>
        <w:t>and exposing it</w:t>
      </w:r>
      <w:r w:rsidRPr="2A10074B">
        <w:rPr>
          <w:noProof/>
          <w:lang w:val="en-IE"/>
        </w:rPr>
        <w:t xml:space="preserve"> to supply chain vulnerabilities and trade disputes.</w:t>
      </w:r>
      <w:r w:rsidRPr="01161804">
        <w:rPr>
          <w:noProof/>
          <w:lang w:val="en-IE"/>
        </w:rPr>
        <w:t xml:space="preserve"> </w:t>
      </w:r>
      <w:r w:rsidR="16D76128" w:rsidRPr="01161804">
        <w:rPr>
          <w:noProof/>
          <w:lang w:val="en-IE"/>
        </w:rPr>
        <w:t>Asset and supply chain vulnerabilities are heightened by climate and environmental risks as Europe is the fastest warming continent.</w:t>
      </w:r>
      <w:r w:rsidRPr="2A10074B">
        <w:rPr>
          <w:noProof/>
          <w:lang w:val="en-IE"/>
        </w:rPr>
        <w:t xml:space="preserve"> Additionally, reliance on foreign entities raises concerns about external control over critical raw materials, </w:t>
      </w:r>
      <w:r w:rsidR="70E94483" w:rsidRPr="01161804">
        <w:rPr>
          <w:noProof/>
          <w:lang w:val="en-IE"/>
        </w:rPr>
        <w:t xml:space="preserve">components and technologies, </w:t>
      </w:r>
      <w:r w:rsidRPr="2A10074B">
        <w:rPr>
          <w:noProof/>
          <w:lang w:val="en-IE"/>
        </w:rPr>
        <w:t>vital infrastructures and essential service providers.</w:t>
      </w:r>
      <w:r w:rsidR="00917C50">
        <w:rPr>
          <w:rStyle w:val="FootnoteReference"/>
          <w:noProof/>
          <w:lang w:val="en-IE"/>
        </w:rPr>
        <w:footnoteReference w:id="36"/>
      </w:r>
      <w:r w:rsidRPr="2A10074B">
        <w:rPr>
          <w:noProof/>
          <w:lang w:val="en-IE"/>
        </w:rPr>
        <w:t xml:space="preserve"> </w:t>
      </w:r>
      <w:r w:rsidR="5B487306" w:rsidRPr="2A10074B">
        <w:rPr>
          <w:noProof/>
          <w:lang w:val="en-IE"/>
        </w:rPr>
        <w:t>Moreover,</w:t>
      </w:r>
      <w:r w:rsidR="18252C41" w:rsidRPr="2A10074B">
        <w:rPr>
          <w:noProof/>
          <w:lang w:val="en-IE"/>
        </w:rPr>
        <w:t xml:space="preserve"> </w:t>
      </w:r>
      <w:r w:rsidR="5A8176C2" w:rsidRPr="2A10074B">
        <w:rPr>
          <w:noProof/>
          <w:lang w:val="en-IE"/>
        </w:rPr>
        <w:t>in the absence of effective defensive capacity</w:t>
      </w:r>
      <w:r w:rsidR="5B487306" w:rsidRPr="2A10074B">
        <w:rPr>
          <w:noProof/>
          <w:lang w:val="en-IE"/>
        </w:rPr>
        <w:t>,</w:t>
      </w:r>
      <w:r w:rsidR="18252C41" w:rsidRPr="2A10074B">
        <w:rPr>
          <w:noProof/>
          <w:lang w:val="en-IE"/>
        </w:rPr>
        <w:t xml:space="preserve"> </w:t>
      </w:r>
      <w:r w:rsidR="1DBEA6B4" w:rsidRPr="2A10074B">
        <w:rPr>
          <w:noProof/>
          <w:lang w:val="en-IE"/>
        </w:rPr>
        <w:t xml:space="preserve">the risk of rising insecurity in </w:t>
      </w:r>
      <w:r w:rsidR="18252C41" w:rsidRPr="2A10074B">
        <w:rPr>
          <w:noProof/>
          <w:lang w:val="en-IE"/>
        </w:rPr>
        <w:t xml:space="preserve">a </w:t>
      </w:r>
      <w:r w:rsidR="69605D0F" w:rsidRPr="2A10074B">
        <w:rPr>
          <w:noProof/>
          <w:lang w:val="en-IE"/>
        </w:rPr>
        <w:t xml:space="preserve">less stable geopolitical landscape </w:t>
      </w:r>
      <w:r w:rsidR="1DBEA6B4" w:rsidRPr="2A10074B">
        <w:rPr>
          <w:noProof/>
          <w:lang w:val="en-IE"/>
        </w:rPr>
        <w:t>risks</w:t>
      </w:r>
      <w:r w:rsidR="56F06AC3" w:rsidRPr="2A10074B">
        <w:rPr>
          <w:noProof/>
          <w:lang w:val="en-IE"/>
        </w:rPr>
        <w:t xml:space="preserve"> becoming a threat to growth</w:t>
      </w:r>
      <w:r w:rsidR="2B74780B" w:rsidRPr="2A10074B">
        <w:rPr>
          <w:noProof/>
          <w:lang w:val="en-IE"/>
        </w:rPr>
        <w:t>.</w:t>
      </w:r>
      <w:r w:rsidR="004B3C83">
        <w:rPr>
          <w:rStyle w:val="FootnoteReference"/>
          <w:noProof/>
          <w:lang w:val="en-IE"/>
        </w:rPr>
        <w:footnoteReference w:id="37"/>
      </w:r>
      <w:r w:rsidR="79C3FA54" w:rsidRPr="2A10074B">
        <w:rPr>
          <w:noProof/>
          <w:lang w:val="en-IE"/>
        </w:rPr>
        <w:t xml:space="preserve"> </w:t>
      </w:r>
    </w:p>
    <w:p w14:paraId="1CDDC65F" w14:textId="1415DE9F" w:rsidR="008B2B29" w:rsidRPr="009952CF" w:rsidRDefault="4DA16316" w:rsidP="00603157">
      <w:pPr>
        <w:rPr>
          <w:noProof/>
          <w:lang w:val="en-IE"/>
        </w:rPr>
      </w:pPr>
      <w:r w:rsidRPr="238292F4">
        <w:rPr>
          <w:noProof/>
          <w:lang w:val="en-IE"/>
        </w:rPr>
        <w:t>On 19 March 2025, the European Commission presented the ReArm Europe Plan/Readiness 2030 to strengthen pan-European defence capabilitie</w:t>
      </w:r>
      <w:r w:rsidR="6F1AD41C" w:rsidRPr="238292F4">
        <w:rPr>
          <w:noProof/>
          <w:lang w:val="en-IE"/>
        </w:rPr>
        <w:t>s with new financial means.</w:t>
      </w:r>
      <w:r w:rsidR="00BD063D">
        <w:rPr>
          <w:rStyle w:val="FootnoteReference"/>
          <w:noProof/>
          <w:lang w:val="en-IE"/>
        </w:rPr>
        <w:footnoteReference w:id="38"/>
      </w:r>
      <w:r w:rsidR="5CA78E29" w:rsidRPr="238292F4">
        <w:rPr>
          <w:noProof/>
          <w:lang w:val="en-IE"/>
        </w:rPr>
        <w:t xml:space="preserve"> </w:t>
      </w:r>
      <w:r w:rsidR="73EA152B" w:rsidRPr="238292F4">
        <w:rPr>
          <w:noProof/>
          <w:lang w:val="en-IE"/>
        </w:rPr>
        <w:t>To</w:t>
      </w:r>
      <w:r w:rsidR="76795248" w:rsidRPr="00814821">
        <w:rPr>
          <w:noProof/>
          <w:lang w:val="en-IE"/>
        </w:rPr>
        <w:t xml:space="preserve"> ensure </w:t>
      </w:r>
      <w:r w:rsidR="599DCEDE">
        <w:rPr>
          <w:noProof/>
          <w:lang w:val="en-IE"/>
        </w:rPr>
        <w:t xml:space="preserve">that the EU can retain </w:t>
      </w:r>
      <w:r w:rsidR="76795248" w:rsidRPr="00814821">
        <w:rPr>
          <w:noProof/>
          <w:lang w:val="en-IE"/>
        </w:rPr>
        <w:t xml:space="preserve">its autonomy and remain competitive in the global economy, </w:t>
      </w:r>
      <w:r w:rsidR="599DCEDE">
        <w:rPr>
          <w:noProof/>
          <w:lang w:val="en-IE"/>
        </w:rPr>
        <w:t>it</w:t>
      </w:r>
      <w:r w:rsidR="76795248" w:rsidRPr="00814821">
        <w:rPr>
          <w:noProof/>
          <w:lang w:val="en-IE"/>
        </w:rPr>
        <w:t xml:space="preserve"> must</w:t>
      </w:r>
      <w:r w:rsidR="76795248" w:rsidRPr="65D94619">
        <w:rPr>
          <w:b/>
          <w:bCs/>
          <w:noProof/>
          <w:lang w:val="en-IE"/>
        </w:rPr>
        <w:t xml:space="preserve"> </w:t>
      </w:r>
      <w:r w:rsidR="76795248" w:rsidRPr="00814821">
        <w:rPr>
          <w:noProof/>
          <w:lang w:val="en-IE"/>
        </w:rPr>
        <w:t>“</w:t>
      </w:r>
      <w:r w:rsidR="76795248" w:rsidRPr="65D94619">
        <w:rPr>
          <w:b/>
          <w:bCs/>
          <w:noProof/>
          <w:lang w:val="en-IE"/>
        </w:rPr>
        <w:t>guarantee its industrial presence in key technological sectors and mitigate risks for its security and resilience</w:t>
      </w:r>
      <w:r w:rsidR="76795248" w:rsidRPr="00814821">
        <w:rPr>
          <w:noProof/>
          <w:lang w:val="en-IE"/>
        </w:rPr>
        <w:t xml:space="preserve"> </w:t>
      </w:r>
      <w:r w:rsidR="76795248" w:rsidRPr="65D94619">
        <w:rPr>
          <w:b/>
          <w:bCs/>
          <w:noProof/>
          <w:lang w:val="en-IE"/>
        </w:rPr>
        <w:t>emanating from dependencies</w:t>
      </w:r>
      <w:r w:rsidR="76795248" w:rsidRPr="00814821">
        <w:rPr>
          <w:noProof/>
          <w:lang w:val="en-IE"/>
        </w:rPr>
        <w:t xml:space="preserve"> – otherwise geopolitical uncertainty will cloud the outlook for our companies </w:t>
      </w:r>
      <w:r w:rsidR="682B0BAA" w:rsidRPr="00814821">
        <w:rPr>
          <w:noProof/>
          <w:lang w:val="en-IE"/>
        </w:rPr>
        <w:t xml:space="preserve">and </w:t>
      </w:r>
      <w:r w:rsidR="682B0BAA" w:rsidRPr="66984532">
        <w:rPr>
          <w:noProof/>
          <w:lang w:val="en-IE"/>
        </w:rPr>
        <w:t>weigh</w:t>
      </w:r>
      <w:r w:rsidR="76795248" w:rsidRPr="00814821">
        <w:rPr>
          <w:noProof/>
          <w:lang w:val="en-IE"/>
        </w:rPr>
        <w:t xml:space="preserve"> on investment.”</w:t>
      </w:r>
      <w:r w:rsidR="00A37815" w:rsidRPr="00814821">
        <w:rPr>
          <w:rStyle w:val="FootnoteReference"/>
          <w:noProof/>
          <w:lang w:val="en-IE"/>
        </w:rPr>
        <w:footnoteReference w:id="39"/>
      </w:r>
      <w:r w:rsidR="0CACD2A2" w:rsidRPr="66984532">
        <w:rPr>
          <w:rStyle w:val="FootnoteReference"/>
          <w:noProof/>
          <w:lang w:val="en-IE"/>
        </w:rPr>
        <w:t xml:space="preserve"> </w:t>
      </w:r>
      <w:r w:rsidR="00BD44A6">
        <w:rPr>
          <w:noProof/>
          <w:lang w:val="en-IE"/>
        </w:rPr>
        <w:t xml:space="preserve"> </w:t>
      </w:r>
      <w:r w:rsidR="008B2B29">
        <w:rPr>
          <w:noProof/>
          <w:lang w:val="en-IE"/>
        </w:rPr>
        <w:t xml:space="preserve">The drivers of this problem </w:t>
      </w:r>
      <w:r w:rsidR="0014208F">
        <w:rPr>
          <w:noProof/>
          <w:lang w:val="en-IE"/>
        </w:rPr>
        <w:t>include</w:t>
      </w:r>
      <w:r w:rsidR="00D10B7E">
        <w:rPr>
          <w:noProof/>
          <w:lang w:val="en-IE"/>
        </w:rPr>
        <w:t xml:space="preserve"> </w:t>
      </w:r>
      <w:r w:rsidR="008B2B29">
        <w:rPr>
          <w:noProof/>
          <w:lang w:val="en-IE"/>
        </w:rPr>
        <w:t xml:space="preserve">weak translation of research results into marketable outputs (Problem driver </w:t>
      </w:r>
      <w:r w:rsidR="00D10B7E">
        <w:rPr>
          <w:noProof/>
          <w:lang w:val="en-IE"/>
        </w:rPr>
        <w:t>7</w:t>
      </w:r>
      <w:r w:rsidR="008B2B29">
        <w:rPr>
          <w:noProof/>
          <w:lang w:val="en-IE"/>
        </w:rPr>
        <w:t xml:space="preserve">) and low and fragmented investment in strategic technologies and sectors (Problem driver 6). </w:t>
      </w:r>
    </w:p>
    <w:p w14:paraId="75046E82" w14:textId="23287727" w:rsidR="008D60E2" w:rsidRPr="009952CF" w:rsidRDefault="48F6B2E2" w:rsidP="00603157">
      <w:pPr>
        <w:pStyle w:val="Heading3"/>
        <w:rPr>
          <w:noProof/>
          <w:lang w:val="en-IE"/>
        </w:rPr>
      </w:pPr>
      <w:bookmarkStart w:id="52" w:name="_Toc195700187"/>
      <w:r w:rsidRPr="711C8325">
        <w:rPr>
          <w:noProof/>
          <w:lang w:val="en-IE"/>
        </w:rPr>
        <w:t xml:space="preserve">Problem </w:t>
      </w:r>
      <w:r w:rsidR="001D7820">
        <w:rPr>
          <w:noProof/>
          <w:lang w:val="en-IE"/>
        </w:rPr>
        <w:t>5</w:t>
      </w:r>
      <w:r w:rsidRPr="711C8325">
        <w:rPr>
          <w:noProof/>
          <w:lang w:val="en-IE"/>
        </w:rPr>
        <w:t xml:space="preserve"> </w:t>
      </w:r>
      <w:r w:rsidR="448FB29B" w:rsidRPr="711C8325">
        <w:rPr>
          <w:noProof/>
          <w:lang w:val="en-IE"/>
        </w:rPr>
        <w:t>High investment needs for delivering on EU priorities, including for decarbonisation</w:t>
      </w:r>
      <w:r w:rsidR="00BF4875">
        <w:rPr>
          <w:noProof/>
          <w:lang w:val="en-IE"/>
        </w:rPr>
        <w:t xml:space="preserve">, </w:t>
      </w:r>
      <w:r w:rsidR="448FB29B" w:rsidRPr="711C8325">
        <w:rPr>
          <w:noProof/>
          <w:lang w:val="en-IE"/>
        </w:rPr>
        <w:t>digital transition</w:t>
      </w:r>
      <w:r w:rsidR="00EC2B48">
        <w:rPr>
          <w:noProof/>
          <w:lang w:val="en-IE"/>
        </w:rPr>
        <w:t>,</w:t>
      </w:r>
      <w:r w:rsidR="6538B424" w:rsidRPr="711C8325">
        <w:rPr>
          <w:noProof/>
          <w:lang w:val="en-IE"/>
        </w:rPr>
        <w:t xml:space="preserve"> </w:t>
      </w:r>
      <w:r w:rsidR="4C06101B" w:rsidRPr="711C8325">
        <w:rPr>
          <w:noProof/>
          <w:lang w:val="en-IE"/>
        </w:rPr>
        <w:t>resilience</w:t>
      </w:r>
      <w:r w:rsidR="6538B424" w:rsidRPr="711C8325">
        <w:rPr>
          <w:noProof/>
          <w:lang w:val="en-IE"/>
        </w:rPr>
        <w:t xml:space="preserve"> </w:t>
      </w:r>
      <w:r w:rsidR="00626AF4">
        <w:rPr>
          <w:noProof/>
          <w:lang w:val="en-IE"/>
        </w:rPr>
        <w:t>an</w:t>
      </w:r>
      <w:r w:rsidR="00330B03">
        <w:rPr>
          <w:noProof/>
          <w:lang w:val="en-IE"/>
        </w:rPr>
        <w:t xml:space="preserve">d </w:t>
      </w:r>
      <w:r w:rsidR="6538B424" w:rsidRPr="711C8325">
        <w:rPr>
          <w:noProof/>
          <w:lang w:val="en-IE"/>
        </w:rPr>
        <w:t>security</w:t>
      </w:r>
      <w:r w:rsidR="00175E46">
        <w:rPr>
          <w:noProof/>
          <w:lang w:val="en-IE"/>
        </w:rPr>
        <w:t>.</w:t>
      </w:r>
      <w:bookmarkEnd w:id="52"/>
    </w:p>
    <w:p w14:paraId="7EF08D89" w14:textId="1E787798" w:rsidR="003A718D" w:rsidRPr="002060C9" w:rsidRDefault="2216F70A" w:rsidP="00603157">
      <w:pPr>
        <w:rPr>
          <w:noProof/>
          <w:lang w:val="en-IE"/>
        </w:rPr>
      </w:pPr>
      <w:r>
        <w:rPr>
          <w:b/>
          <w:bCs/>
          <w:noProof/>
        </w:rPr>
        <w:t xml:space="preserve">Substantial investment to meet the EU’s long-term priorities regarding decarbonisation, digital transition, </w:t>
      </w:r>
      <w:r w:rsidR="43091689" w:rsidRPr="01161804">
        <w:rPr>
          <w:b/>
          <w:bCs/>
          <w:noProof/>
        </w:rPr>
        <w:t>resilience</w:t>
      </w:r>
      <w:r w:rsidRPr="01161804">
        <w:rPr>
          <w:b/>
          <w:bCs/>
          <w:noProof/>
        </w:rPr>
        <w:t xml:space="preserve"> and </w:t>
      </w:r>
      <w:r w:rsidR="43091689" w:rsidRPr="3EA7425B">
        <w:rPr>
          <w:b/>
          <w:bCs/>
          <w:noProof/>
        </w:rPr>
        <w:t>security</w:t>
      </w:r>
      <w:r w:rsidR="43091689" w:rsidRPr="01161804">
        <w:rPr>
          <w:b/>
          <w:bCs/>
          <w:noProof/>
        </w:rPr>
        <w:t xml:space="preserve">, </w:t>
      </w:r>
      <w:r>
        <w:rPr>
          <w:b/>
          <w:bCs/>
          <w:noProof/>
        </w:rPr>
        <w:t>infrastructures and skills is needed</w:t>
      </w:r>
      <w:r w:rsidR="671925D6">
        <w:rPr>
          <w:b/>
          <w:bCs/>
          <w:noProof/>
        </w:rPr>
        <w:t>.</w:t>
      </w:r>
      <w:r w:rsidR="00942C2D">
        <w:rPr>
          <w:rStyle w:val="FootnoteReference"/>
          <w:noProof/>
        </w:rPr>
        <w:footnoteReference w:id="40"/>
      </w:r>
      <w:r w:rsidR="559CD430" w:rsidRPr="00B03DD3">
        <w:rPr>
          <w:noProof/>
        </w:rPr>
        <w:t xml:space="preserve"> </w:t>
      </w:r>
      <w:r w:rsidR="3682CCB7">
        <w:rPr>
          <w:noProof/>
        </w:rPr>
        <w:t xml:space="preserve">As </w:t>
      </w:r>
      <w:r w:rsidR="1384F3F0">
        <w:rPr>
          <w:noProof/>
        </w:rPr>
        <w:t>indication,</w:t>
      </w:r>
      <w:r w:rsidR="31884701">
        <w:rPr>
          <w:noProof/>
        </w:rPr>
        <w:t xml:space="preserve"> </w:t>
      </w:r>
      <w:r w:rsidR="31884701" w:rsidRPr="00B03DD3">
        <w:rPr>
          <w:noProof/>
        </w:rPr>
        <w:t xml:space="preserve">the Draghi </w:t>
      </w:r>
      <w:r w:rsidR="31884701">
        <w:rPr>
          <w:noProof/>
        </w:rPr>
        <w:t xml:space="preserve">report </w:t>
      </w:r>
      <w:r w:rsidR="1384F3F0">
        <w:rPr>
          <w:noProof/>
        </w:rPr>
        <w:t>estimates</w:t>
      </w:r>
      <w:r w:rsidR="1384F3F0" w:rsidRPr="00B03DD3">
        <w:rPr>
          <w:noProof/>
        </w:rPr>
        <w:t xml:space="preserve"> </w:t>
      </w:r>
      <w:r w:rsidR="3FC609FB" w:rsidRPr="00B03DD3">
        <w:rPr>
          <w:noProof/>
        </w:rPr>
        <w:t xml:space="preserve">the EU </w:t>
      </w:r>
      <w:r w:rsidR="3FC609FB">
        <w:rPr>
          <w:noProof/>
        </w:rPr>
        <w:t>needs</w:t>
      </w:r>
      <w:r w:rsidR="388231A9">
        <w:rPr>
          <w:noProof/>
        </w:rPr>
        <w:t xml:space="preserve"> </w:t>
      </w:r>
      <w:r w:rsidR="1384F3F0">
        <w:rPr>
          <w:noProof/>
        </w:rPr>
        <w:t xml:space="preserve">annual additional investment of EUR </w:t>
      </w:r>
      <w:r w:rsidR="31884701">
        <w:rPr>
          <w:noProof/>
        </w:rPr>
        <w:t>750</w:t>
      </w:r>
      <w:r w:rsidR="1384F3F0">
        <w:rPr>
          <w:noProof/>
        </w:rPr>
        <w:t xml:space="preserve"> to EUR 800 billion </w:t>
      </w:r>
      <w:r w:rsidR="6B7820D8">
        <w:rPr>
          <w:noProof/>
        </w:rPr>
        <w:t>(from public and private sources)</w:t>
      </w:r>
      <w:r w:rsidR="3FC609FB">
        <w:rPr>
          <w:noProof/>
        </w:rPr>
        <w:t xml:space="preserve"> </w:t>
      </w:r>
      <w:r w:rsidR="6B7820D8" w:rsidRPr="00B03DD3">
        <w:rPr>
          <w:noProof/>
        </w:rPr>
        <w:t xml:space="preserve">to </w:t>
      </w:r>
      <w:r w:rsidR="6B7820D8">
        <w:rPr>
          <w:noProof/>
        </w:rPr>
        <w:t>tackle the various</w:t>
      </w:r>
      <w:r w:rsidR="13E248FD">
        <w:rPr>
          <w:noProof/>
        </w:rPr>
        <w:t xml:space="preserve"> </w:t>
      </w:r>
      <w:r w:rsidR="6B7820D8">
        <w:rPr>
          <w:noProof/>
        </w:rPr>
        <w:t xml:space="preserve">challenges </w:t>
      </w:r>
      <w:r w:rsidR="0D66B7B6">
        <w:rPr>
          <w:noProof/>
        </w:rPr>
        <w:t xml:space="preserve">for </w:t>
      </w:r>
      <w:r w:rsidR="21577359">
        <w:rPr>
          <w:noProof/>
        </w:rPr>
        <w:t>E</w:t>
      </w:r>
      <w:r w:rsidR="0D66B7B6">
        <w:rPr>
          <w:noProof/>
        </w:rPr>
        <w:t>uropean competitiveness</w:t>
      </w:r>
      <w:r w:rsidR="009D1B05">
        <w:rPr>
          <w:noProof/>
        </w:rPr>
        <w:t>, of which more than half</w:t>
      </w:r>
      <w:r w:rsidR="00C4040E">
        <w:rPr>
          <w:noProof/>
        </w:rPr>
        <w:t xml:space="preserve"> relate to</w:t>
      </w:r>
      <w:r w:rsidR="00295E33">
        <w:rPr>
          <w:noProof/>
        </w:rPr>
        <w:t xml:space="preserve"> </w:t>
      </w:r>
      <w:r w:rsidR="00E75D76">
        <w:rPr>
          <w:noProof/>
        </w:rPr>
        <w:t xml:space="preserve">related </w:t>
      </w:r>
      <w:r w:rsidR="00C4040E">
        <w:rPr>
          <w:noProof/>
        </w:rPr>
        <w:t>decarbonisation</w:t>
      </w:r>
      <w:r w:rsidR="00E75D76">
        <w:rPr>
          <w:noProof/>
        </w:rPr>
        <w:t xml:space="preserve"> investments</w:t>
      </w:r>
      <w:r w:rsidR="00D20F3A">
        <w:rPr>
          <w:rStyle w:val="FootnoteReference"/>
          <w:noProof/>
        </w:rPr>
        <w:footnoteReference w:id="41"/>
      </w:r>
      <w:r w:rsidR="559CD430" w:rsidRPr="00B03DD3">
        <w:rPr>
          <w:noProof/>
        </w:rPr>
        <w:t xml:space="preserve">. </w:t>
      </w:r>
      <w:r w:rsidR="7AEA1236" w:rsidRPr="00B03DD3">
        <w:rPr>
          <w:noProof/>
        </w:rPr>
        <w:t>Moreover, EU funding has been used</w:t>
      </w:r>
      <w:r w:rsidR="579CD220">
        <w:rPr>
          <w:noProof/>
        </w:rPr>
        <w:t xml:space="preserve"> in a fragmented way. </w:t>
      </w:r>
      <w:r w:rsidR="784D73F5">
        <w:rPr>
          <w:noProof/>
        </w:rPr>
        <w:t>T</w:t>
      </w:r>
      <w:r w:rsidR="7E120EC8" w:rsidRPr="00B03DD3">
        <w:rPr>
          <w:noProof/>
        </w:rPr>
        <w:t>ogether with</w:t>
      </w:r>
      <w:r w:rsidR="559CD430" w:rsidRPr="00B03DD3">
        <w:rPr>
          <w:noProof/>
        </w:rPr>
        <w:t xml:space="preserve"> </w:t>
      </w:r>
      <w:r w:rsidR="479DCAD9" w:rsidRPr="00B03DD3">
        <w:rPr>
          <w:noProof/>
        </w:rPr>
        <w:t xml:space="preserve">lack of alignment between EU and Member </w:t>
      </w:r>
      <w:r w:rsidR="6EDAA166" w:rsidRPr="00B03DD3">
        <w:rPr>
          <w:noProof/>
        </w:rPr>
        <w:t>State</w:t>
      </w:r>
      <w:r w:rsidR="410C6CCA">
        <w:rPr>
          <w:noProof/>
        </w:rPr>
        <w:t>s</w:t>
      </w:r>
      <w:r w:rsidR="6EB1C560">
        <w:rPr>
          <w:noProof/>
        </w:rPr>
        <w:t>’</w:t>
      </w:r>
      <w:r w:rsidR="479DCAD9" w:rsidRPr="00B03DD3">
        <w:rPr>
          <w:noProof/>
        </w:rPr>
        <w:t xml:space="preserve"> funding strategies,</w:t>
      </w:r>
      <w:r w:rsidR="559CD430" w:rsidRPr="00B03DD3">
        <w:rPr>
          <w:noProof/>
        </w:rPr>
        <w:t xml:space="preserve"> </w:t>
      </w:r>
      <w:r w:rsidR="784D73F5">
        <w:rPr>
          <w:noProof/>
        </w:rPr>
        <w:t xml:space="preserve">it </w:t>
      </w:r>
      <w:r w:rsidR="559CD430" w:rsidRPr="00B03DD3">
        <w:rPr>
          <w:noProof/>
        </w:rPr>
        <w:t xml:space="preserve">limits the creation of </w:t>
      </w:r>
      <w:r w:rsidR="784D73F5">
        <w:rPr>
          <w:noProof/>
        </w:rPr>
        <w:t>the</w:t>
      </w:r>
      <w:r w:rsidR="559CD430" w:rsidRPr="00B03DD3">
        <w:rPr>
          <w:noProof/>
        </w:rPr>
        <w:t xml:space="preserve"> leverage required to address EU-wide</w:t>
      </w:r>
      <w:r w:rsidR="559CD430">
        <w:rPr>
          <w:noProof/>
        </w:rPr>
        <w:t xml:space="preserve"> </w:t>
      </w:r>
      <w:r w:rsidR="7E41DBA7">
        <w:rPr>
          <w:noProof/>
        </w:rPr>
        <w:t>challenges and</w:t>
      </w:r>
      <w:r w:rsidR="559CD430" w:rsidRPr="00B03DD3">
        <w:rPr>
          <w:noProof/>
        </w:rPr>
        <w:t xml:space="preserve"> priorities on a cross-border scale.</w:t>
      </w:r>
    </w:p>
    <w:p w14:paraId="77C95154" w14:textId="4CAC2D3A" w:rsidR="00285E3D" w:rsidRPr="00BD203F" w:rsidRDefault="00B83DEA" w:rsidP="00997EF3">
      <w:pPr>
        <w:pStyle w:val="Heading2"/>
        <w:rPr>
          <w:noProof/>
        </w:rPr>
      </w:pPr>
      <w:bookmarkStart w:id="53" w:name="_Toc203043635"/>
      <w:r w:rsidRPr="00BB184A">
        <w:rPr>
          <w:noProof/>
          <w:lang w:val="en-IE"/>
        </w:rPr>
        <w:t>What are the p</w:t>
      </w:r>
      <w:r w:rsidR="00D07596" w:rsidRPr="00BB184A">
        <w:rPr>
          <w:noProof/>
          <w:lang w:val="en-IE"/>
        </w:rPr>
        <w:t>roblem drivers?</w:t>
      </w:r>
      <w:bookmarkEnd w:id="53"/>
    </w:p>
    <w:p w14:paraId="78AFD6BA" w14:textId="67E73424" w:rsidR="009D6C16" w:rsidRPr="00C87B29" w:rsidRDefault="009D6C16" w:rsidP="00603157">
      <w:pPr>
        <w:pStyle w:val="Heading3"/>
        <w:rPr>
          <w:noProof/>
        </w:rPr>
      </w:pPr>
      <w:r>
        <w:rPr>
          <w:noProof/>
        </w:rPr>
        <w:t xml:space="preserve">Problem </w:t>
      </w:r>
      <w:r w:rsidRPr="00D07596">
        <w:rPr>
          <w:noProof/>
        </w:rPr>
        <w:t>driver</w:t>
      </w:r>
      <w:r>
        <w:rPr>
          <w:noProof/>
        </w:rPr>
        <w:t xml:space="preserve"> 1 Fragmented support </w:t>
      </w:r>
      <w:r w:rsidR="00C94A45">
        <w:rPr>
          <w:noProof/>
        </w:rPr>
        <w:t xml:space="preserve">through </w:t>
      </w:r>
      <w:r>
        <w:rPr>
          <w:noProof/>
        </w:rPr>
        <w:t>the investment journey</w:t>
      </w:r>
    </w:p>
    <w:p w14:paraId="0CCD849A" w14:textId="40DF6F1C" w:rsidR="009D6C16" w:rsidRDefault="009D6C16" w:rsidP="00603157">
      <w:pPr>
        <w:rPr>
          <w:noProof/>
        </w:rPr>
      </w:pPr>
      <w:r w:rsidRPr="3D71F685">
        <w:rPr>
          <w:b/>
          <w:bCs/>
          <w:noProof/>
        </w:rPr>
        <w:t xml:space="preserve">The </w:t>
      </w:r>
      <w:r w:rsidRPr="00702F59">
        <w:rPr>
          <w:b/>
          <w:bCs/>
          <w:noProof/>
        </w:rPr>
        <w:t>current offer of EU funds does not provide large-scale, seamless</w:t>
      </w:r>
      <w:r w:rsidRPr="00702F59">
        <w:rPr>
          <w:rFonts w:eastAsia="Times New Roman"/>
          <w:b/>
          <w:bCs/>
          <w:noProof/>
        </w:rPr>
        <w:t xml:space="preserve"> </w:t>
      </w:r>
      <w:r w:rsidRPr="00702F59">
        <w:rPr>
          <w:b/>
          <w:bCs/>
          <w:noProof/>
        </w:rPr>
        <w:t xml:space="preserve">funding support on the entire investment journey to address market failures. It is also insufficiently linked with other sources of public (national, regional, local) and private funding, which themselves are very fragmented, </w:t>
      </w:r>
      <w:r w:rsidRPr="00702F59">
        <w:rPr>
          <w:noProof/>
        </w:rPr>
        <w:t xml:space="preserve">as confirmed by </w:t>
      </w:r>
      <w:r w:rsidR="004F275B" w:rsidRPr="00702F59">
        <w:rPr>
          <w:noProof/>
        </w:rPr>
        <w:t>71</w:t>
      </w:r>
      <w:r w:rsidRPr="00702F59">
        <w:rPr>
          <w:noProof/>
        </w:rPr>
        <w:t xml:space="preserve">% of the respondents of </w:t>
      </w:r>
      <w:r w:rsidR="00AA1558" w:rsidRPr="00702F59">
        <w:rPr>
          <w:noProof/>
        </w:rPr>
        <w:t>the public consultation (1 391 respondents)</w:t>
      </w:r>
      <w:r w:rsidRPr="00702F59">
        <w:rPr>
          <w:noProof/>
        </w:rPr>
        <w:t>. Currently, EU programmes (or programme parts) tend to focus on a certain stage of the journey, without systematic and sufficient links to other development stages or funding sources</w:t>
      </w:r>
      <w:r w:rsidR="74A0343F" w:rsidRPr="00702F59">
        <w:rPr>
          <w:noProof/>
        </w:rPr>
        <w:t>.</w:t>
      </w:r>
      <w:r w:rsidR="00394146" w:rsidRPr="00702F59">
        <w:rPr>
          <w:rStyle w:val="FootnoteReference"/>
          <w:noProof/>
        </w:rPr>
        <w:footnoteReference w:id="42"/>
      </w:r>
      <w:r w:rsidR="00213997">
        <w:rPr>
          <w:noProof/>
        </w:rPr>
        <w:t xml:space="preserve"> (Figure 1)</w:t>
      </w:r>
    </w:p>
    <w:p w14:paraId="594C6133" w14:textId="77777777" w:rsidR="00213997" w:rsidRDefault="00213997" w:rsidP="00213997">
      <w:pPr>
        <w:keepNext/>
        <w:rPr>
          <w:noProof/>
        </w:rPr>
      </w:pPr>
      <w:r>
        <w:rPr>
          <w:noProof/>
          <w:lang w:eastAsia="en-GB"/>
        </w:rPr>
        <w:drawing>
          <wp:inline distT="0" distB="0" distL="0" distR="0" wp14:anchorId="5C7F6F30" wp14:editId="1FD9773B">
            <wp:extent cx="4422457" cy="3240000"/>
            <wp:effectExtent l="0" t="0" r="0" b="0"/>
            <wp:docPr id="1065319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4422457" cy="3240000"/>
                    </a:xfrm>
                    <a:prstGeom prst="rect">
                      <a:avLst/>
                    </a:prstGeom>
                  </pic:spPr>
                </pic:pic>
              </a:graphicData>
            </a:graphic>
          </wp:inline>
        </w:drawing>
      </w:r>
    </w:p>
    <w:p w14:paraId="6239BFC9" w14:textId="77777777" w:rsidR="00213997" w:rsidRDefault="00213997" w:rsidP="00213997">
      <w:pPr>
        <w:pStyle w:val="Caption"/>
        <w:rPr>
          <w:noProof/>
          <w:lang w:val="en-IE"/>
        </w:rPr>
      </w:pPr>
      <w:r>
        <w:rPr>
          <w:noProof/>
        </w:rPr>
        <w:t xml:space="preserve">Figure 1: Estimated potential support to different stages of net zero technologies in the EU between 2021 to 2027 (EUR million) </w:t>
      </w:r>
    </w:p>
    <w:p w14:paraId="179629E2" w14:textId="77777777" w:rsidR="00394AD9" w:rsidRDefault="00CB015C" w:rsidP="00CB015C">
      <w:pPr>
        <w:rPr>
          <w:rFonts w:eastAsia="Times New Roman"/>
          <w:noProof/>
          <w:lang w:val="en-IE"/>
        </w:rPr>
      </w:pPr>
      <w:r w:rsidRPr="00702F59">
        <w:rPr>
          <w:noProof/>
          <w:lang w:val="en-IE"/>
        </w:rPr>
        <w:t xml:space="preserve">There is a </w:t>
      </w:r>
      <w:r w:rsidRPr="00702F59">
        <w:rPr>
          <w:b/>
          <w:bCs/>
          <w:noProof/>
          <w:lang w:val="en-IE"/>
        </w:rPr>
        <w:t>financing and investment gap in the latter stages of innovation, development and scaling up of companies</w:t>
      </w:r>
      <w:r w:rsidRPr="00702F59">
        <w:rPr>
          <w:noProof/>
          <w:lang w:val="en-IE"/>
        </w:rPr>
        <w:t>,</w:t>
      </w:r>
      <w:r w:rsidRPr="00702F59">
        <w:rPr>
          <w:rStyle w:val="FootnoteReference"/>
          <w:noProof/>
          <w:lang w:val="en-IE"/>
        </w:rPr>
        <w:footnoteReference w:id="43"/>
      </w:r>
      <w:r w:rsidRPr="00702F59">
        <w:rPr>
          <w:noProof/>
          <w:lang w:val="en-IE"/>
        </w:rPr>
        <w:t xml:space="preserve"> in strategic sectors essential for supporting the competitiveness of the EU economy</w:t>
      </w:r>
      <w:r w:rsidRPr="00702F59">
        <w:rPr>
          <w:noProof/>
          <w:vertAlign w:val="superscript"/>
          <w:lang w:val="en-IE"/>
        </w:rPr>
        <w:footnoteReference w:id="44"/>
      </w:r>
      <w:r w:rsidRPr="00702F59">
        <w:rPr>
          <w:noProof/>
          <w:lang w:val="en-IE"/>
        </w:rPr>
        <w:t xml:space="preserve">, including the </w:t>
      </w:r>
      <w:r w:rsidRPr="00702F59">
        <w:rPr>
          <w:b/>
          <w:bCs/>
          <w:noProof/>
          <w:lang w:val="en-IE"/>
        </w:rPr>
        <w:t>“valley of death” scaling-up problem</w:t>
      </w:r>
      <w:r w:rsidRPr="00702F59">
        <w:rPr>
          <w:noProof/>
          <w:vertAlign w:val="superscript"/>
          <w:lang w:val="en-IE"/>
        </w:rPr>
        <w:footnoteReference w:id="45"/>
      </w:r>
      <w:r w:rsidRPr="00702F59">
        <w:rPr>
          <w:noProof/>
          <w:lang w:val="en-IE"/>
        </w:rPr>
        <w:t>.</w:t>
      </w:r>
      <w:r w:rsidRPr="00702F59">
        <w:rPr>
          <w:rFonts w:eastAsia="Times New Roman"/>
          <w:noProof/>
          <w:lang w:val="en-IE"/>
        </w:rPr>
        <w:t xml:space="preserve"> </w:t>
      </w:r>
    </w:p>
    <w:p w14:paraId="48F549D9" w14:textId="77777777" w:rsidR="00394AD9" w:rsidRDefault="00394AD9" w:rsidP="00394AD9">
      <w:pPr>
        <w:rPr>
          <w:noProof/>
        </w:rPr>
      </w:pPr>
      <w:r w:rsidRPr="003401E5">
        <w:rPr>
          <w:noProof/>
        </w:rPr>
        <w:t>European startups often encounter two ‘valleys of death’ (Figure 1). The first occurs when innovations fail to become marketable products, while the second, particularly challenging in Europe, happens when companies struggle to scale</w:t>
      </w:r>
      <w:r>
        <w:rPr>
          <w:noProof/>
        </w:rPr>
        <w:t>.</w:t>
      </w:r>
      <w:r>
        <w:rPr>
          <w:rStyle w:val="FootnoteReference"/>
          <w:noProof/>
        </w:rPr>
        <w:footnoteReference w:id="46"/>
      </w:r>
      <w:r>
        <w:rPr>
          <w:noProof/>
        </w:rPr>
        <w:t xml:space="preserve"> </w:t>
      </w:r>
    </w:p>
    <w:p w14:paraId="051EE792" w14:textId="02D7CC30" w:rsidR="00394AD9" w:rsidRPr="00DE77B9" w:rsidRDefault="00394AD9" w:rsidP="00394AD9">
      <w:pPr>
        <w:pStyle w:val="Caption"/>
        <w:keepNext/>
        <w:rPr>
          <w:i w:val="0"/>
          <w:iCs w:val="0"/>
          <w:noProof/>
          <w:color w:val="auto"/>
          <w:sz w:val="20"/>
          <w:szCs w:val="20"/>
        </w:rPr>
      </w:pPr>
      <w:r w:rsidRPr="00E31FFC">
        <w:rPr>
          <w:noProof/>
        </w:rPr>
        <w:t xml:space="preserve">Figure </w:t>
      </w:r>
      <w:r w:rsidR="00213997" w:rsidRPr="00E31FFC">
        <w:rPr>
          <w:noProof/>
        </w:rPr>
        <w:t>2</w:t>
      </w:r>
      <w:r w:rsidRPr="00E31FFC">
        <w:rPr>
          <w:noProof/>
        </w:rPr>
        <w:t>: Simplified illustration of the startup double valley of death</w:t>
      </w:r>
      <w:r w:rsidR="00213997">
        <w:rPr>
          <w:rStyle w:val="FootnoteReference"/>
          <w:i w:val="0"/>
          <w:iCs w:val="0"/>
          <w:noProof/>
          <w:color w:val="auto"/>
          <w:sz w:val="20"/>
          <w:szCs w:val="20"/>
        </w:rPr>
        <w:footnoteReference w:id="47"/>
      </w:r>
    </w:p>
    <w:p w14:paraId="0DA6886F" w14:textId="77777777" w:rsidR="00394AD9" w:rsidRDefault="00394AD9" w:rsidP="00394AD9">
      <w:pPr>
        <w:rPr>
          <w:noProof/>
          <w:lang w:val="en-IE"/>
        </w:rPr>
      </w:pPr>
      <w:r>
        <w:rPr>
          <w:noProof/>
          <w:lang w:eastAsia="en-GB"/>
        </w:rPr>
        <w:drawing>
          <wp:inline distT="0" distB="0" distL="0" distR="0" wp14:anchorId="73EA5880" wp14:editId="00522150">
            <wp:extent cx="4889500" cy="2842992"/>
            <wp:effectExtent l="0" t="0" r="6350" b="0"/>
            <wp:docPr id="84204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4569" name=""/>
                    <pic:cNvPicPr/>
                  </pic:nvPicPr>
                  <pic:blipFill>
                    <a:blip r:embed="rId19"/>
                    <a:stretch>
                      <a:fillRect/>
                    </a:stretch>
                  </pic:blipFill>
                  <pic:spPr>
                    <a:xfrm>
                      <a:off x="0" y="0"/>
                      <a:ext cx="4897829" cy="2847835"/>
                    </a:xfrm>
                    <a:prstGeom prst="rect">
                      <a:avLst/>
                    </a:prstGeom>
                  </pic:spPr>
                </pic:pic>
              </a:graphicData>
            </a:graphic>
          </wp:inline>
        </w:drawing>
      </w:r>
    </w:p>
    <w:p w14:paraId="7EEE4617" w14:textId="248B85BB" w:rsidR="00CB015C" w:rsidRDefault="00CB015C" w:rsidP="00CB015C">
      <w:pPr>
        <w:rPr>
          <w:noProof/>
          <w:lang w:val="en-IE"/>
        </w:rPr>
      </w:pPr>
      <w:r w:rsidRPr="00702F59">
        <w:rPr>
          <w:rFonts w:eastAsia="Times New Roman"/>
          <w:noProof/>
          <w:lang w:val="en-IE"/>
        </w:rPr>
        <w:t>In the public consultation, 70% (N=1 367) of respondents outlined that one of the key challenges of competitiveness is insufficient innovation and manufacturing</w:t>
      </w:r>
      <w:r w:rsidRPr="01161804">
        <w:rPr>
          <w:rFonts w:eastAsia="Times New Roman"/>
          <w:noProof/>
          <w:lang w:val="en-IE"/>
        </w:rPr>
        <w:t xml:space="preserve"> capacity for strategic technologies. The EU’s </w:t>
      </w:r>
      <w:r w:rsidRPr="01161804">
        <w:rPr>
          <w:noProof/>
          <w:lang w:val="en-IE"/>
        </w:rPr>
        <w:t>fragmented and underdeveloped capital markets hinder the ability of promising firms to secure large private investments, often forcing them to seek funds outside the EU, which, in critical areas, puts Europe’s technological sovereignty at risk. In 2023, only 8% of all active unicorns</w:t>
      </w:r>
      <w:r>
        <w:rPr>
          <w:rStyle w:val="FootnoteReference"/>
          <w:noProof/>
          <w:lang w:val="en-IE"/>
        </w:rPr>
        <w:footnoteReference w:id="48"/>
      </w:r>
      <w:r w:rsidRPr="01161804">
        <w:rPr>
          <w:noProof/>
          <w:lang w:val="en-IE"/>
        </w:rPr>
        <w:t xml:space="preserve"> were based in the EU, compared to 66% based in the US and 26% in China.</w:t>
      </w:r>
      <w:r w:rsidRPr="002B20DE">
        <w:rPr>
          <w:noProof/>
          <w:vertAlign w:val="superscript"/>
          <w:lang w:val="en-IE"/>
        </w:rPr>
        <w:footnoteReference w:id="49"/>
      </w:r>
      <w:r w:rsidRPr="01161804">
        <w:rPr>
          <w:noProof/>
          <w:lang w:val="en-IE"/>
        </w:rPr>
        <w:t xml:space="preserve"> Currently, there is no EU company with a market capitalisation over EUR 100 billion that has been created from the ground up in the last 50 years, while in the US all six (tech) companies with a valuation above EUR 1 trillion have been created over this period. Despite some recent progress with a 5</w:t>
      </w:r>
      <w:r>
        <w:rPr>
          <w:noProof/>
          <w:lang w:val="en-IE"/>
        </w:rPr>
        <w:t>.</w:t>
      </w:r>
      <w:r w:rsidRPr="01161804">
        <w:rPr>
          <w:noProof/>
          <w:lang w:val="en-IE"/>
        </w:rPr>
        <w:t xml:space="preserve">6% growth in the number of unicorns during 2023, the disparity remains notable. </w:t>
      </w:r>
    </w:p>
    <w:p w14:paraId="4364B221" w14:textId="7AD45796" w:rsidR="009D6C16" w:rsidRPr="00702F59" w:rsidRDefault="009D6C16" w:rsidP="00603157">
      <w:pPr>
        <w:rPr>
          <w:noProof/>
        </w:rPr>
      </w:pPr>
      <w:r w:rsidRPr="00702F59" w:rsidDel="0006785E">
        <w:rPr>
          <w:b/>
          <w:bCs/>
          <w:noProof/>
        </w:rPr>
        <w:t xml:space="preserve">The lack of large-scale, seamless support across the stages of </w:t>
      </w:r>
      <w:r w:rsidRPr="00702F59">
        <w:rPr>
          <w:b/>
          <w:bCs/>
          <w:noProof/>
        </w:rPr>
        <w:t xml:space="preserve">research, </w:t>
      </w:r>
      <w:r w:rsidRPr="00702F59" w:rsidDel="0006785E">
        <w:rPr>
          <w:b/>
          <w:bCs/>
          <w:noProof/>
        </w:rPr>
        <w:t xml:space="preserve">technological </w:t>
      </w:r>
      <w:r w:rsidRPr="00702F59">
        <w:rPr>
          <w:b/>
          <w:bCs/>
          <w:noProof/>
        </w:rPr>
        <w:t xml:space="preserve">and industrial </w:t>
      </w:r>
      <w:r w:rsidRPr="00702F59" w:rsidDel="0006785E">
        <w:rPr>
          <w:b/>
          <w:bCs/>
          <w:noProof/>
        </w:rPr>
        <w:t>development</w:t>
      </w:r>
      <w:r w:rsidRPr="00702F59" w:rsidDel="0006785E">
        <w:rPr>
          <w:noProof/>
        </w:rPr>
        <w:t xml:space="preserve"> </w:t>
      </w:r>
      <w:r w:rsidRPr="00702F59" w:rsidDel="0006785E">
        <w:rPr>
          <w:b/>
          <w:bCs/>
          <w:noProof/>
        </w:rPr>
        <w:t xml:space="preserve">hampers the creation of </w:t>
      </w:r>
      <w:r w:rsidRPr="00702F59">
        <w:rPr>
          <w:b/>
          <w:bCs/>
          <w:noProof/>
        </w:rPr>
        <w:t xml:space="preserve">project </w:t>
      </w:r>
      <w:r w:rsidRPr="00702F59" w:rsidDel="0006785E">
        <w:rPr>
          <w:b/>
          <w:bCs/>
          <w:noProof/>
        </w:rPr>
        <w:t xml:space="preserve">pipelines in </w:t>
      </w:r>
      <w:r w:rsidRPr="00702F59">
        <w:rPr>
          <w:b/>
          <w:bCs/>
          <w:noProof/>
        </w:rPr>
        <w:t xml:space="preserve">multiple </w:t>
      </w:r>
      <w:r w:rsidRPr="00702F59" w:rsidDel="0006785E">
        <w:rPr>
          <w:b/>
          <w:bCs/>
          <w:noProof/>
        </w:rPr>
        <w:t>policy areas</w:t>
      </w:r>
      <w:r w:rsidRPr="00702F59">
        <w:rPr>
          <w:noProof/>
        </w:rPr>
        <w:t xml:space="preserve">. There are some positive examples of targeted connection between EU funds. For example, the Innovation Fund is connected with the Horizon Europe and EIC pipeline upstream and project development assistance to InvestEU downstream for selected projects, but </w:t>
      </w:r>
      <w:r w:rsidRPr="00702F59">
        <w:rPr>
          <w:b/>
          <w:bCs/>
          <w:noProof/>
        </w:rPr>
        <w:t xml:space="preserve">this remains limited. </w:t>
      </w:r>
      <w:r w:rsidRPr="00702F59">
        <w:rPr>
          <w:noProof/>
        </w:rPr>
        <w:t>In the public consultation, around half of respondents (</w:t>
      </w:r>
      <w:r w:rsidR="00FF3118" w:rsidRPr="00702F59">
        <w:rPr>
          <w:noProof/>
        </w:rPr>
        <w:t>50</w:t>
      </w:r>
      <w:r w:rsidRPr="00702F59">
        <w:rPr>
          <w:noProof/>
        </w:rPr>
        <w:t xml:space="preserve">%, or </w:t>
      </w:r>
      <w:r w:rsidR="00902EA2" w:rsidRPr="00702F59">
        <w:rPr>
          <w:noProof/>
        </w:rPr>
        <w:t>1 </w:t>
      </w:r>
      <w:r w:rsidR="00FF3118" w:rsidRPr="00702F59">
        <w:rPr>
          <w:noProof/>
        </w:rPr>
        <w:t>008</w:t>
      </w:r>
      <w:r w:rsidR="00902EA2" w:rsidRPr="00702F59">
        <w:rPr>
          <w:noProof/>
        </w:rPr>
        <w:t xml:space="preserve"> </w:t>
      </w:r>
      <w:r w:rsidRPr="00702F59">
        <w:rPr>
          <w:noProof/>
        </w:rPr>
        <w:t>respondents) found that improving continuity in EU funding from research to manufacturing could have a positive impact on competitiveness, with another 3</w:t>
      </w:r>
      <w:r w:rsidR="00F20F09" w:rsidRPr="00702F59">
        <w:rPr>
          <w:noProof/>
        </w:rPr>
        <w:t>7</w:t>
      </w:r>
      <w:r w:rsidRPr="00702F59">
        <w:rPr>
          <w:noProof/>
        </w:rPr>
        <w:t>% (N=</w:t>
      </w:r>
      <w:r w:rsidR="0092042B" w:rsidRPr="00702F59">
        <w:rPr>
          <w:noProof/>
        </w:rPr>
        <w:t xml:space="preserve">717 </w:t>
      </w:r>
      <w:r w:rsidRPr="00702F59">
        <w:rPr>
          <w:noProof/>
        </w:rPr>
        <w:t xml:space="preserve">respondents) saying that this could have some impact. </w:t>
      </w:r>
    </w:p>
    <w:p w14:paraId="09127FF2" w14:textId="0E802E0F" w:rsidR="009D6C16" w:rsidRPr="00702F59" w:rsidRDefault="009D6C16" w:rsidP="00603157">
      <w:pPr>
        <w:pStyle w:val="Heading3"/>
        <w:rPr>
          <w:noProof/>
        </w:rPr>
      </w:pPr>
      <w:r w:rsidRPr="00702F59">
        <w:rPr>
          <w:noProof/>
        </w:rPr>
        <w:t xml:space="preserve">Problem driver </w:t>
      </w:r>
      <w:r w:rsidR="00E22348" w:rsidRPr="00702F59">
        <w:rPr>
          <w:noProof/>
        </w:rPr>
        <w:t>2</w:t>
      </w:r>
      <w:r w:rsidRPr="00702F59">
        <w:rPr>
          <w:noProof/>
        </w:rPr>
        <w:t xml:space="preserve"> </w:t>
      </w:r>
      <w:r w:rsidR="009425F8">
        <w:rPr>
          <w:noProof/>
        </w:rPr>
        <w:t>I</w:t>
      </w:r>
      <w:r w:rsidRPr="00702F59">
        <w:rPr>
          <w:noProof/>
        </w:rPr>
        <w:t>nsufficient leverage of private investment</w:t>
      </w:r>
    </w:p>
    <w:p w14:paraId="4A9E6B91" w14:textId="7AD8F3D4" w:rsidR="009D6C16" w:rsidRPr="0087036A" w:rsidRDefault="76834CD4" w:rsidP="00603157">
      <w:pPr>
        <w:rPr>
          <w:noProof/>
        </w:rPr>
      </w:pPr>
      <w:r w:rsidRPr="01161804">
        <w:rPr>
          <w:noProof/>
          <w:lang w:val="en-IE"/>
        </w:rPr>
        <w:t xml:space="preserve">The huge gap in scale-up financing in the EU relative to the US is often attributed to a smaller capital market in Europe and a less developed venture capital (VC) sector. </w:t>
      </w:r>
      <w:r>
        <w:rPr>
          <w:noProof/>
        </w:rPr>
        <w:t>The US raised substantially higher level of VC (USD 932 billion) than the EU (USD 133 billion) over the entire period 2016-2024.</w:t>
      </w:r>
      <w:r w:rsidR="009D6C16" w:rsidRPr="006420B0">
        <w:rPr>
          <w:rStyle w:val="FootnoteReference"/>
          <w:noProof/>
        </w:rPr>
        <w:footnoteReference w:id="50"/>
      </w:r>
      <w:r>
        <w:rPr>
          <w:noProof/>
        </w:rPr>
        <w:t xml:space="preserve"> Furthermore, between 2016 and 2024, only 12 VC funds in the EU raised tickets above USD 1 billion, compared to 157 in the US.</w:t>
      </w:r>
      <w:r w:rsidR="009D6C16" w:rsidRPr="006420B0">
        <w:rPr>
          <w:rStyle w:val="FootnoteReference"/>
          <w:noProof/>
        </w:rPr>
        <w:footnoteReference w:id="51"/>
      </w:r>
      <w:r>
        <w:rPr>
          <w:noProof/>
        </w:rPr>
        <w:t xml:space="preserve"> The VC investment gap between the EU and the US is particularly pronounced for later-stage financing. In 2024, the EU’s performance was 84% lower than in the US for growth stage financing.</w:t>
      </w:r>
      <w:r w:rsidR="00075547">
        <w:rPr>
          <w:noProof/>
        </w:rPr>
        <w:t xml:space="preserve"> </w:t>
      </w:r>
      <w:r w:rsidR="00075547" w:rsidRPr="00F748AA">
        <w:rPr>
          <w:noProof/>
        </w:rPr>
        <w:t xml:space="preserve">China and the US </w:t>
      </w:r>
      <w:r w:rsidR="00075547">
        <w:rPr>
          <w:noProof/>
        </w:rPr>
        <w:t xml:space="preserve">also </w:t>
      </w:r>
      <w:r w:rsidR="00075547" w:rsidRPr="00F748AA">
        <w:rPr>
          <w:noProof/>
        </w:rPr>
        <w:t>have outpaced the EU in leveraging public R&amp;D investments into robust private sector funding</w:t>
      </w:r>
      <w:r w:rsidR="00075547">
        <w:rPr>
          <w:noProof/>
        </w:rPr>
        <w:t>.</w:t>
      </w:r>
      <w:r w:rsidR="00075547">
        <w:rPr>
          <w:noProof/>
          <w:lang w:val="en-IE"/>
        </w:rPr>
        <w:t xml:space="preserve"> The </w:t>
      </w:r>
      <w:r w:rsidR="00075547" w:rsidRPr="007709BA">
        <w:rPr>
          <w:b/>
          <w:bCs/>
          <w:noProof/>
          <w:lang w:val="en-IE"/>
        </w:rPr>
        <w:t xml:space="preserve">lag in </w:t>
      </w:r>
      <w:r w:rsidR="00075547" w:rsidRPr="007709BA">
        <w:rPr>
          <w:b/>
          <w:bCs/>
          <w:noProof/>
        </w:rPr>
        <w:t xml:space="preserve">private (R&amp;D) investments </w:t>
      </w:r>
      <w:r w:rsidR="00075547">
        <w:rPr>
          <w:noProof/>
        </w:rPr>
        <w:t xml:space="preserve">in the EU compared to the US and China, opened and increased simultaneously </w:t>
      </w:r>
      <w:r w:rsidR="00075547" w:rsidRPr="008E1D5A">
        <w:rPr>
          <w:noProof/>
        </w:rPr>
        <w:t xml:space="preserve">with the </w:t>
      </w:r>
      <w:r w:rsidR="00075547" w:rsidRPr="007709BA">
        <w:rPr>
          <w:b/>
          <w:bCs/>
          <w:noProof/>
        </w:rPr>
        <w:t>digital boom</w:t>
      </w:r>
      <w:r w:rsidR="00075547" w:rsidRPr="008E1D5A">
        <w:rPr>
          <w:noProof/>
        </w:rPr>
        <w:t xml:space="preserve"> and the rise of enterprises</w:t>
      </w:r>
      <w:r w:rsidR="00075547">
        <w:rPr>
          <w:noProof/>
        </w:rPr>
        <w:t xml:space="preserve"> - </w:t>
      </w:r>
      <w:r w:rsidR="00075547" w:rsidRPr="008E1D5A">
        <w:rPr>
          <w:noProof/>
        </w:rPr>
        <w:t>primarily from the US and China</w:t>
      </w:r>
      <w:r w:rsidR="00075547">
        <w:rPr>
          <w:noProof/>
        </w:rPr>
        <w:t xml:space="preserve"> - </w:t>
      </w:r>
      <w:r w:rsidR="00075547" w:rsidRPr="008E1D5A">
        <w:rPr>
          <w:noProof/>
        </w:rPr>
        <w:t>in the digital sector that heavily invest in R&amp;D</w:t>
      </w:r>
      <w:r w:rsidR="00075547">
        <w:rPr>
          <w:noProof/>
        </w:rPr>
        <w:t>.</w:t>
      </w:r>
      <w:r w:rsidR="00075547">
        <w:rPr>
          <w:rStyle w:val="FootnoteReference"/>
          <w:noProof/>
        </w:rPr>
        <w:footnoteReference w:id="52"/>
      </w:r>
    </w:p>
    <w:p w14:paraId="471E72F6" w14:textId="648BA517" w:rsidR="00464D7A" w:rsidRDefault="219CF26B" w:rsidP="00464D7A">
      <w:pPr>
        <w:rPr>
          <w:b/>
          <w:bCs/>
          <w:noProof/>
          <w:lang w:val="en-IE"/>
        </w:rPr>
      </w:pPr>
      <w:r w:rsidRPr="6DF66FF6">
        <w:rPr>
          <w:b/>
          <w:bCs/>
          <w:noProof/>
          <w:lang w:val="en-IE"/>
        </w:rPr>
        <w:t>M</w:t>
      </w:r>
      <w:r w:rsidR="18CE176D" w:rsidRPr="6DF66FF6">
        <w:rPr>
          <w:b/>
          <w:bCs/>
          <w:noProof/>
          <w:lang w:val="en-IE"/>
        </w:rPr>
        <w:t>obilising</w:t>
      </w:r>
      <w:r w:rsidR="18CE176D" w:rsidRPr="1A3D139A">
        <w:rPr>
          <w:b/>
          <w:bCs/>
          <w:noProof/>
          <w:lang w:val="en-IE"/>
        </w:rPr>
        <w:t xml:space="preserve"> private </w:t>
      </w:r>
      <w:r w:rsidR="523CE589" w:rsidRPr="6DF66FF6">
        <w:rPr>
          <w:b/>
          <w:bCs/>
          <w:noProof/>
          <w:lang w:val="en-IE"/>
        </w:rPr>
        <w:t>funding</w:t>
      </w:r>
      <w:r w:rsidR="18CE176D" w:rsidRPr="1A3D139A">
        <w:rPr>
          <w:b/>
          <w:bCs/>
          <w:noProof/>
          <w:lang w:val="en-IE"/>
        </w:rPr>
        <w:t xml:space="preserve"> </w:t>
      </w:r>
      <w:r w:rsidR="2CE31937" w:rsidRPr="02B986DE">
        <w:rPr>
          <w:b/>
          <w:bCs/>
          <w:noProof/>
          <w:lang w:val="en-IE"/>
        </w:rPr>
        <w:t>a</w:t>
      </w:r>
      <w:r w:rsidR="1815CDD4" w:rsidRPr="02B986DE">
        <w:rPr>
          <w:b/>
          <w:bCs/>
          <w:noProof/>
          <w:lang w:val="en-IE"/>
        </w:rPr>
        <w:t>t</w:t>
      </w:r>
      <w:r w:rsidR="18CE176D" w:rsidRPr="1A3D139A">
        <w:rPr>
          <w:b/>
          <w:bCs/>
          <w:noProof/>
          <w:lang w:val="en-IE"/>
        </w:rPr>
        <w:t xml:space="preserve"> necessary levels continues to be challenging </w:t>
      </w:r>
      <w:r w:rsidR="0DB75D26" w:rsidRPr="379DDE05">
        <w:rPr>
          <w:b/>
          <w:bCs/>
          <w:noProof/>
          <w:lang w:val="en-IE"/>
        </w:rPr>
        <w:t xml:space="preserve">across the EU. </w:t>
      </w:r>
      <w:r w:rsidR="00464D7A" w:rsidRPr="007709BA">
        <w:rPr>
          <w:noProof/>
        </w:rPr>
        <w:t>One reason is the high degree of fragmentation of the EU’s smaller capital pools across national borders. Institutional investors in the EU appear to be driven to some degree by a home-country bias when making investment decisions. This can be due to unfamiliarity with foreign V</w:t>
      </w:r>
      <w:r w:rsidR="00464D7A">
        <w:rPr>
          <w:noProof/>
        </w:rPr>
        <w:t>enture</w:t>
      </w:r>
      <w:r w:rsidR="00A606D2">
        <w:rPr>
          <w:noProof/>
        </w:rPr>
        <w:t xml:space="preserve"> </w:t>
      </w:r>
      <w:r w:rsidR="00464D7A" w:rsidRPr="007709BA">
        <w:rPr>
          <w:noProof/>
        </w:rPr>
        <w:t>C</w:t>
      </w:r>
      <w:r w:rsidR="00A606D2">
        <w:rPr>
          <w:noProof/>
        </w:rPr>
        <w:t>apital</w:t>
      </w:r>
      <w:r w:rsidR="00464D7A" w:rsidRPr="007709BA">
        <w:rPr>
          <w:noProof/>
        </w:rPr>
        <w:t xml:space="preserve"> firms or unwillingness to sustain the necessary screening costs and due diligence practices</w:t>
      </w:r>
      <w:r w:rsidR="00464D7A">
        <w:rPr>
          <w:noProof/>
        </w:rPr>
        <w:t>. This f</w:t>
      </w:r>
      <w:r w:rsidR="00464D7A" w:rsidRPr="00446530">
        <w:rPr>
          <w:noProof/>
        </w:rPr>
        <w:t>ragmentation</w:t>
      </w:r>
      <w:r w:rsidR="00464D7A">
        <w:rPr>
          <w:noProof/>
        </w:rPr>
        <w:t xml:space="preserve">, coupled with </w:t>
      </w:r>
      <w:r w:rsidR="00464D7A" w:rsidRPr="00446530">
        <w:rPr>
          <w:noProof/>
        </w:rPr>
        <w:t>lower growth perspectives push innovative companies to seek financing outside Europe</w:t>
      </w:r>
      <w:r w:rsidR="00464D7A">
        <w:rPr>
          <w:noProof/>
        </w:rPr>
        <w:t>.</w:t>
      </w:r>
      <w:r w:rsidR="00464D7A">
        <w:rPr>
          <w:rStyle w:val="FootnoteReference"/>
          <w:noProof/>
        </w:rPr>
        <w:footnoteReference w:id="53"/>
      </w:r>
    </w:p>
    <w:p w14:paraId="79205F96" w14:textId="762D30B7" w:rsidR="009D6C16" w:rsidRDefault="1E6BD8ED" w:rsidP="00603157">
      <w:pPr>
        <w:rPr>
          <w:noProof/>
          <w:highlight w:val="yellow"/>
        </w:rPr>
      </w:pPr>
      <w:r w:rsidRPr="02B986DE">
        <w:rPr>
          <w:b/>
          <w:bCs/>
          <w:noProof/>
          <w:lang w:val="en-IE"/>
        </w:rPr>
        <w:t>A</w:t>
      </w:r>
      <w:r w:rsidR="18CE176D" w:rsidRPr="1A3D139A">
        <w:rPr>
          <w:b/>
          <w:bCs/>
          <w:noProof/>
          <w:lang w:val="en-IE"/>
        </w:rPr>
        <w:t xml:space="preserve"> number of </w:t>
      </w:r>
      <w:r w:rsidR="6DAAC14D" w:rsidRPr="1A3D139A">
        <w:rPr>
          <w:b/>
          <w:bCs/>
          <w:noProof/>
          <w:lang w:val="en-IE"/>
        </w:rPr>
        <w:t>measures</w:t>
      </w:r>
      <w:r w:rsidR="009D6C16" w:rsidRPr="2437213A">
        <w:rPr>
          <w:b/>
          <w:bCs/>
          <w:noProof/>
          <w:lang w:val="en-IE"/>
        </w:rPr>
        <w:t xml:space="preserve"> </w:t>
      </w:r>
      <w:r w:rsidR="009D6C16" w:rsidRPr="393C1DFC">
        <w:rPr>
          <w:b/>
          <w:bCs/>
          <w:noProof/>
          <w:lang w:val="en-IE"/>
        </w:rPr>
        <w:t>aimed at encouraging private sector engagement</w:t>
      </w:r>
      <w:r w:rsidR="0A2CE69B" w:rsidRPr="2437213A">
        <w:rPr>
          <w:b/>
          <w:bCs/>
          <w:noProof/>
          <w:lang w:val="en-IE"/>
        </w:rPr>
        <w:t xml:space="preserve"> </w:t>
      </w:r>
      <w:r w:rsidR="73FC2523" w:rsidRPr="4639619F">
        <w:rPr>
          <w:b/>
          <w:bCs/>
          <w:noProof/>
          <w:lang w:val="en-IE"/>
        </w:rPr>
        <w:t xml:space="preserve">are identified </w:t>
      </w:r>
      <w:r w:rsidR="22CB306E" w:rsidRPr="4639619F">
        <w:rPr>
          <w:b/>
          <w:bCs/>
          <w:noProof/>
          <w:lang w:val="en-IE"/>
        </w:rPr>
        <w:t>in t</w:t>
      </w:r>
      <w:r w:rsidR="00CA41CA">
        <w:rPr>
          <w:b/>
          <w:bCs/>
          <w:noProof/>
          <w:lang w:val="en-IE"/>
        </w:rPr>
        <w:t>h</w:t>
      </w:r>
      <w:r w:rsidR="0A2CE69B" w:rsidRPr="4639619F">
        <w:rPr>
          <w:b/>
          <w:bCs/>
          <w:noProof/>
          <w:lang w:val="en-IE"/>
        </w:rPr>
        <w:t>e</w:t>
      </w:r>
      <w:r w:rsidR="0A2CE69B" w:rsidRPr="2437213A">
        <w:rPr>
          <w:b/>
          <w:bCs/>
          <w:noProof/>
          <w:lang w:val="en-IE"/>
        </w:rPr>
        <w:t xml:space="preserve"> Strategy for Savings and Investment adopted in March 2025</w:t>
      </w:r>
      <w:r w:rsidR="009D6C16" w:rsidRPr="393C1DFC">
        <w:rPr>
          <w:noProof/>
          <w:lang w:val="en-IE"/>
        </w:rPr>
        <w:t xml:space="preserve">. </w:t>
      </w:r>
      <w:r w:rsidR="009D6C16" w:rsidRPr="005B4368">
        <w:rPr>
          <w:noProof/>
        </w:rPr>
        <w:t xml:space="preserve">Positive experiences include the EU programmes such as InvestEU (with 67.4% of its total investment mobilised coming from the private sector), </w:t>
      </w:r>
      <w:r w:rsidR="009D6C16" w:rsidRPr="008E3A44">
        <w:rPr>
          <w:noProof/>
        </w:rPr>
        <w:t>throug</w:t>
      </w:r>
      <w:r w:rsidR="009D6C16">
        <w:rPr>
          <w:noProof/>
        </w:rPr>
        <w:t xml:space="preserve">h which the EU budget aims at de-risking innovative projects and crowds in private sector investments using for example EU guarantees and equity. Novel financial mechanisms are considered to crowd-in private capital in sectors facing market failures (e.g., nature credits for nature </w:t>
      </w:r>
      <w:r w:rsidR="008E3A44">
        <w:rPr>
          <w:noProof/>
        </w:rPr>
        <w:t>restoration) or</w:t>
      </w:r>
      <w:r w:rsidR="009D6C16">
        <w:rPr>
          <w:noProof/>
        </w:rPr>
        <w:t xml:space="preserve"> to intervene when businesses in critical areas for EU’s economic security are at risk.</w:t>
      </w:r>
    </w:p>
    <w:p w14:paraId="6A0002A3" w14:textId="013AC5FD" w:rsidR="009D6C16" w:rsidRPr="005977A9" w:rsidRDefault="76834CD4" w:rsidP="00603157">
      <w:pPr>
        <w:rPr>
          <w:noProof/>
          <w:lang w:val="en-US"/>
        </w:rPr>
      </w:pPr>
      <w:r w:rsidRPr="01161804">
        <w:rPr>
          <w:b/>
          <w:bCs/>
          <w:noProof/>
          <w:lang w:val="en-US"/>
        </w:rPr>
        <w:t>Joint Undertakings (JUs) and other public private partnerships (PPPs)</w:t>
      </w:r>
      <w:r w:rsidRPr="01161804">
        <w:rPr>
          <w:noProof/>
          <w:lang w:val="en-US"/>
        </w:rPr>
        <w:t xml:space="preserve"> also leverage and pool resources, notably from industry. In the area of semiconductors, the Chips JU will raise EUR 11 billion in R&amp;I investment until 2030. However, the leverage across the large number of partnerships and JUs is highly variable and not always sufficient.</w:t>
      </w:r>
      <w:r w:rsidR="009D6C16" w:rsidRPr="4947ADCE">
        <w:rPr>
          <w:noProof/>
          <w:vertAlign w:val="superscript"/>
          <w:lang w:val="en-US"/>
        </w:rPr>
        <w:footnoteReference w:id="54"/>
      </w:r>
      <w:r w:rsidRPr="01161804">
        <w:rPr>
          <w:noProof/>
          <w:lang w:val="en-US"/>
        </w:rPr>
        <w:t xml:space="preserve"> </w:t>
      </w:r>
      <w:r w:rsidRPr="01161804">
        <w:rPr>
          <w:b/>
          <w:bCs/>
          <w:noProof/>
          <w:lang w:val="en-US"/>
        </w:rPr>
        <w:t>Public procurement</w:t>
      </w:r>
      <w:r w:rsidRPr="01161804">
        <w:rPr>
          <w:noProof/>
          <w:lang w:val="en-US"/>
        </w:rPr>
        <w:t xml:space="preserve">, which </w:t>
      </w:r>
      <w:r w:rsidRPr="01161804">
        <w:rPr>
          <w:rFonts w:eastAsia="Aptos"/>
          <w:noProof/>
        </w:rPr>
        <w:t>accounts for approximately 14% of the EU GDP</w:t>
      </w:r>
      <w:r w:rsidR="009D6C16">
        <w:rPr>
          <w:rStyle w:val="FootnoteReference"/>
          <w:rFonts w:eastAsia="Aptos"/>
          <w:noProof/>
        </w:rPr>
        <w:footnoteReference w:id="55"/>
      </w:r>
      <w:r w:rsidRPr="01161804">
        <w:rPr>
          <w:rFonts w:eastAsia="Aptos"/>
          <w:noProof/>
        </w:rPr>
        <w:t>, is one of the tools to channel public investment towards shaping the future of the European economy in support of objectives, such as green transition and resilience of the EU economy, but its implementation can be challenging</w:t>
      </w:r>
      <w:r w:rsidR="009D6C16">
        <w:rPr>
          <w:rStyle w:val="FootnoteReference"/>
          <w:rFonts w:eastAsia="Aptos"/>
          <w:noProof/>
        </w:rPr>
        <w:footnoteReference w:id="56"/>
      </w:r>
      <w:r w:rsidRPr="01161804">
        <w:rPr>
          <w:rFonts w:eastAsia="Aptos"/>
          <w:noProof/>
        </w:rPr>
        <w:t>. Governments can support innovative companies to overcome classic market failures, by finding initial customers for their products and services</w:t>
      </w:r>
      <w:r w:rsidR="009D6C16">
        <w:rPr>
          <w:rStyle w:val="FootnoteReference"/>
          <w:rFonts w:eastAsia="Aptos"/>
          <w:noProof/>
        </w:rPr>
        <w:footnoteReference w:id="57"/>
      </w:r>
      <w:r w:rsidRPr="01161804">
        <w:rPr>
          <w:rFonts w:eastAsia="Aptos"/>
          <w:noProof/>
        </w:rPr>
        <w:t xml:space="preserve">. </w:t>
      </w:r>
    </w:p>
    <w:p w14:paraId="1D721EE1" w14:textId="47A2177E" w:rsidR="009D6C16" w:rsidRDefault="00E7683F" w:rsidP="00603157">
      <w:pPr>
        <w:rPr>
          <w:rFonts w:eastAsia="Times New Roman"/>
          <w:noProof/>
          <w:color w:val="000000" w:themeColor="text1"/>
          <w:lang w:val="en-IE"/>
        </w:rPr>
      </w:pPr>
      <w:r>
        <w:rPr>
          <w:bCs/>
          <w:noProof/>
        </w:rPr>
        <w:t xml:space="preserve">The insufficient leverage of private investment is reinforced by the risk-averse tendency of European funders. Innovation, and R&amp;D in particular, is by nature high-risk with a heightened degree of unpredictability. </w:t>
      </w:r>
      <w:r w:rsidRPr="00457C80">
        <w:rPr>
          <w:bCs/>
          <w:noProof/>
        </w:rPr>
        <w:t xml:space="preserve">Market failures arise when private funders underinvest in projects with high potential returns due to the uncertainty surrounding their outcomes. Public intervention is required to mitigate the risk and encourage private investors to invest in innovative projects, to levels </w:t>
      </w:r>
      <w:r>
        <w:rPr>
          <w:bCs/>
          <w:noProof/>
        </w:rPr>
        <w:t>that can drive</w:t>
      </w:r>
      <w:r w:rsidRPr="00457C80">
        <w:rPr>
          <w:bCs/>
          <w:noProof/>
        </w:rPr>
        <w:t xml:space="preserve"> EU competitiveness. </w:t>
      </w:r>
      <w:r w:rsidR="76834CD4" w:rsidRPr="006B1391">
        <w:rPr>
          <w:b/>
          <w:noProof/>
        </w:rPr>
        <w:t>The Draghi Report shows that the capacity of the EU budget to mobilise private investment through risk-sharing instruments is hampered by limited appetite for risk as implementing partners remain mostly focused on relatively low-risk investment</w:t>
      </w:r>
      <w:r w:rsidR="76834CD4">
        <w:rPr>
          <w:noProof/>
        </w:rPr>
        <w:t>.</w:t>
      </w:r>
      <w:r w:rsidR="009D6C16">
        <w:rPr>
          <w:rStyle w:val="FootnoteReference"/>
          <w:noProof/>
        </w:rPr>
        <w:footnoteReference w:id="58"/>
      </w:r>
      <w:r w:rsidR="76834CD4" w:rsidRPr="01161804">
        <w:rPr>
          <w:noProof/>
          <w:lang w:val="en-IE"/>
        </w:rPr>
        <w:t xml:space="preserve"> There is scope to improve the capacity of the EU budget to</w:t>
      </w:r>
      <w:r w:rsidR="76834CD4">
        <w:rPr>
          <w:noProof/>
        </w:rPr>
        <w:t xml:space="preserve"> complement and attract private investments (for example from institutional investors, patient capital and venture capital) into innovation and fast-growing companies. </w:t>
      </w:r>
      <w:r w:rsidR="76834CD4" w:rsidRPr="01161804">
        <w:rPr>
          <w:noProof/>
          <w:lang w:val="en-IE"/>
        </w:rPr>
        <w:t>Even if some funding instruments support beneficiaries in bringing research results to the market, projects often struggle to access adequate funding for the next investment steps of market deployment.</w:t>
      </w:r>
      <w:r w:rsidR="76834CD4" w:rsidRPr="01161804">
        <w:rPr>
          <w:rFonts w:eastAsia="Times New Roman"/>
          <w:noProof/>
          <w:color w:val="000000" w:themeColor="text1"/>
          <w:lang w:val="en-IE"/>
        </w:rPr>
        <w:t xml:space="preserve"> </w:t>
      </w:r>
    </w:p>
    <w:p w14:paraId="77CBC007" w14:textId="1929C4E0" w:rsidR="00DD3021" w:rsidRDefault="00DD3021" w:rsidP="00603157">
      <w:pPr>
        <w:rPr>
          <w:rFonts w:eastAsia="Times New Roman"/>
          <w:noProof/>
          <w:color w:val="000000" w:themeColor="text1"/>
          <w:lang w:val="en-IE"/>
        </w:rPr>
      </w:pPr>
      <w:r>
        <w:rPr>
          <w:noProof/>
        </w:rPr>
        <w:t>Leveraging more private funding through p</w:t>
      </w:r>
      <w:r w:rsidRPr="00DD0F11">
        <w:rPr>
          <w:noProof/>
        </w:rPr>
        <w:t xml:space="preserve">ublic intervention is </w:t>
      </w:r>
      <w:r>
        <w:rPr>
          <w:noProof/>
        </w:rPr>
        <w:t xml:space="preserve">also </w:t>
      </w:r>
      <w:r w:rsidRPr="00DD0F11">
        <w:rPr>
          <w:noProof/>
        </w:rPr>
        <w:t xml:space="preserve">needed to address </w:t>
      </w:r>
      <w:r>
        <w:rPr>
          <w:noProof/>
        </w:rPr>
        <w:t xml:space="preserve">the </w:t>
      </w:r>
      <w:r w:rsidRPr="00DD0F11">
        <w:rPr>
          <w:noProof/>
        </w:rPr>
        <w:t xml:space="preserve">positive externalities of innovation </w:t>
      </w:r>
      <w:r>
        <w:rPr>
          <w:noProof/>
        </w:rPr>
        <w:t>investments.</w:t>
      </w:r>
      <w:r w:rsidRPr="00DD0F11">
        <w:rPr>
          <w:noProof/>
        </w:rPr>
        <w:t xml:space="preserve"> </w:t>
      </w:r>
      <w:r>
        <w:rPr>
          <w:noProof/>
        </w:rPr>
        <w:t>T</w:t>
      </w:r>
      <w:r w:rsidRPr="00DD0F11">
        <w:rPr>
          <w:noProof/>
        </w:rPr>
        <w:t>he social benefits of these activities often exceed the private benefits that can be captured by the innovator</w:t>
      </w:r>
      <w:r>
        <w:rPr>
          <w:noProof/>
        </w:rPr>
        <w:t xml:space="preserve">, as they generate </w:t>
      </w:r>
      <w:r w:rsidRPr="00552998">
        <w:rPr>
          <w:noProof/>
        </w:rPr>
        <w:t>spillovers, such as new knowledge, that can benefit other firms and society as a whole</w:t>
      </w:r>
      <w:r>
        <w:rPr>
          <w:noProof/>
        </w:rPr>
        <w:t>.</w:t>
      </w:r>
    </w:p>
    <w:p w14:paraId="3E175449" w14:textId="25249F44" w:rsidR="009D6C16" w:rsidRDefault="76834CD4" w:rsidP="00603157">
      <w:pPr>
        <w:rPr>
          <w:noProof/>
          <w:lang w:val="en-IE"/>
        </w:rPr>
      </w:pPr>
      <w:r w:rsidRPr="01161804">
        <w:rPr>
          <w:rFonts w:eastAsia="Times New Roman"/>
          <w:noProof/>
        </w:rPr>
        <w:t>For example, quantum technologies are nearing practical application across various sectors, but while the EU houses 25% of global quantum companies, these are</w:t>
      </w:r>
      <w:r w:rsidR="044ACA29" w:rsidRPr="01161804">
        <w:rPr>
          <w:rFonts w:eastAsia="Times New Roman"/>
          <w:noProof/>
        </w:rPr>
        <w:t xml:space="preserve"> </w:t>
      </w:r>
      <w:r w:rsidRPr="01161804">
        <w:rPr>
          <w:rFonts w:eastAsia="Times New Roman"/>
          <w:noProof/>
        </w:rPr>
        <w:t>receiving less than 5% of worldwide funding, threatening their growth and EU leadership in the field.</w:t>
      </w:r>
      <w:r w:rsidR="009D6C16">
        <w:rPr>
          <w:rStyle w:val="FootnoteReference"/>
          <w:rFonts w:eastAsia="Times New Roman"/>
          <w:noProof/>
        </w:rPr>
        <w:footnoteReference w:id="59"/>
      </w:r>
      <w:r w:rsidRPr="01161804">
        <w:rPr>
          <w:rFonts w:eastAsia="Times New Roman"/>
          <w:noProof/>
        </w:rPr>
        <w:t xml:space="preserve"> Inadequate funding also hampers progress in sustainable fuels for aviation and maritime</w:t>
      </w:r>
      <w:r w:rsidR="00DE05BB">
        <w:rPr>
          <w:rStyle w:val="FootnoteReference"/>
          <w:rFonts w:eastAsia="Times New Roman"/>
          <w:noProof/>
        </w:rPr>
        <w:footnoteReference w:id="60"/>
      </w:r>
      <w:r w:rsidRPr="01161804">
        <w:rPr>
          <w:rFonts w:eastAsia="Times New Roman"/>
          <w:noProof/>
        </w:rPr>
        <w:t>, drug and vaccine development, and antimicrobial innovation</w:t>
      </w:r>
      <w:r w:rsidR="001E0CC9">
        <w:rPr>
          <w:rStyle w:val="FootnoteReference"/>
          <w:rFonts w:eastAsia="Times New Roman"/>
          <w:noProof/>
        </w:rPr>
        <w:footnoteReference w:id="61"/>
      </w:r>
      <w:r w:rsidRPr="01161804">
        <w:rPr>
          <w:rFonts w:eastAsia="Times New Roman"/>
          <w:noProof/>
        </w:rPr>
        <w:t xml:space="preserve">, leading to project abandonment and limited approvals. </w:t>
      </w:r>
    </w:p>
    <w:p w14:paraId="2009575A" w14:textId="642682C4" w:rsidR="009D6C16" w:rsidRPr="0060662D" w:rsidRDefault="76834CD4" w:rsidP="00603157">
      <w:pPr>
        <w:rPr>
          <w:noProof/>
          <w:lang w:val="en-IE"/>
        </w:rPr>
      </w:pPr>
      <w:r w:rsidRPr="01161804">
        <w:rPr>
          <w:noProof/>
          <w:lang w:val="en-IE"/>
        </w:rPr>
        <w:t>Europe faces a debt financing gap for new SME financing of more than EUR 28 billion annually, present in every Member State albeit at a different order of magnitude..</w:t>
      </w:r>
      <w:r w:rsidR="009D6C16" w:rsidRPr="0060662D">
        <w:rPr>
          <w:noProof/>
          <w:vertAlign w:val="superscript"/>
          <w:lang w:val="en-IE"/>
        </w:rPr>
        <w:footnoteReference w:id="62"/>
      </w:r>
      <w:r w:rsidRPr="01161804">
        <w:rPr>
          <w:noProof/>
          <w:lang w:val="en-IE"/>
        </w:rPr>
        <w:t xml:space="preserve"> These financing gaps are observed, despite the fact that significant efforts are undertaken at EU level. The severity of the financing gap and market failure necessitates structured support to SMEs.</w:t>
      </w:r>
    </w:p>
    <w:p w14:paraId="2F21A50A" w14:textId="374F7066" w:rsidR="00E04E8B" w:rsidRPr="00B03DD3" w:rsidRDefault="00E04E8B" w:rsidP="00603157">
      <w:pPr>
        <w:pStyle w:val="Heading3"/>
        <w:rPr>
          <w:noProof/>
        </w:rPr>
      </w:pPr>
      <w:r w:rsidRPr="00B03DD3">
        <w:rPr>
          <w:noProof/>
        </w:rPr>
        <w:t xml:space="preserve">Problem driver </w:t>
      </w:r>
      <w:r>
        <w:rPr>
          <w:noProof/>
        </w:rPr>
        <w:t>3</w:t>
      </w:r>
      <w:r w:rsidRPr="00B03DD3">
        <w:rPr>
          <w:noProof/>
        </w:rPr>
        <w:t xml:space="preserve"> Complexity to access, mobilise and implement EU funding for beneficiaries </w:t>
      </w:r>
    </w:p>
    <w:p w14:paraId="63008AA9" w14:textId="6A97178E" w:rsidR="00E04E8B" w:rsidRPr="004E701B" w:rsidRDefault="6088BC98" w:rsidP="00603157">
      <w:pPr>
        <w:spacing w:before="240"/>
        <w:rPr>
          <w:rFonts w:eastAsia="Calibri"/>
          <w:noProof/>
          <w:lang w:val="en-IE"/>
        </w:rPr>
      </w:pPr>
      <w:r w:rsidRPr="01161804">
        <w:rPr>
          <w:rFonts w:eastAsia="Calibri"/>
          <w:noProof/>
          <w:lang w:val="en-IE"/>
        </w:rPr>
        <w:t xml:space="preserve">The complex EU’s funding landscape for competitiveness poses significant hurdles for applicants and </w:t>
      </w:r>
      <w:r w:rsidRPr="00702F59">
        <w:rPr>
          <w:rFonts w:eastAsia="Calibri"/>
          <w:noProof/>
          <w:lang w:val="en-IE"/>
        </w:rPr>
        <w:t>beneficiaries, particularly for smaller entities like SMEs and start-ups</w:t>
      </w:r>
      <w:r w:rsidR="7765A77C" w:rsidRPr="00702F59">
        <w:rPr>
          <w:rFonts w:eastAsia="Calibri"/>
          <w:noProof/>
          <w:lang w:val="en-IE"/>
        </w:rPr>
        <w:t>.</w:t>
      </w:r>
      <w:r w:rsidR="00E04E8B" w:rsidRPr="00702F59">
        <w:rPr>
          <w:rStyle w:val="FootnoteReference"/>
          <w:rFonts w:eastAsia="Calibri"/>
          <w:noProof/>
          <w:lang w:val="en-IE"/>
        </w:rPr>
        <w:footnoteReference w:id="63"/>
      </w:r>
      <w:r w:rsidR="008E08C4" w:rsidRPr="00702F59">
        <w:rPr>
          <w:noProof/>
        </w:rPr>
        <w:t xml:space="preserve"> </w:t>
      </w:r>
      <w:r w:rsidR="002E07FE" w:rsidRPr="00702F59">
        <w:rPr>
          <w:rFonts w:eastAsia="Times New Roman"/>
          <w:noProof/>
        </w:rPr>
        <w:t>Some</w:t>
      </w:r>
      <w:r w:rsidR="201C6370" w:rsidRPr="00702F59">
        <w:rPr>
          <w:rFonts w:eastAsia="Times New Roman"/>
          <w:noProof/>
        </w:rPr>
        <w:t xml:space="preserve"> views</w:t>
      </w:r>
      <w:r w:rsidR="00461B26" w:rsidRPr="05C4514A">
        <w:rPr>
          <w:rFonts w:eastAsia="Times New Roman"/>
          <w:noProof/>
        </w:rPr>
        <w:t xml:space="preserve"> from the open public consultation</w:t>
      </w:r>
      <w:r w:rsidR="201C6370" w:rsidRPr="00702F59">
        <w:rPr>
          <w:rFonts w:eastAsia="Times New Roman"/>
          <w:noProof/>
        </w:rPr>
        <w:t xml:space="preserve"> reflect the </w:t>
      </w:r>
      <w:r w:rsidR="201C6370" w:rsidRPr="00702F59">
        <w:rPr>
          <w:rFonts w:eastAsia="Times New Roman"/>
          <w:b/>
          <w:bCs/>
          <w:noProof/>
        </w:rPr>
        <w:t>complexity involved in accessing, mobilising, and implementing EU funding for beneficiaries</w:t>
      </w:r>
      <w:r w:rsidR="201C6370" w:rsidRPr="00702F59">
        <w:rPr>
          <w:rFonts w:eastAsia="Times New Roman"/>
          <w:noProof/>
        </w:rPr>
        <w:t>,</w:t>
      </w:r>
      <w:r w:rsidR="201C6370" w:rsidRPr="00702F59">
        <w:rPr>
          <w:rFonts w:eastAsia="Times New Roman"/>
          <w:b/>
          <w:bCs/>
          <w:noProof/>
        </w:rPr>
        <w:t xml:space="preserve"> </w:t>
      </w:r>
      <w:r w:rsidR="201C6370" w:rsidRPr="00702F59">
        <w:rPr>
          <w:rFonts w:eastAsia="Times New Roman"/>
          <w:noProof/>
        </w:rPr>
        <w:t>particularly due to fragmented programme structures, varying criteria and requirements, and administrative burdens.</w:t>
      </w:r>
      <w:r w:rsidR="00463482" w:rsidRPr="05C4514A">
        <w:rPr>
          <w:rFonts w:eastAsia="Times New Roman"/>
          <w:noProof/>
        </w:rPr>
        <w:t xml:space="preserve"> </w:t>
      </w:r>
      <w:r w:rsidR="008E08C4" w:rsidRPr="00702F59">
        <w:rPr>
          <w:rFonts w:eastAsia="Calibri"/>
          <w:noProof/>
          <w:lang w:val="en-IE"/>
        </w:rPr>
        <w:t>In open-text responses on challenges in the funding process, respondents frequently noted that lengthy evaluation timelines, unclear call descriptions</w:t>
      </w:r>
      <w:r w:rsidR="008E08C4" w:rsidRPr="008E08C4">
        <w:rPr>
          <w:rFonts w:eastAsia="Calibri"/>
          <w:noProof/>
          <w:lang w:val="en-IE"/>
        </w:rPr>
        <w:t>, and a lack of transparency create inefficiencies and discourage participation – particularly for SMEs (who were, on average, least satisfied with the funding process) and newcomers</w:t>
      </w:r>
      <w:r w:rsidR="002F0D29">
        <w:rPr>
          <w:rFonts w:eastAsia="Calibri"/>
          <w:noProof/>
          <w:lang w:val="en-IE"/>
        </w:rPr>
        <w:t xml:space="preserve">. </w:t>
      </w:r>
      <w:r w:rsidRPr="01161804">
        <w:rPr>
          <w:rFonts w:eastAsia="Calibri"/>
          <w:noProof/>
          <w:lang w:val="en-IE"/>
        </w:rPr>
        <w:t>Multiple applications across programmes to cover the entire investment journey cause extra burden and delays that are incompatible with deep-tech innovation</w:t>
      </w:r>
      <w:r w:rsidRPr="01161804">
        <w:rPr>
          <w:rFonts w:eastAsia="Calibri"/>
          <w:b/>
          <w:bCs/>
          <w:noProof/>
          <w:lang w:val="en-IE"/>
        </w:rPr>
        <w:t>.</w:t>
      </w:r>
      <w:r w:rsidRPr="01161804">
        <w:rPr>
          <w:rFonts w:eastAsia="Calibri"/>
          <w:noProof/>
          <w:lang w:val="en-IE"/>
        </w:rPr>
        <w:t xml:space="preserve"> Varying conditions imposed by programmes targeting the same sector or similar project types add to the difficulty.</w:t>
      </w:r>
      <w:r w:rsidR="0074240F">
        <w:rPr>
          <w:rStyle w:val="FootnoteReference"/>
          <w:rFonts w:eastAsia="Calibri"/>
          <w:noProof/>
          <w:lang w:val="en-IE"/>
        </w:rPr>
        <w:footnoteReference w:id="64"/>
      </w:r>
      <w:r w:rsidRPr="01161804">
        <w:rPr>
          <w:rFonts w:eastAsia="Calibri"/>
          <w:noProof/>
          <w:lang w:val="en-IE"/>
        </w:rPr>
        <w:t xml:space="preserve"> Combining different sources of funding (e.g. directly and shared</w:t>
      </w:r>
      <w:r w:rsidR="3BB7D3E9" w:rsidRPr="58BF9D30">
        <w:rPr>
          <w:rFonts w:eastAsia="Calibri"/>
          <w:noProof/>
          <w:lang w:val="en-IE"/>
        </w:rPr>
        <w:t xml:space="preserve"> </w:t>
      </w:r>
      <w:r w:rsidR="363E2B4E" w:rsidRPr="58BF9D30">
        <w:rPr>
          <w:rFonts w:eastAsia="Calibri"/>
          <w:noProof/>
          <w:lang w:val="en-IE"/>
        </w:rPr>
        <w:t>managed</w:t>
      </w:r>
      <w:r w:rsidRPr="01161804">
        <w:rPr>
          <w:rFonts w:eastAsia="Calibri"/>
          <w:noProof/>
          <w:lang w:val="en-IE"/>
        </w:rPr>
        <w:t xml:space="preserve"> programmes) while legally allowed is hard to implement for stakeholders. This disparity in rules and the lack of coherence is increasing search costs and burdening potential applicants with undue complexity</w:t>
      </w:r>
      <w:r w:rsidR="00E04E8B">
        <w:rPr>
          <w:rStyle w:val="FootnoteReference"/>
          <w:rFonts w:eastAsia="Calibri"/>
          <w:noProof/>
          <w:lang w:val="en-IE"/>
        </w:rPr>
        <w:footnoteReference w:id="65"/>
      </w:r>
      <w:r w:rsidRPr="01161804">
        <w:rPr>
          <w:rFonts w:eastAsia="Calibri"/>
          <w:noProof/>
          <w:lang w:val="en-IE"/>
        </w:rPr>
        <w:t>. This hinders potential beneficiaries from easily aligning their projects with available funding opportunities and from advancing in their investment journey.</w:t>
      </w:r>
      <w:r w:rsidRPr="01161804">
        <w:rPr>
          <w:noProof/>
          <w:lang w:val="en-IE"/>
        </w:rPr>
        <w:t xml:space="preserve"> </w:t>
      </w:r>
      <w:r w:rsidRPr="01161804">
        <w:rPr>
          <w:rFonts w:eastAsia="Calibri"/>
          <w:noProof/>
          <w:lang w:val="en-IE"/>
        </w:rPr>
        <w:t>An insufficiently coherent and complex-to-access support for beneficiaries of EU funding which, together with regulatory complexity</w:t>
      </w:r>
      <w:r w:rsidR="00E04E8B" w:rsidRPr="004E701B">
        <w:rPr>
          <w:rStyle w:val="FootnoteReference"/>
          <w:rFonts w:eastAsia="Calibri"/>
          <w:noProof/>
          <w:lang w:val="en-IE"/>
        </w:rPr>
        <w:footnoteReference w:id="66"/>
      </w:r>
      <w:r w:rsidRPr="01161804">
        <w:rPr>
          <w:rFonts w:eastAsia="Calibri"/>
          <w:noProof/>
          <w:lang w:val="en-IE"/>
        </w:rPr>
        <w:t xml:space="preserve">, ultimately affects the efficiency and effectiveness of public investment and the ability to mobilise private funding. This indicates a need for a more streamlined but flexible approach to providing funding. </w:t>
      </w:r>
    </w:p>
    <w:p w14:paraId="26D46950" w14:textId="52F02578" w:rsidR="00E04E8B" w:rsidRPr="00FA4090" w:rsidRDefault="6088BC98" w:rsidP="00603157">
      <w:pPr>
        <w:spacing w:before="240"/>
        <w:rPr>
          <w:noProof/>
          <w:lang w:val="en-IE"/>
        </w:rPr>
      </w:pPr>
      <w:r w:rsidRPr="01161804">
        <w:rPr>
          <w:rFonts w:eastAsia="Calibri"/>
          <w:noProof/>
          <w:lang w:val="en-US"/>
        </w:rPr>
        <w:t xml:space="preserve">For example, </w:t>
      </w:r>
      <w:r w:rsidRPr="01161804">
        <w:rPr>
          <w:rFonts w:eastAsia="Calibri"/>
          <w:noProof/>
        </w:rPr>
        <w:t>difficulties have emerged in the combination of Digital Europe with support from the European Regional Development Fund (ERDF) under shared management implemented by Member States</w:t>
      </w:r>
      <w:r w:rsidR="00E04E8B">
        <w:rPr>
          <w:rStyle w:val="FootnoteReference"/>
          <w:rFonts w:eastAsia="Calibri"/>
          <w:noProof/>
        </w:rPr>
        <w:footnoteReference w:id="67"/>
      </w:r>
      <w:r w:rsidRPr="01161804">
        <w:rPr>
          <w:rFonts w:eastAsia="Times New Roman"/>
          <w:noProof/>
        </w:rPr>
        <w:t xml:space="preserve"> </w:t>
      </w:r>
      <w:r w:rsidRPr="01161804">
        <w:rPr>
          <w:rFonts w:eastAsia="Calibri"/>
          <w:noProof/>
        </w:rPr>
        <w:t xml:space="preserve">and with the </w:t>
      </w:r>
      <w:r w:rsidR="00F571CD" w:rsidRPr="2A1AD167">
        <w:rPr>
          <w:rFonts w:eastAsia="Times New Roman"/>
          <w:noProof/>
          <w:lang w:val="en-US"/>
        </w:rPr>
        <w:t xml:space="preserve">Recovery and Resilience Facility </w:t>
      </w:r>
      <w:r w:rsidR="00F571CD">
        <w:rPr>
          <w:rFonts w:eastAsia="Times New Roman"/>
          <w:noProof/>
          <w:lang w:val="en-US"/>
        </w:rPr>
        <w:t>(</w:t>
      </w:r>
      <w:r w:rsidRPr="01161804">
        <w:rPr>
          <w:rFonts w:eastAsia="Calibri"/>
          <w:noProof/>
        </w:rPr>
        <w:t>RRF</w:t>
      </w:r>
      <w:r w:rsidR="00F571CD">
        <w:rPr>
          <w:rFonts w:eastAsia="Calibri"/>
          <w:noProof/>
        </w:rPr>
        <w:t>)</w:t>
      </w:r>
      <w:r w:rsidRPr="01161804">
        <w:rPr>
          <w:rFonts w:eastAsia="Calibri"/>
          <w:noProof/>
        </w:rPr>
        <w:t xml:space="preserve">, which is not a cost-based but a </w:t>
      </w:r>
      <w:r w:rsidR="4665B5F8" w:rsidRPr="2437213A">
        <w:rPr>
          <w:rFonts w:eastAsia="Calibri"/>
          <w:noProof/>
        </w:rPr>
        <w:t>performance-based</w:t>
      </w:r>
      <w:r w:rsidRPr="01161804">
        <w:rPr>
          <w:rFonts w:eastAsia="Calibri"/>
          <w:noProof/>
        </w:rPr>
        <w:t xml:space="preserve"> </w:t>
      </w:r>
      <w:r w:rsidR="22203502" w:rsidRPr="01161804">
        <w:rPr>
          <w:rFonts w:eastAsia="Calibri"/>
          <w:noProof/>
        </w:rPr>
        <w:t>instrument</w:t>
      </w:r>
      <w:r w:rsidRPr="01161804">
        <w:rPr>
          <w:rFonts w:eastAsia="Calibri"/>
          <w:noProof/>
        </w:rPr>
        <w:t>. More generally Member States’ contribution to co-fund actions from directly managed EU programmes is subject to state aid rules, which Member States have signalled difficulties to handle. The experience of the STEP Seal shows some practical difficulties in the combination of resources from different sources (directly managed funding and cohesion policy funds) – including burdensome coordination between the Commission and the managing authority in terms of timing and process, differing methodologies used by Commission and granting authority for estimating costs, difficulties of cumulation for large consortia projects.</w:t>
      </w:r>
      <w:r w:rsidR="00E04E8B" w:rsidRPr="00B03DD3">
        <w:rPr>
          <w:rStyle w:val="FootnoteReference"/>
          <w:rFonts w:eastAsia="Calibri"/>
          <w:noProof/>
        </w:rPr>
        <w:footnoteReference w:id="68"/>
      </w:r>
      <w:r w:rsidRPr="01161804">
        <w:rPr>
          <w:rFonts w:eastAsia="Calibri"/>
          <w:noProof/>
        </w:rPr>
        <w:t xml:space="preserve"> </w:t>
      </w:r>
      <w:r w:rsidR="00D160AB">
        <w:rPr>
          <w:rFonts w:eastAsia="Calibri"/>
          <w:noProof/>
          <w:lang w:val="en-IE"/>
        </w:rPr>
        <w:t>More</w:t>
      </w:r>
      <w:r w:rsidRPr="01161804">
        <w:rPr>
          <w:rFonts w:eastAsia="Calibri"/>
          <w:noProof/>
          <w:lang w:val="en-IE"/>
        </w:rPr>
        <w:t xml:space="preserve"> than 13 specific ‘one-stop-shops’ exist or are being developed by the European Commission. Similarly, technical assistance and advisory services are managed by each programme under different rules. </w:t>
      </w:r>
    </w:p>
    <w:p w14:paraId="65B37FEE" w14:textId="327C01F0" w:rsidR="00613E2E" w:rsidRPr="00B03DD3" w:rsidRDefault="00613E2E" w:rsidP="00603157">
      <w:pPr>
        <w:pStyle w:val="Heading3"/>
        <w:rPr>
          <w:noProof/>
        </w:rPr>
      </w:pPr>
      <w:r w:rsidRPr="00B03DD3">
        <w:rPr>
          <w:noProof/>
        </w:rPr>
        <w:t xml:space="preserve">Problem driver </w:t>
      </w:r>
      <w:r>
        <w:rPr>
          <w:noProof/>
        </w:rPr>
        <w:t>4</w:t>
      </w:r>
      <w:r w:rsidRPr="00B03DD3">
        <w:rPr>
          <w:noProof/>
        </w:rPr>
        <w:t xml:space="preserve"> Inefficient structure and coordination mechanisms (creating overlaps and reducing </w:t>
      </w:r>
      <w:r w:rsidRPr="008A5EBF">
        <w:rPr>
          <w:noProof/>
        </w:rPr>
        <w:t>complementarities</w:t>
      </w:r>
      <w:r w:rsidRPr="00B03DD3">
        <w:rPr>
          <w:noProof/>
        </w:rPr>
        <w:t>)</w:t>
      </w:r>
    </w:p>
    <w:p w14:paraId="323FC1AD" w14:textId="1542247A" w:rsidR="00613E2E" w:rsidRPr="00CB593B" w:rsidRDefault="2CF7FC38" w:rsidP="00603157">
      <w:pPr>
        <w:rPr>
          <w:noProof/>
          <w:lang w:val="en-IE"/>
        </w:rPr>
      </w:pPr>
      <w:r w:rsidRPr="01161804">
        <w:rPr>
          <w:noProof/>
          <w:lang w:val="en-IE"/>
        </w:rPr>
        <w:t>EU financing instruments are designed and deployed in a fragmented manner and lack focus on strategic priorities. Moreover, the misaligned targeting and coordination issues between funds, varying governance structures, and timing mismatches limit effectiveness and increase complexity. Overall, the EU has close to 50 spending programmes, sometimes with multiple – occasionally intersecting – objectives and using different instruments, even within a single policy area, as illustrated by the following examples: (1) There are 13 main financial programmes with significant relevance for energy under the current MFF; (2) In the area of research and innovation, there is evidence of cross-participation between Horizon Europe and 19 other EU funding programmes</w:t>
      </w:r>
      <w:r w:rsidR="00613E2E">
        <w:rPr>
          <w:rStyle w:val="FootnoteReference"/>
          <w:noProof/>
          <w:lang w:val="en-IE"/>
        </w:rPr>
        <w:footnoteReference w:id="69"/>
      </w:r>
      <w:r w:rsidRPr="01161804">
        <w:rPr>
          <w:noProof/>
          <w:lang w:val="en-IE"/>
        </w:rPr>
        <w:t xml:space="preserve">; (3) In the area of digital, there are at least 15 programmes that support EU’s digital transformation; </w:t>
      </w:r>
      <w:r>
        <w:rPr>
          <w:noProof/>
        </w:rPr>
        <w:t xml:space="preserve">(4) In the transport sector, there are 6 funds and programmes that support the development and deployment of alternative fuels; </w:t>
      </w:r>
      <w:r w:rsidRPr="01161804">
        <w:rPr>
          <w:noProof/>
          <w:lang w:val="en-IE"/>
        </w:rPr>
        <w:t>(5) In relation to EU security, there are at least 7 programmes that can support the development and deployment of innovative civil security solutions; (6) there are 12 funding programmes that support health priorities.</w:t>
      </w:r>
    </w:p>
    <w:p w14:paraId="042DF327" w14:textId="1D91DA4A" w:rsidR="007F750A" w:rsidRPr="00F0281E" w:rsidRDefault="00BC3365">
      <w:pPr>
        <w:rPr>
          <w:noProof/>
          <w:lang w:val="en-IE"/>
        </w:rPr>
      </w:pPr>
      <w:r w:rsidRPr="05C4514A">
        <w:rPr>
          <w:noProof/>
          <w:lang w:val="en-IE"/>
        </w:rPr>
        <w:t>As confirmed by the E</w:t>
      </w:r>
      <w:r w:rsidR="00CE45E2">
        <w:rPr>
          <w:noProof/>
          <w:lang w:val="en-IE"/>
        </w:rPr>
        <w:t xml:space="preserve">uropean </w:t>
      </w:r>
      <w:r w:rsidRPr="05C4514A">
        <w:rPr>
          <w:noProof/>
          <w:lang w:val="en-IE"/>
        </w:rPr>
        <w:t>C</w:t>
      </w:r>
      <w:r w:rsidR="00CE45E2">
        <w:rPr>
          <w:noProof/>
          <w:lang w:val="en-IE"/>
        </w:rPr>
        <w:t xml:space="preserve">ourt of </w:t>
      </w:r>
      <w:r w:rsidRPr="05C4514A">
        <w:rPr>
          <w:noProof/>
          <w:lang w:val="en-IE"/>
        </w:rPr>
        <w:t>A</w:t>
      </w:r>
      <w:r w:rsidR="00CE45E2">
        <w:rPr>
          <w:noProof/>
          <w:lang w:val="en-IE"/>
        </w:rPr>
        <w:t>uditors</w:t>
      </w:r>
      <w:r w:rsidRPr="05C4514A">
        <w:rPr>
          <w:noProof/>
          <w:lang w:val="en-IE"/>
        </w:rPr>
        <w:t xml:space="preserve"> report on EU’s financial landscape t</w:t>
      </w:r>
      <w:r w:rsidR="2CF7FC38" w:rsidRPr="01161804">
        <w:rPr>
          <w:noProof/>
          <w:lang w:val="en-IE"/>
        </w:rPr>
        <w:t>he multiplication of funding programmes prevents the EU budget from reaching sufficient scale for larger pan-European projects, and leads to a duplication in efforts, inefficiencies, and incoherences.</w:t>
      </w:r>
      <w:r w:rsidR="00613E2E" w:rsidRPr="00DA6DFA">
        <w:rPr>
          <w:rStyle w:val="FootnoteReference"/>
          <w:noProof/>
          <w:lang w:val="en-IE"/>
        </w:rPr>
        <w:footnoteReference w:id="70"/>
      </w:r>
      <w:r w:rsidR="2CF7FC38" w:rsidRPr="01161804">
        <w:rPr>
          <w:noProof/>
          <w:lang w:val="en-IE"/>
        </w:rPr>
        <w:t xml:space="preserve"> </w:t>
      </w:r>
    </w:p>
    <w:p w14:paraId="3843C017" w14:textId="177A4ED9" w:rsidR="00E367E3" w:rsidRPr="00E367E3" w:rsidRDefault="00E367E3" w:rsidP="0038438D">
      <w:pPr>
        <w:spacing w:before="0" w:after="0"/>
        <w:rPr>
          <w:noProof/>
          <w:lang w:val="en-US"/>
        </w:rPr>
      </w:pPr>
      <w:r w:rsidRPr="00E367E3">
        <w:rPr>
          <w:noProof/>
          <w:lang w:val="en-US"/>
        </w:rPr>
        <w:t xml:space="preserve">Another concrete example is the 2024 report of the European Court of Auditors on </w:t>
      </w:r>
      <w:r w:rsidRPr="0038438D">
        <w:rPr>
          <w:b/>
          <w:bCs/>
          <w:noProof/>
          <w:u w:val="single"/>
          <w:lang w:val="en-US"/>
        </w:rPr>
        <w:t>EU’s investment in Artificial Intelligence</w:t>
      </w:r>
      <w:r w:rsidR="009A489D">
        <w:rPr>
          <w:rStyle w:val="FootnoteReference"/>
          <w:noProof/>
          <w:lang w:val="en-US"/>
        </w:rPr>
        <w:footnoteReference w:id="71"/>
      </w:r>
      <w:r w:rsidRPr="00E367E3">
        <w:rPr>
          <w:noProof/>
          <w:lang w:val="en-US"/>
        </w:rPr>
        <w:t xml:space="preserve">. One of their conclusions was the </w:t>
      </w:r>
      <w:r w:rsidRPr="0038438D">
        <w:rPr>
          <w:noProof/>
          <w:u w:val="single"/>
          <w:lang w:val="en-US"/>
        </w:rPr>
        <w:t>high level of fragmentation of AI funding across different programs</w:t>
      </w:r>
      <w:r w:rsidRPr="00E367E3">
        <w:rPr>
          <w:noProof/>
          <w:lang w:val="en-US"/>
        </w:rPr>
        <w:t xml:space="preserve"> (</w:t>
      </w:r>
      <w:r>
        <w:rPr>
          <w:noProof/>
          <w:lang w:val="en-US"/>
        </w:rPr>
        <w:t xml:space="preserve">e.g. </w:t>
      </w:r>
      <w:r w:rsidRPr="00E367E3">
        <w:rPr>
          <w:noProof/>
          <w:lang w:val="en-US"/>
        </w:rPr>
        <w:t>Horizon Europe, D</w:t>
      </w:r>
      <w:r>
        <w:rPr>
          <w:noProof/>
          <w:lang w:val="en-US"/>
        </w:rPr>
        <w:t xml:space="preserve">igital </w:t>
      </w:r>
      <w:r w:rsidRPr="00E367E3">
        <w:rPr>
          <w:noProof/>
          <w:lang w:val="en-US"/>
        </w:rPr>
        <w:t>E</w:t>
      </w:r>
      <w:r>
        <w:rPr>
          <w:noProof/>
          <w:lang w:val="en-US"/>
        </w:rPr>
        <w:t>urope Programme</w:t>
      </w:r>
      <w:r w:rsidRPr="00E367E3">
        <w:rPr>
          <w:noProof/>
          <w:lang w:val="en-US"/>
        </w:rPr>
        <w:t xml:space="preserve">, EIC, Invest EU). This has resulted in the EU financed research on three similar projects (AI taxonomies) without any coordination between them. They concluded that there was no EU body or committee to coordinate the projects at the planning, implementation or evaluation stages. They recommended that this could improve monitoring of the performance of actions and the efficiency of AI planning and funding (e.g. to avoid double funding or to identify investment gaps). </w:t>
      </w:r>
    </w:p>
    <w:p w14:paraId="728A517C" w14:textId="3F798AA5" w:rsidR="007F750A" w:rsidRPr="00C260E1" w:rsidRDefault="2CF7FC38" w:rsidP="00603157">
      <w:pPr>
        <w:rPr>
          <w:noProof/>
          <w:lang w:val="en-IE"/>
        </w:rPr>
      </w:pPr>
      <w:r w:rsidRPr="01161804">
        <w:rPr>
          <w:noProof/>
          <w:lang w:val="en-IE"/>
        </w:rPr>
        <w:t>Despite efforts to foster synergies</w:t>
      </w:r>
      <w:r w:rsidR="00502937">
        <w:rPr>
          <w:rStyle w:val="FootnoteReference"/>
          <w:noProof/>
          <w:lang w:val="en-IE"/>
        </w:rPr>
        <w:footnoteReference w:id="72"/>
      </w:r>
      <w:r w:rsidRPr="01161804">
        <w:rPr>
          <w:noProof/>
          <w:lang w:val="en-IE"/>
        </w:rPr>
        <w:t xml:space="preserve"> (e.g. signature of Memoranda of Understanding, Seal of Excellence, coordination via the Strategic Technologies for Europe Platform), EU funding programmes are still subject to overlaps and insufficient complementarities, and the creation of synergies at project level and between sectors remains complex and difficult to implement</w:t>
      </w:r>
      <w:r w:rsidR="00613E2E">
        <w:rPr>
          <w:rStyle w:val="FootnoteReference"/>
          <w:noProof/>
          <w:lang w:val="en-IE"/>
        </w:rPr>
        <w:footnoteReference w:id="73"/>
      </w:r>
      <w:r w:rsidRPr="01161804">
        <w:rPr>
          <w:noProof/>
          <w:lang w:val="en-IE"/>
        </w:rPr>
        <w:t xml:space="preserve">. </w:t>
      </w:r>
      <w:r w:rsidR="007F750A" w:rsidRPr="007F750A">
        <w:rPr>
          <w:noProof/>
        </w:rPr>
        <w:t xml:space="preserve">According to </w:t>
      </w:r>
      <w:r w:rsidR="00126168">
        <w:rPr>
          <w:noProof/>
        </w:rPr>
        <w:t>some of the contributions to</w:t>
      </w:r>
      <w:r w:rsidR="007F750A" w:rsidRPr="007F750A">
        <w:rPr>
          <w:noProof/>
        </w:rPr>
        <w:t xml:space="preserve"> the public consultation, </w:t>
      </w:r>
      <w:r w:rsidR="007F750A" w:rsidRPr="00C260E1">
        <w:rPr>
          <w:noProof/>
        </w:rPr>
        <w:t xml:space="preserve">addressing fragmentation through more integrated rules and governance structures could play a central role in simplifying access and reducing the overall complexities and administrative inefficiencies. Greater coherence across programmes is seen to have the potential to improve both the user experience and the overall effectiveness of funding delivery. Similarly, </w:t>
      </w:r>
      <w:r w:rsidR="007F750A" w:rsidRPr="00C260E1">
        <w:rPr>
          <w:b/>
          <w:bCs/>
          <w:noProof/>
          <w:lang w:val="en-IE"/>
        </w:rPr>
        <w:t>a</w:t>
      </w:r>
      <w:r w:rsidR="007F750A" w:rsidRPr="00C260E1">
        <w:rPr>
          <w:b/>
          <w:bCs/>
          <w:noProof/>
        </w:rPr>
        <w:t>pplying common rules, timelines and eligibility criteria</w:t>
      </w:r>
      <w:r w:rsidR="007F750A" w:rsidRPr="00C260E1">
        <w:rPr>
          <w:noProof/>
        </w:rPr>
        <w:t xml:space="preserve"> to all relevant EU funds </w:t>
      </w:r>
      <w:r w:rsidR="007F750A" w:rsidRPr="00C260E1">
        <w:rPr>
          <w:b/>
          <w:bCs/>
          <w:noProof/>
        </w:rPr>
        <w:t>was seen as an impactful possible measure</w:t>
      </w:r>
      <w:r w:rsidR="007F750A" w:rsidRPr="00C260E1">
        <w:rPr>
          <w:noProof/>
        </w:rPr>
        <w:t xml:space="preserve"> for EU funding to better support EU competitiveness with consistent results across stakeholder groups (</w:t>
      </w:r>
      <w:r w:rsidR="00B01632" w:rsidRPr="00C260E1">
        <w:rPr>
          <w:noProof/>
        </w:rPr>
        <w:t>76</w:t>
      </w:r>
      <w:r w:rsidR="007F750A" w:rsidRPr="00C260E1">
        <w:rPr>
          <w:noProof/>
        </w:rPr>
        <w:t xml:space="preserve">%, </w:t>
      </w:r>
      <w:r w:rsidR="00B01632" w:rsidRPr="00C260E1">
        <w:rPr>
          <w:noProof/>
        </w:rPr>
        <w:t>1 502</w:t>
      </w:r>
      <w:r w:rsidR="007F750A" w:rsidRPr="00C260E1">
        <w:rPr>
          <w:noProof/>
        </w:rPr>
        <w:t>).</w:t>
      </w:r>
    </w:p>
    <w:p w14:paraId="3C975AD8" w14:textId="7697E7E4" w:rsidR="00613E2E" w:rsidRPr="005977A9" w:rsidRDefault="2CF7FC38" w:rsidP="00603157">
      <w:pPr>
        <w:rPr>
          <w:noProof/>
          <w:lang w:val="en-IE"/>
        </w:rPr>
      </w:pPr>
      <w:r w:rsidRPr="00C260E1">
        <w:rPr>
          <w:noProof/>
          <w:lang w:val="en-IE"/>
        </w:rPr>
        <w:t>This fragmentation of funding in Europe is exacerbated by the lack of directionality (see problem driver #5). As set out in ‘</w:t>
      </w:r>
      <w:r w:rsidR="5E6A2356" w:rsidRPr="00C260E1">
        <w:rPr>
          <w:noProof/>
          <w:lang w:val="en-IE"/>
        </w:rPr>
        <w:t>t</w:t>
      </w:r>
      <w:r w:rsidRPr="00C260E1">
        <w:rPr>
          <w:noProof/>
          <w:lang w:val="en-IE"/>
        </w:rPr>
        <w:t>he road to the next Multiannual Financial Framework’ Communication</w:t>
      </w:r>
      <w:r w:rsidR="00613E2E" w:rsidRPr="00C260E1">
        <w:rPr>
          <w:rStyle w:val="FootnoteReference"/>
          <w:noProof/>
          <w:lang w:val="en-IE"/>
        </w:rPr>
        <w:footnoteReference w:id="74"/>
      </w:r>
      <w:r w:rsidRPr="00C260E1">
        <w:rPr>
          <w:noProof/>
          <w:lang w:val="en-IE"/>
        </w:rPr>
        <w:t xml:space="preserve">, </w:t>
      </w:r>
      <w:r w:rsidRPr="00C260E1">
        <w:rPr>
          <w:noProof/>
        </w:rPr>
        <w:t>the EU budget remains too much driven by the structures of spending programmes rather than</w:t>
      </w:r>
      <w:r>
        <w:rPr>
          <w:noProof/>
        </w:rPr>
        <w:t xml:space="preserve"> by policies. As a result, financing of the current EU policy priorities is often scattered across sometimes overlapping programmes, with insufficient link between overall policy coordination and the EU budget</w:t>
      </w:r>
      <w:r w:rsidRPr="01161804">
        <w:rPr>
          <w:noProof/>
          <w:lang w:val="en-IE"/>
        </w:rPr>
        <w:t xml:space="preserve">. </w:t>
      </w:r>
    </w:p>
    <w:p w14:paraId="1584EF7B" w14:textId="7E756E75" w:rsidR="00613E2E" w:rsidRDefault="2CF7FC38" w:rsidP="00603157">
      <w:pPr>
        <w:rPr>
          <w:noProof/>
          <w:lang w:val="en-IE"/>
        </w:rPr>
      </w:pPr>
      <w:r w:rsidRPr="01161804">
        <w:rPr>
          <w:noProof/>
          <w:lang w:val="en-IE"/>
        </w:rPr>
        <w:t>Fund fragmentation also causes coordination issues between various funds, governance challenges (</w:t>
      </w:r>
      <w:r w:rsidR="116CF957" w:rsidRPr="01161804">
        <w:rPr>
          <w:noProof/>
          <w:lang w:val="en-IE"/>
        </w:rPr>
        <w:t xml:space="preserve">e.g. </w:t>
      </w:r>
      <w:r w:rsidRPr="01161804">
        <w:rPr>
          <w:noProof/>
          <w:lang w:val="en-IE"/>
        </w:rPr>
        <w:t xml:space="preserve">different reporting requirements, timing mismatches and fragmented responsibilities), underutilised financial transfers/limited uptake of complementarity, as well as synchronisation issues of fund flows. The Strategic Technologies for Europe Platform (STEP) is a novel instrument to enhance the degree of coordination among existing programmes across the MFF, aiming to solve some of the listed issues. However, </w:t>
      </w:r>
      <w:r>
        <w:rPr>
          <w:noProof/>
        </w:rPr>
        <w:t>the implementation of STEP across programmes operating under different rules, timelines, and legal bases, is an operational challenge</w:t>
      </w:r>
      <w:r w:rsidR="00613E2E">
        <w:rPr>
          <w:rStyle w:val="FootnoteReference"/>
          <w:noProof/>
        </w:rPr>
        <w:footnoteReference w:id="75"/>
      </w:r>
      <w:r>
        <w:rPr>
          <w:noProof/>
        </w:rPr>
        <w:t xml:space="preserve">. </w:t>
      </w:r>
    </w:p>
    <w:p w14:paraId="27E40173" w14:textId="77777777" w:rsidR="00613E2E" w:rsidRPr="007E33D2" w:rsidRDefault="00613E2E" w:rsidP="00603157">
      <w:pPr>
        <w:rPr>
          <w:rFonts w:eastAsia="Calibri"/>
          <w:noProof/>
          <w:lang w:val="en-IE"/>
        </w:rPr>
      </w:pPr>
      <w:r w:rsidRPr="00453871">
        <w:rPr>
          <w:noProof/>
          <w:lang w:val="en-IE"/>
        </w:rPr>
        <w:t>The issue of fragmentation</w:t>
      </w:r>
      <w:r w:rsidRPr="00453871" w:rsidDel="000272A5">
        <w:rPr>
          <w:noProof/>
          <w:lang w:val="en-IE"/>
        </w:rPr>
        <w:t>, inefficient governance and coordination mechanisms</w:t>
      </w:r>
      <w:r w:rsidRPr="00453871">
        <w:rPr>
          <w:noProof/>
          <w:lang w:val="en-IE"/>
        </w:rPr>
        <w:t xml:space="preserve"> also affects applicants</w:t>
      </w:r>
      <w:r>
        <w:rPr>
          <w:noProof/>
          <w:lang w:val="en-IE"/>
        </w:rPr>
        <w:t xml:space="preserve"> (see problem driver #6)</w:t>
      </w:r>
      <w:r w:rsidRPr="00453871">
        <w:rPr>
          <w:noProof/>
          <w:lang w:val="en-IE"/>
        </w:rPr>
        <w:t xml:space="preserve">. </w:t>
      </w:r>
    </w:p>
    <w:p w14:paraId="7118625B" w14:textId="1E6F3DB2" w:rsidR="00613E2E" w:rsidRPr="00A418CD" w:rsidRDefault="00613E2E" w:rsidP="00603157">
      <w:pPr>
        <w:pStyle w:val="Heading3"/>
        <w:rPr>
          <w:noProof/>
        </w:rPr>
      </w:pPr>
      <w:r w:rsidRPr="00A418CD">
        <w:rPr>
          <w:noProof/>
        </w:rPr>
        <w:t xml:space="preserve">Problem driver </w:t>
      </w:r>
      <w:r>
        <w:rPr>
          <w:noProof/>
        </w:rPr>
        <w:t>5</w:t>
      </w:r>
      <w:r w:rsidRPr="00A418CD">
        <w:rPr>
          <w:noProof/>
        </w:rPr>
        <w:t xml:space="preserve"> Insufficient flexibility of funding instruments </w:t>
      </w:r>
    </w:p>
    <w:p w14:paraId="4F822522" w14:textId="721833FF" w:rsidR="00613E2E" w:rsidRPr="007D346E" w:rsidRDefault="00613E2E" w:rsidP="00603157">
      <w:pPr>
        <w:rPr>
          <w:noProof/>
          <w:lang w:val="en-IE"/>
        </w:rPr>
      </w:pPr>
      <w:r w:rsidRPr="4947ADCE">
        <w:rPr>
          <w:noProof/>
          <w:lang w:val="en-IE"/>
        </w:rPr>
        <w:t xml:space="preserve">The complexity of the EU funding landscape stems from </w:t>
      </w:r>
      <w:r w:rsidRPr="2437213A">
        <w:rPr>
          <w:noProof/>
          <w:lang w:val="en-IE"/>
        </w:rPr>
        <w:t>a</w:t>
      </w:r>
      <w:r w:rsidR="359EBC63" w:rsidRPr="2437213A">
        <w:rPr>
          <w:noProof/>
          <w:lang w:val="en-IE"/>
        </w:rPr>
        <w:t>n</w:t>
      </w:r>
      <w:r w:rsidRPr="4947ADCE">
        <w:rPr>
          <w:noProof/>
          <w:lang w:val="en-IE"/>
        </w:rPr>
        <w:t xml:space="preserve"> </w:t>
      </w:r>
      <w:r w:rsidR="194683A7" w:rsidRPr="2437213A">
        <w:rPr>
          <w:noProof/>
          <w:lang w:val="en-IE"/>
        </w:rPr>
        <w:t xml:space="preserve">increased </w:t>
      </w:r>
      <w:r w:rsidR="008552B0" w:rsidRPr="2437213A">
        <w:rPr>
          <w:noProof/>
          <w:lang w:val="en-IE"/>
        </w:rPr>
        <w:t>number of</w:t>
      </w:r>
      <w:r w:rsidRPr="2437213A">
        <w:rPr>
          <w:noProof/>
          <w:lang w:val="en-IE"/>
        </w:rPr>
        <w:t xml:space="preserve"> </w:t>
      </w:r>
      <w:r w:rsidRPr="4947ADCE">
        <w:rPr>
          <w:noProof/>
          <w:lang w:val="en-IE"/>
        </w:rPr>
        <w:t xml:space="preserve">programmes, multiplied in the past 15 years, </w:t>
      </w:r>
      <w:r w:rsidR="0626DD27" w:rsidRPr="2437213A">
        <w:rPr>
          <w:noProof/>
          <w:lang w:val="en-IE"/>
        </w:rPr>
        <w:t>replying to</w:t>
      </w:r>
      <w:r w:rsidRPr="2437213A">
        <w:rPr>
          <w:noProof/>
          <w:lang w:val="en-IE"/>
        </w:rPr>
        <w:t xml:space="preserve"> </w:t>
      </w:r>
      <w:r w:rsidRPr="4947ADCE">
        <w:rPr>
          <w:noProof/>
          <w:lang w:val="en-IE"/>
        </w:rPr>
        <w:t xml:space="preserve">specific rules and objectives. For instance, many EU programmes in support of competitiveness are structured around annual or multi-annual work programmes (e.g. Digital Europe, LIFE) with varying characteristics. </w:t>
      </w:r>
      <w:r w:rsidR="00B429CC">
        <w:rPr>
          <w:noProof/>
          <w:lang w:val="en-IE"/>
        </w:rPr>
        <w:t>Some</w:t>
      </w:r>
      <w:r w:rsidRPr="4947ADCE">
        <w:rPr>
          <w:noProof/>
          <w:lang w:val="en-IE"/>
        </w:rPr>
        <w:t xml:space="preserve"> work programmes are </w:t>
      </w:r>
      <w:r w:rsidR="4408246D" w:rsidRPr="18FA65A5">
        <w:rPr>
          <w:noProof/>
          <w:lang w:val="en-IE"/>
        </w:rPr>
        <w:t>underpi</w:t>
      </w:r>
      <w:r w:rsidR="5CC5BAB7" w:rsidRPr="18FA65A5">
        <w:rPr>
          <w:noProof/>
          <w:lang w:val="en-IE"/>
        </w:rPr>
        <w:t>n</w:t>
      </w:r>
      <w:r w:rsidR="4408246D" w:rsidRPr="18FA65A5">
        <w:rPr>
          <w:noProof/>
          <w:lang w:val="en-IE"/>
        </w:rPr>
        <w:t>ned</w:t>
      </w:r>
      <w:r w:rsidR="4408246D" w:rsidRPr="2437213A">
        <w:rPr>
          <w:noProof/>
          <w:lang w:val="en-IE"/>
        </w:rPr>
        <w:t xml:space="preserve"> </w:t>
      </w:r>
      <w:r w:rsidR="7C79BA0F" w:rsidRPr="4E11118A">
        <w:rPr>
          <w:noProof/>
          <w:lang w:val="en-IE"/>
        </w:rPr>
        <w:t xml:space="preserve">by </w:t>
      </w:r>
      <w:r w:rsidR="008552B0" w:rsidRPr="2437213A">
        <w:rPr>
          <w:noProof/>
          <w:lang w:val="en-IE"/>
        </w:rPr>
        <w:t>stakeholders’</w:t>
      </w:r>
      <w:r w:rsidR="4408246D" w:rsidRPr="2437213A">
        <w:rPr>
          <w:noProof/>
          <w:lang w:val="en-IE"/>
        </w:rPr>
        <w:t xml:space="preserve"> consultations, prepared </w:t>
      </w:r>
      <w:r w:rsidRPr="4947ADCE">
        <w:rPr>
          <w:noProof/>
          <w:lang w:val="en-IE"/>
        </w:rPr>
        <w:t xml:space="preserve">through comitology and adopted by the College </w:t>
      </w:r>
      <w:r w:rsidR="0B666F6F" w:rsidRPr="2437213A">
        <w:rPr>
          <w:noProof/>
          <w:lang w:val="en-IE"/>
        </w:rPr>
        <w:t>ahead of publication. This process helps with</w:t>
      </w:r>
      <w:r w:rsidRPr="4947ADCE">
        <w:rPr>
          <w:noProof/>
          <w:lang w:val="en-IE"/>
        </w:rPr>
        <w:t xml:space="preserve"> predictability, external communication and transparency towards shareholders. </w:t>
      </w:r>
      <w:r w:rsidR="09E6817C" w:rsidRPr="2437213A">
        <w:rPr>
          <w:noProof/>
          <w:lang w:val="en-IE"/>
        </w:rPr>
        <w:t>Moreover,</w:t>
      </w:r>
      <w:r w:rsidR="008552B0">
        <w:rPr>
          <w:noProof/>
          <w:lang w:val="en-IE"/>
        </w:rPr>
        <w:t xml:space="preserve"> </w:t>
      </w:r>
      <w:r w:rsidRPr="4947ADCE">
        <w:rPr>
          <w:noProof/>
          <w:lang w:val="en-IE"/>
        </w:rPr>
        <w:t>multi-annual planning provides stability for critical long-term investments, in particular in research, development, industrial capacities and infrastructures</w:t>
      </w:r>
      <w:r>
        <w:rPr>
          <w:noProof/>
          <w:lang w:val="en-IE"/>
        </w:rPr>
        <w:t>,</w:t>
      </w:r>
      <w:r w:rsidRPr="4947ADCE">
        <w:rPr>
          <w:noProof/>
          <w:lang w:val="en-IE"/>
        </w:rPr>
        <w:t xml:space="preserve"> </w:t>
      </w:r>
      <w:r w:rsidR="46F5742F" w:rsidRPr="2437213A">
        <w:rPr>
          <w:noProof/>
          <w:lang w:val="en-IE"/>
        </w:rPr>
        <w:t xml:space="preserve">with high fixed costs </w:t>
      </w:r>
      <w:r w:rsidRPr="4947ADCE">
        <w:rPr>
          <w:noProof/>
          <w:lang w:val="en-IE"/>
        </w:rPr>
        <w:t xml:space="preserve">for individual Member States. However, in the current MFF, there are more than 30 work programmes relevant for competitiveness which vary in terms of structure, prescriptiveness, granularity and rules. For example, the Single Market Programme </w:t>
      </w:r>
      <w:r w:rsidR="000E7765">
        <w:rPr>
          <w:noProof/>
          <w:lang w:val="en-IE"/>
        </w:rPr>
        <w:t>(</w:t>
      </w:r>
      <w:r w:rsidR="000E7765" w:rsidRPr="2437213A">
        <w:rPr>
          <w:noProof/>
          <w:lang w:val="en-IE"/>
        </w:rPr>
        <w:t>SM</w:t>
      </w:r>
      <w:r w:rsidR="3CFBAD4D" w:rsidRPr="2437213A">
        <w:rPr>
          <w:noProof/>
          <w:lang w:val="en-IE"/>
        </w:rPr>
        <w:t>P</w:t>
      </w:r>
      <w:r w:rsidR="00303B6C">
        <w:rPr>
          <w:noProof/>
          <w:lang w:val="en-IE"/>
        </w:rPr>
        <w:t xml:space="preserve">) </w:t>
      </w:r>
      <w:r w:rsidRPr="4947ADCE">
        <w:rPr>
          <w:noProof/>
          <w:lang w:val="en-IE"/>
        </w:rPr>
        <w:t xml:space="preserve">has both </w:t>
      </w:r>
      <w:r>
        <w:rPr>
          <w:noProof/>
          <w:lang w:val="en-IE"/>
        </w:rPr>
        <w:t>an</w:t>
      </w:r>
      <w:r w:rsidRPr="4947ADCE">
        <w:rPr>
          <w:noProof/>
          <w:lang w:val="en-IE"/>
        </w:rPr>
        <w:t xml:space="preserve"> annual work programme for internal market and a multiannual work programme for statistics or competitiveness and enterprises</w:t>
      </w:r>
      <w:r>
        <w:rPr>
          <w:noProof/>
          <w:lang w:val="en-IE"/>
        </w:rPr>
        <w:t>;</w:t>
      </w:r>
      <w:r w:rsidRPr="4947ADCE">
        <w:rPr>
          <w:noProof/>
          <w:lang w:val="en-IE"/>
        </w:rPr>
        <w:t xml:space="preserve"> the EU Space Work Programme is a single </w:t>
      </w:r>
      <w:r w:rsidR="54114147" w:rsidRPr="2437213A">
        <w:rPr>
          <w:noProof/>
          <w:lang w:val="en-IE"/>
        </w:rPr>
        <w:t>programme</w:t>
      </w:r>
      <w:r w:rsidR="008552B0">
        <w:rPr>
          <w:noProof/>
          <w:lang w:val="en-IE"/>
        </w:rPr>
        <w:t xml:space="preserve"> </w:t>
      </w:r>
      <w:r w:rsidRPr="2437213A">
        <w:rPr>
          <w:noProof/>
          <w:lang w:val="en-IE"/>
        </w:rPr>
        <w:t xml:space="preserve">with </w:t>
      </w:r>
      <w:r w:rsidR="39E4F2E7" w:rsidRPr="2437213A">
        <w:rPr>
          <w:noProof/>
          <w:lang w:val="en-IE"/>
        </w:rPr>
        <w:t xml:space="preserve">different </w:t>
      </w:r>
      <w:r w:rsidRPr="4947ADCE">
        <w:rPr>
          <w:noProof/>
          <w:lang w:val="en-IE"/>
        </w:rPr>
        <w:t xml:space="preserve">annexes </w:t>
      </w:r>
      <w:r w:rsidR="7B3080C9" w:rsidRPr="2437213A">
        <w:rPr>
          <w:noProof/>
          <w:lang w:val="en-IE"/>
        </w:rPr>
        <w:t>by</w:t>
      </w:r>
      <w:r w:rsidRPr="4947ADCE">
        <w:rPr>
          <w:noProof/>
          <w:lang w:val="en-IE"/>
        </w:rPr>
        <w:t xml:space="preserve"> </w:t>
      </w:r>
      <w:r w:rsidR="00083481" w:rsidRPr="4947ADCE">
        <w:rPr>
          <w:noProof/>
          <w:lang w:val="en-IE"/>
        </w:rPr>
        <w:t>components</w:t>
      </w:r>
      <w:r w:rsidR="06708AF8" w:rsidRPr="2437213A">
        <w:rPr>
          <w:noProof/>
          <w:lang w:val="en-IE"/>
        </w:rPr>
        <w:t>.</w:t>
      </w:r>
      <w:r w:rsidRPr="4947ADCE">
        <w:rPr>
          <w:noProof/>
          <w:lang w:val="en-IE"/>
        </w:rPr>
        <w:t xml:space="preserve"> Horizon Europe 2023-</w:t>
      </w:r>
      <w:r w:rsidR="607DC96B" w:rsidRPr="58BF9D30">
        <w:rPr>
          <w:noProof/>
          <w:lang w:val="en-IE"/>
        </w:rPr>
        <w:t>2</w:t>
      </w:r>
      <w:r w:rsidR="3BD37FA7" w:rsidRPr="58BF9D30">
        <w:rPr>
          <w:noProof/>
          <w:lang w:val="en-IE"/>
        </w:rPr>
        <w:t>025</w:t>
      </w:r>
      <w:r w:rsidRPr="4947ADCE">
        <w:rPr>
          <w:noProof/>
          <w:lang w:val="en-IE"/>
        </w:rPr>
        <w:t xml:space="preserve"> </w:t>
      </w:r>
      <w:r>
        <w:rPr>
          <w:noProof/>
          <w:lang w:val="en-IE"/>
        </w:rPr>
        <w:t xml:space="preserve">main </w:t>
      </w:r>
      <w:r w:rsidRPr="4947ADCE">
        <w:rPr>
          <w:noProof/>
          <w:lang w:val="en-IE"/>
        </w:rPr>
        <w:t xml:space="preserve">work programme contains more than </w:t>
      </w:r>
      <w:r>
        <w:rPr>
          <w:noProof/>
          <w:lang w:val="en-IE"/>
        </w:rPr>
        <w:t>2</w:t>
      </w:r>
      <w:r w:rsidR="00A1526E">
        <w:rPr>
          <w:noProof/>
          <w:lang w:val="en-IE"/>
        </w:rPr>
        <w:t> </w:t>
      </w:r>
      <w:r>
        <w:rPr>
          <w:noProof/>
          <w:lang w:val="en-IE"/>
        </w:rPr>
        <w:t>5</w:t>
      </w:r>
      <w:r w:rsidRPr="4947ADCE">
        <w:rPr>
          <w:noProof/>
          <w:lang w:val="en-IE"/>
        </w:rPr>
        <w:t>00 pages</w:t>
      </w:r>
      <w:r>
        <w:rPr>
          <w:noProof/>
          <w:lang w:val="en-IE"/>
        </w:rPr>
        <w:t xml:space="preserve"> across 10 thematic priorities and programme parts</w:t>
      </w:r>
      <w:r w:rsidRPr="4947ADCE">
        <w:rPr>
          <w:noProof/>
          <w:lang w:val="en-IE"/>
        </w:rPr>
        <w:t>.</w:t>
      </w:r>
      <w:r>
        <w:rPr>
          <w:noProof/>
          <w:lang w:val="en-IE"/>
        </w:rPr>
        <w:t xml:space="preserve"> (see Annex </w:t>
      </w:r>
      <w:r w:rsidR="00D246C7">
        <w:rPr>
          <w:noProof/>
          <w:lang w:val="en-IE"/>
        </w:rPr>
        <w:t>8</w:t>
      </w:r>
      <w:r>
        <w:rPr>
          <w:noProof/>
          <w:lang w:val="en-IE"/>
        </w:rPr>
        <w:t xml:space="preserve"> for more details</w:t>
      </w:r>
      <w:r w:rsidR="009D7CA7">
        <w:rPr>
          <w:noProof/>
          <w:lang w:val="en-IE"/>
        </w:rPr>
        <w:t xml:space="preserve">, varying </w:t>
      </w:r>
      <w:r w:rsidR="00FE5021">
        <w:rPr>
          <w:noProof/>
          <w:lang w:val="en-IE"/>
        </w:rPr>
        <w:t xml:space="preserve">conditions, </w:t>
      </w:r>
      <w:r w:rsidR="006B193D">
        <w:rPr>
          <w:noProof/>
          <w:lang w:val="en-IE"/>
        </w:rPr>
        <w:t xml:space="preserve">rules and </w:t>
      </w:r>
      <w:r w:rsidR="001E4D6D">
        <w:rPr>
          <w:noProof/>
          <w:lang w:val="en-IE"/>
        </w:rPr>
        <w:t xml:space="preserve">application </w:t>
      </w:r>
      <w:r w:rsidR="006B193D">
        <w:rPr>
          <w:noProof/>
          <w:lang w:val="en-IE"/>
        </w:rPr>
        <w:t>criteria</w:t>
      </w:r>
      <w:r>
        <w:rPr>
          <w:noProof/>
          <w:lang w:val="en-IE"/>
        </w:rPr>
        <w:t>).</w:t>
      </w:r>
    </w:p>
    <w:p w14:paraId="4ED76EBB" w14:textId="2D68F9F6" w:rsidR="00613E2E" w:rsidRDefault="2CF7FC38" w:rsidP="00603157">
      <w:pPr>
        <w:rPr>
          <w:rFonts w:eastAsia="Times New Roman"/>
          <w:noProof/>
          <w:highlight w:val="yellow"/>
          <w:lang w:val="en-IE"/>
        </w:rPr>
      </w:pPr>
      <w:r w:rsidRPr="01161804">
        <w:rPr>
          <w:rStyle w:val="normaltextrun"/>
          <w:rFonts w:eastAsia="Times New Roman"/>
          <w:noProof/>
          <w:color w:val="000000" w:themeColor="text1"/>
          <w:lang w:val="en-IE"/>
        </w:rPr>
        <w:t>T</w:t>
      </w:r>
      <w:r w:rsidRPr="01161804">
        <w:rPr>
          <w:rFonts w:eastAsia="Times New Roman"/>
          <w:noProof/>
          <w:color w:val="000000" w:themeColor="text1"/>
        </w:rPr>
        <w:t xml:space="preserve">he ongoing implementation of the current MFF provides some lessons </w:t>
      </w:r>
      <w:r w:rsidR="5282797B" w:rsidRPr="01161804">
        <w:rPr>
          <w:rFonts w:eastAsia="Times New Roman"/>
          <w:noProof/>
          <w:color w:val="000000" w:themeColor="text1"/>
        </w:rPr>
        <w:t>learnt</w:t>
      </w:r>
      <w:r w:rsidRPr="01161804">
        <w:rPr>
          <w:rFonts w:eastAsia="Times New Roman"/>
          <w:noProof/>
          <w:color w:val="000000" w:themeColor="text1"/>
        </w:rPr>
        <w:t xml:space="preserve"> on how the EU budget’s agility </w:t>
      </w:r>
      <w:r w:rsidR="3FD02FCA" w:rsidRPr="01161804">
        <w:rPr>
          <w:rFonts w:eastAsia="Times New Roman"/>
          <w:noProof/>
          <w:color w:val="000000" w:themeColor="text1"/>
        </w:rPr>
        <w:t xml:space="preserve">could be enhanced, </w:t>
      </w:r>
      <w:r w:rsidRPr="01161804">
        <w:rPr>
          <w:rFonts w:eastAsia="Times New Roman"/>
          <w:noProof/>
          <w:color w:val="000000" w:themeColor="text1"/>
        </w:rPr>
        <w:t>and better</w:t>
      </w:r>
      <w:r w:rsidR="008552B0">
        <w:rPr>
          <w:rFonts w:eastAsia="Times New Roman"/>
          <w:noProof/>
          <w:color w:val="000000" w:themeColor="text1"/>
        </w:rPr>
        <w:t xml:space="preserve"> </w:t>
      </w:r>
      <w:r w:rsidRPr="01161804">
        <w:rPr>
          <w:rFonts w:eastAsia="Times New Roman"/>
          <w:noProof/>
          <w:color w:val="000000" w:themeColor="text1"/>
        </w:rPr>
        <w:t xml:space="preserve">align with </w:t>
      </w:r>
      <w:r w:rsidR="5D1F2236" w:rsidRPr="01161804">
        <w:rPr>
          <w:rFonts w:eastAsia="Times New Roman"/>
          <w:noProof/>
          <w:color w:val="000000" w:themeColor="text1"/>
        </w:rPr>
        <w:t>the EU’s</w:t>
      </w:r>
      <w:r w:rsidRPr="01161804">
        <w:rPr>
          <w:rFonts w:eastAsia="Times New Roman"/>
          <w:noProof/>
          <w:color w:val="000000" w:themeColor="text1"/>
        </w:rPr>
        <w:t xml:space="preserve"> priorities and objectives. 90% of the 2021-2027 MFF and NextGenerationEU </w:t>
      </w:r>
      <w:r w:rsidR="54FB6AE5" w:rsidRPr="01161804">
        <w:rPr>
          <w:rFonts w:eastAsia="Times New Roman"/>
          <w:noProof/>
          <w:color w:val="000000" w:themeColor="text1"/>
        </w:rPr>
        <w:t>budget is</w:t>
      </w:r>
      <w:r w:rsidRPr="01161804">
        <w:rPr>
          <w:rFonts w:eastAsia="Times New Roman"/>
          <w:noProof/>
          <w:color w:val="000000" w:themeColor="text1"/>
        </w:rPr>
        <w:t xml:space="preserve"> pre-allocated for specific purposes, programmes or national envelopes</w:t>
      </w:r>
      <w:r w:rsidR="00613E2E">
        <w:rPr>
          <w:rStyle w:val="FootnoteReference"/>
          <w:rFonts w:eastAsia="Times New Roman"/>
          <w:noProof/>
          <w:color w:val="000000" w:themeColor="text1"/>
        </w:rPr>
        <w:footnoteReference w:id="76"/>
      </w:r>
      <w:r w:rsidRPr="01161804">
        <w:rPr>
          <w:rFonts w:eastAsia="Times New Roman"/>
          <w:noProof/>
          <w:color w:val="000000" w:themeColor="text1"/>
        </w:rPr>
        <w:t xml:space="preserve">. </w:t>
      </w:r>
      <w:r w:rsidR="35A3A7B6" w:rsidRPr="01161804">
        <w:rPr>
          <w:rFonts w:eastAsia="Times New Roman"/>
          <w:noProof/>
          <w:color w:val="000000" w:themeColor="text1"/>
        </w:rPr>
        <w:t>S</w:t>
      </w:r>
      <w:r w:rsidR="54A87954" w:rsidRPr="01161804">
        <w:rPr>
          <w:rFonts w:eastAsia="Times New Roman"/>
          <w:noProof/>
          <w:color w:val="000000" w:themeColor="text1"/>
        </w:rPr>
        <w:t>ince 2021, a</w:t>
      </w:r>
      <w:r w:rsidRPr="01161804">
        <w:rPr>
          <w:rFonts w:eastAsia="Times New Roman"/>
          <w:noProof/>
          <w:color w:val="000000" w:themeColor="text1"/>
        </w:rPr>
        <w:t xml:space="preserve">s a result, evolving needs </w:t>
      </w:r>
      <w:r w:rsidR="29420457" w:rsidRPr="01161804">
        <w:rPr>
          <w:rFonts w:eastAsia="Times New Roman"/>
          <w:noProof/>
          <w:color w:val="000000" w:themeColor="text1"/>
        </w:rPr>
        <w:t>subsequent</w:t>
      </w:r>
      <w:r w:rsidR="4D92DB74" w:rsidRPr="01161804">
        <w:rPr>
          <w:rFonts w:eastAsia="Times New Roman"/>
          <w:noProof/>
          <w:color w:val="000000" w:themeColor="text1"/>
        </w:rPr>
        <w:t xml:space="preserve"> to crises</w:t>
      </w:r>
      <w:r w:rsidRPr="01161804">
        <w:rPr>
          <w:rFonts w:eastAsia="Times New Roman"/>
          <w:noProof/>
          <w:color w:val="000000" w:themeColor="text1"/>
        </w:rPr>
        <w:t xml:space="preserve"> </w:t>
      </w:r>
      <w:r w:rsidR="006D17D2" w:rsidRPr="01161804">
        <w:rPr>
          <w:rFonts w:eastAsia="Times New Roman"/>
          <w:noProof/>
          <w:color w:val="000000" w:themeColor="text1"/>
        </w:rPr>
        <w:t>and have</w:t>
      </w:r>
      <w:r w:rsidRPr="01161804">
        <w:rPr>
          <w:rFonts w:eastAsia="Times New Roman"/>
          <w:noProof/>
          <w:color w:val="000000" w:themeColor="text1"/>
        </w:rPr>
        <w:t xml:space="preserve"> been addressed by repurposing and reallocating existing funds, in sometimes lengthy procedures, as well as creating </w:t>
      </w:r>
      <w:r w:rsidR="00BD53D9">
        <w:rPr>
          <w:rFonts w:eastAsia="Times New Roman"/>
          <w:noProof/>
          <w:color w:val="000000" w:themeColor="text1"/>
        </w:rPr>
        <w:t xml:space="preserve">for example </w:t>
      </w:r>
      <w:r w:rsidRPr="01161804">
        <w:rPr>
          <w:rFonts w:eastAsia="Times New Roman"/>
          <w:noProof/>
          <w:color w:val="000000" w:themeColor="text1"/>
        </w:rPr>
        <w:t>new ad hoc funds</w:t>
      </w:r>
      <w:r w:rsidR="007261F3">
        <w:rPr>
          <w:rFonts w:eastAsia="Times New Roman"/>
          <w:noProof/>
          <w:color w:val="000000" w:themeColor="text1"/>
        </w:rPr>
        <w:t xml:space="preserve"> in the space and defence areas</w:t>
      </w:r>
      <w:r w:rsidRPr="01161804">
        <w:rPr>
          <w:rFonts w:eastAsia="Times New Roman"/>
          <w:noProof/>
          <w:color w:val="000000" w:themeColor="text1"/>
        </w:rPr>
        <w:t xml:space="preserve">, programmes, or measures, </w:t>
      </w:r>
      <w:r w:rsidR="25B94416" w:rsidRPr="01161804">
        <w:rPr>
          <w:rFonts w:eastAsia="Times New Roman"/>
          <w:noProof/>
          <w:color w:val="000000" w:themeColor="text1"/>
        </w:rPr>
        <w:t>accentuating</w:t>
      </w:r>
      <w:r w:rsidRPr="01161804">
        <w:rPr>
          <w:rFonts w:eastAsia="Times New Roman"/>
          <w:noProof/>
          <w:color w:val="000000" w:themeColor="text1"/>
        </w:rPr>
        <w:t xml:space="preserve"> the issue of scattering of EU funding (i.e. ASAP, EDIRPA, EDIP, IRIS2). </w:t>
      </w:r>
      <w:r w:rsidRPr="01161804">
        <w:rPr>
          <w:rStyle w:val="normaltextrun"/>
          <w:rFonts w:eastAsia="Times New Roman"/>
          <w:noProof/>
          <w:color w:val="000000" w:themeColor="text1"/>
          <w:lang w:val="en-IE"/>
        </w:rPr>
        <w:t xml:space="preserve">Each programme benefits from a varying degree of flexibility to reorient internally its budget. Some programmes have a defined degree of flexibility, while for others, transfers are not allowed. Furthermore, programmes relevant for competitiveness are to be found in the MFF under different headings, which limit possibility of transferring resources across programmes. Budgetary inflexibility emerges as a barrier to the effective allocation and </w:t>
      </w:r>
      <w:r w:rsidR="1E22E6A8" w:rsidRPr="01161804">
        <w:rPr>
          <w:rStyle w:val="normaltextrun"/>
          <w:rFonts w:eastAsia="Times New Roman"/>
          <w:noProof/>
          <w:color w:val="000000" w:themeColor="text1"/>
          <w:lang w:val="en-IE"/>
        </w:rPr>
        <w:t>use</w:t>
      </w:r>
      <w:r w:rsidRPr="01161804">
        <w:rPr>
          <w:rStyle w:val="normaltextrun"/>
          <w:rFonts w:eastAsia="Times New Roman"/>
          <w:noProof/>
          <w:color w:val="000000" w:themeColor="text1"/>
          <w:lang w:val="en-IE"/>
        </w:rPr>
        <w:t xml:space="preserve"> of EU resources. Higher flexibility to transfer resources (i.e. across </w:t>
      </w:r>
      <w:r w:rsidRPr="01161804">
        <w:rPr>
          <w:rStyle w:val="normaltextrun"/>
          <w:noProof/>
          <w:lang w:val="en-IE"/>
        </w:rPr>
        <w:t>and</w:t>
      </w:r>
      <w:r w:rsidRPr="01161804">
        <w:rPr>
          <w:rStyle w:val="normaltextrun"/>
          <w:rFonts w:eastAsia="Times New Roman"/>
          <w:noProof/>
          <w:color w:val="000000" w:themeColor="text1"/>
          <w:lang w:val="en-IE"/>
        </w:rPr>
        <w:t xml:space="preserve"> within programmes) would enhance the ability to respond to evolving policy needs</w:t>
      </w:r>
      <w:r w:rsidRPr="01161804">
        <w:rPr>
          <w:noProof/>
          <w:lang w:val="en-IE"/>
        </w:rPr>
        <w:t xml:space="preserve">. </w:t>
      </w:r>
      <w:r w:rsidRPr="00C260E1">
        <w:rPr>
          <w:noProof/>
          <w:lang w:val="en-IE"/>
        </w:rPr>
        <w:t xml:space="preserve">While providing for the needed predictability for long-term investments required by stakeholders, the current silo structure can delay the deployment of funds toward new initiatives that arise unexpectedly, thus restricting potential growth and innovation within the EU. </w:t>
      </w:r>
      <w:r w:rsidR="00347DB5" w:rsidRPr="00C260E1">
        <w:rPr>
          <w:noProof/>
          <w:lang w:val="en-IE"/>
        </w:rPr>
        <w:t xml:space="preserve">Introducing more flexibility into resource allocation to react to crises and emerging needs was considered impactful by </w:t>
      </w:r>
      <w:r w:rsidR="00AB5897" w:rsidRPr="00C260E1">
        <w:rPr>
          <w:noProof/>
          <w:lang w:val="en-IE"/>
        </w:rPr>
        <w:t>79</w:t>
      </w:r>
      <w:r w:rsidR="00347DB5" w:rsidRPr="00C260E1">
        <w:rPr>
          <w:noProof/>
          <w:lang w:val="en-IE"/>
        </w:rPr>
        <w:t>% (</w:t>
      </w:r>
      <w:r w:rsidR="00AB5897" w:rsidRPr="00C260E1">
        <w:rPr>
          <w:noProof/>
          <w:lang w:val="en-IE"/>
        </w:rPr>
        <w:t>1 528</w:t>
      </w:r>
      <w:r w:rsidR="00347DB5" w:rsidRPr="00C260E1">
        <w:rPr>
          <w:noProof/>
          <w:lang w:val="en-IE"/>
        </w:rPr>
        <w:t>) of</w:t>
      </w:r>
      <w:r w:rsidR="00347DB5" w:rsidRPr="00347DB5">
        <w:rPr>
          <w:noProof/>
          <w:lang w:val="en-IE"/>
        </w:rPr>
        <w:t xml:space="preserve"> respondents</w:t>
      </w:r>
      <w:r w:rsidR="1AFAF288" w:rsidRPr="6BE0E271">
        <w:rPr>
          <w:noProof/>
          <w:lang w:val="en-IE"/>
        </w:rPr>
        <w:t xml:space="preserve">. </w:t>
      </w:r>
      <w:r w:rsidR="4125ADF3" w:rsidRPr="60A051AF">
        <w:rPr>
          <w:noProof/>
          <w:lang w:val="en-IE"/>
        </w:rPr>
        <w:t>M</w:t>
      </w:r>
      <w:r w:rsidR="00347DB5" w:rsidRPr="60A051AF">
        <w:rPr>
          <w:noProof/>
          <w:lang w:val="en-IE"/>
        </w:rPr>
        <w:t xml:space="preserve">ost </w:t>
      </w:r>
      <w:r w:rsidR="2F84AB8F" w:rsidRPr="60A051AF">
        <w:rPr>
          <w:noProof/>
          <w:lang w:val="en-IE"/>
        </w:rPr>
        <w:t>of these respondents</w:t>
      </w:r>
      <w:r w:rsidR="00347DB5" w:rsidRPr="00347DB5">
        <w:rPr>
          <w:noProof/>
          <w:lang w:val="en-IE"/>
        </w:rPr>
        <w:t xml:space="preserve"> </w:t>
      </w:r>
      <w:r w:rsidR="7D2F1319" w:rsidRPr="43E26883">
        <w:rPr>
          <w:noProof/>
          <w:lang w:val="en-IE"/>
        </w:rPr>
        <w:t xml:space="preserve">called for </w:t>
      </w:r>
      <w:r w:rsidR="00347DB5" w:rsidRPr="00347DB5">
        <w:rPr>
          <w:noProof/>
          <w:lang w:val="en-IE"/>
        </w:rPr>
        <w:t xml:space="preserve">funding mechanisms </w:t>
      </w:r>
      <w:r w:rsidR="1C6AB97C" w:rsidRPr="62311D51">
        <w:rPr>
          <w:noProof/>
          <w:lang w:val="en-IE"/>
        </w:rPr>
        <w:t xml:space="preserve">reflecting </w:t>
      </w:r>
      <w:r w:rsidR="00347DB5" w:rsidRPr="00347DB5">
        <w:rPr>
          <w:noProof/>
          <w:lang w:val="en-IE"/>
        </w:rPr>
        <w:t>clearer prioritisation and greater flexibility to address national and regional needs, while remaining responsive to emerging challenges and crises.</w:t>
      </w:r>
    </w:p>
    <w:p w14:paraId="6F74295E" w14:textId="20EE3DD6" w:rsidR="009462DF" w:rsidRPr="008E2B00" w:rsidRDefault="00E05AC5" w:rsidP="00603157">
      <w:pPr>
        <w:pStyle w:val="Heading3"/>
        <w:rPr>
          <w:noProof/>
        </w:rPr>
      </w:pPr>
      <w:r w:rsidRPr="00B03DD3">
        <w:rPr>
          <w:noProof/>
        </w:rPr>
        <w:t xml:space="preserve">Problem Driver </w:t>
      </w:r>
      <w:r w:rsidR="009462DF">
        <w:rPr>
          <w:noProof/>
        </w:rPr>
        <w:t>6</w:t>
      </w:r>
      <w:r w:rsidR="009462DF" w:rsidRPr="008E2B00">
        <w:rPr>
          <w:rFonts w:eastAsiaTheme="minorEastAsia"/>
          <w:noProof/>
        </w:rPr>
        <w:t xml:space="preserve"> </w:t>
      </w:r>
      <w:r w:rsidR="009462DF" w:rsidRPr="008A5EBF">
        <w:rPr>
          <w:noProof/>
        </w:rPr>
        <w:t>Capacity</w:t>
      </w:r>
      <w:r w:rsidR="009462DF" w:rsidRPr="008E2B00">
        <w:rPr>
          <w:noProof/>
        </w:rPr>
        <w:t xml:space="preserve"> gaps (labour and skills shortage, infrastructure, R&amp;I divide) </w:t>
      </w:r>
    </w:p>
    <w:p w14:paraId="5663ED1D" w14:textId="7DCC9906" w:rsidR="009462DF" w:rsidRDefault="09C79E4A" w:rsidP="00603157">
      <w:pPr>
        <w:spacing w:before="60" w:after="60"/>
        <w:rPr>
          <w:rFonts w:eastAsia="Times New Roman"/>
          <w:noProof/>
          <w:lang w:val="en-IE" w:eastAsia="en-IE"/>
        </w:rPr>
      </w:pPr>
      <w:r w:rsidRPr="01161804">
        <w:rPr>
          <w:rFonts w:eastAsia="Times New Roman"/>
          <w:b/>
          <w:bCs/>
          <w:noProof/>
          <w:lang w:val="en-IE" w:eastAsia="en-IE"/>
        </w:rPr>
        <w:t xml:space="preserve">The EU faces significant capacity gaps, </w:t>
      </w:r>
      <w:r w:rsidRPr="01161804">
        <w:rPr>
          <w:rFonts w:eastAsia="Times New Roman"/>
          <w:noProof/>
          <w:lang w:val="en-IE" w:eastAsia="en-IE"/>
        </w:rPr>
        <w:t xml:space="preserve">including </w:t>
      </w:r>
      <w:r w:rsidRPr="01161804">
        <w:rPr>
          <w:noProof/>
          <w:lang w:val="en-IE"/>
        </w:rPr>
        <w:t xml:space="preserve">labour and skills shortages, insufficient R&amp;I and technology infrastructures, and </w:t>
      </w:r>
      <w:r w:rsidRPr="01161804">
        <w:rPr>
          <w:rFonts w:eastAsia="Times New Roman"/>
          <w:noProof/>
          <w:lang w:val="en-IE" w:eastAsia="en-IE"/>
        </w:rPr>
        <w:t xml:space="preserve">national and regional </w:t>
      </w:r>
      <w:r w:rsidR="006D17D2" w:rsidRPr="01161804">
        <w:rPr>
          <w:rFonts w:eastAsia="Times New Roman"/>
          <w:noProof/>
          <w:lang w:val="en-IE" w:eastAsia="en-IE"/>
        </w:rPr>
        <w:t>disparities (</w:t>
      </w:r>
      <w:r w:rsidRPr="01161804">
        <w:rPr>
          <w:rFonts w:eastAsia="Times New Roman"/>
          <w:noProof/>
          <w:lang w:val="en-IE" w:eastAsia="en-IE"/>
        </w:rPr>
        <w:t xml:space="preserve">the </w:t>
      </w:r>
      <w:r w:rsidR="233F31CB" w:rsidRPr="01161804">
        <w:rPr>
          <w:rFonts w:eastAsia="Times New Roman"/>
          <w:noProof/>
          <w:lang w:val="en-IE" w:eastAsia="en-IE"/>
        </w:rPr>
        <w:t>national</w:t>
      </w:r>
      <w:r w:rsidRPr="01161804">
        <w:rPr>
          <w:rFonts w:eastAsia="Times New Roman"/>
          <w:noProof/>
          <w:lang w:val="en-IE" w:eastAsia="en-IE"/>
        </w:rPr>
        <w:t xml:space="preserve"> ‘R&amp;I divide’). These issues adversely affect the EU’s competitiveness on a global scale.</w:t>
      </w:r>
      <w:r w:rsidR="009462DF">
        <w:rPr>
          <w:rStyle w:val="FootnoteReference"/>
          <w:rFonts w:eastAsia="Times New Roman"/>
          <w:noProof/>
          <w:lang w:val="en-IE" w:eastAsia="en-IE"/>
        </w:rPr>
        <w:footnoteReference w:id="77"/>
      </w:r>
      <w:r w:rsidRPr="01161804">
        <w:rPr>
          <w:rFonts w:eastAsia="Times New Roman"/>
          <w:noProof/>
          <w:lang w:val="en-IE" w:eastAsia="en-IE"/>
        </w:rPr>
        <w:t xml:space="preserve"> </w:t>
      </w:r>
    </w:p>
    <w:p w14:paraId="35BC3960" w14:textId="77777777" w:rsidR="00603157" w:rsidRDefault="31C31859" w:rsidP="00603157">
      <w:pPr>
        <w:rPr>
          <w:rFonts w:eastAsia="Times New Roman"/>
          <w:noProof/>
          <w:color w:val="000000" w:themeColor="text1"/>
          <w:lang w:val="en-US"/>
        </w:rPr>
      </w:pPr>
      <w:r w:rsidRPr="58BF9D30">
        <w:rPr>
          <w:rFonts w:eastAsia="Times New Roman"/>
          <w:noProof/>
          <w:lang w:val="en-IE" w:eastAsia="en-IE"/>
        </w:rPr>
        <w:t>L</w:t>
      </w:r>
      <w:r w:rsidR="3038281E" w:rsidRPr="58BF9D30">
        <w:rPr>
          <w:rFonts w:eastAsia="Times New Roman"/>
          <w:noProof/>
          <w:lang w:val="en-IE" w:eastAsia="en-IE"/>
        </w:rPr>
        <w:t>abour</w:t>
      </w:r>
      <w:r w:rsidR="09C79E4A" w:rsidRPr="01161804">
        <w:rPr>
          <w:rFonts w:eastAsia="Times New Roman"/>
          <w:noProof/>
          <w:lang w:val="en-IE" w:eastAsia="en-IE"/>
        </w:rPr>
        <w:t xml:space="preserve"> and skills shortages, as well as skills mismatches,</w:t>
      </w:r>
      <w:r w:rsidR="3038281E" w:rsidRPr="58BF9D30">
        <w:rPr>
          <w:rFonts w:eastAsia="Times New Roman"/>
          <w:noProof/>
          <w:lang w:val="en-IE" w:eastAsia="en-IE"/>
        </w:rPr>
        <w:t xml:space="preserve"> </w:t>
      </w:r>
      <w:r w:rsidR="153CECCF" w:rsidRPr="58BF9D30">
        <w:rPr>
          <w:rFonts w:eastAsia="Times New Roman"/>
          <w:noProof/>
          <w:lang w:val="en-IE" w:eastAsia="en-IE"/>
        </w:rPr>
        <w:t>affect</w:t>
      </w:r>
      <w:r w:rsidR="09C79E4A" w:rsidRPr="01161804">
        <w:rPr>
          <w:rFonts w:eastAsia="Times New Roman"/>
          <w:noProof/>
          <w:lang w:val="en-IE" w:eastAsia="en-IE"/>
        </w:rPr>
        <w:t xml:space="preserve"> critical areas for EU’s competitiveness, particularly </w:t>
      </w:r>
      <w:r w:rsidR="10B650D2" w:rsidRPr="01161804">
        <w:rPr>
          <w:rFonts w:eastAsia="Times New Roman"/>
          <w:noProof/>
          <w:lang w:val="en-IE" w:eastAsia="en-IE"/>
        </w:rPr>
        <w:t xml:space="preserve">in </w:t>
      </w:r>
      <w:r w:rsidR="09C79E4A" w:rsidRPr="01161804">
        <w:rPr>
          <w:rFonts w:eastAsia="Times New Roman"/>
          <w:b/>
          <w:bCs/>
          <w:noProof/>
          <w:lang w:val="en-IE" w:eastAsia="en-IE"/>
        </w:rPr>
        <w:t>the digital, deep tech and net-zero</w:t>
      </w:r>
      <w:r w:rsidR="09C79E4A" w:rsidRPr="01161804">
        <w:rPr>
          <w:rFonts w:eastAsia="Times New Roman"/>
          <w:noProof/>
          <w:lang w:val="en-IE" w:eastAsia="en-IE"/>
        </w:rPr>
        <w:t xml:space="preserve"> </w:t>
      </w:r>
      <w:r w:rsidR="09C79E4A" w:rsidRPr="01161804">
        <w:rPr>
          <w:rFonts w:eastAsia="Times New Roman"/>
          <w:b/>
          <w:bCs/>
          <w:noProof/>
          <w:lang w:val="en-IE" w:eastAsia="en-IE"/>
        </w:rPr>
        <w:t>sectors.</w:t>
      </w:r>
      <w:r w:rsidR="009462DF" w:rsidRPr="0044487B">
        <w:rPr>
          <w:rStyle w:val="FootnoteReference"/>
          <w:noProof/>
          <w:lang w:val="en-IE"/>
        </w:rPr>
        <w:footnoteReference w:id="78"/>
      </w:r>
      <w:r w:rsidR="09C79E4A" w:rsidRPr="01161804">
        <w:rPr>
          <w:b/>
          <w:bCs/>
          <w:noProof/>
          <w:lang w:val="en-IE"/>
        </w:rPr>
        <w:t xml:space="preserve"> </w:t>
      </w:r>
      <w:r w:rsidR="09C79E4A" w:rsidRPr="01161804">
        <w:rPr>
          <w:rFonts w:eastAsia="Times New Roman"/>
          <w:noProof/>
          <w:lang w:val="en-IE" w:eastAsia="en-IE"/>
        </w:rPr>
        <w:t>These must be addressed</w:t>
      </w:r>
      <w:r w:rsidR="09C79E4A" w:rsidRPr="01161804">
        <w:rPr>
          <w:rFonts w:eastAsia="Times New Roman"/>
          <w:b/>
          <w:bCs/>
          <w:noProof/>
          <w:lang w:val="en-IE" w:eastAsia="en-IE"/>
        </w:rPr>
        <w:t xml:space="preserve"> to </w:t>
      </w:r>
      <w:r w:rsidR="09C79E4A" w:rsidRPr="01161804">
        <w:rPr>
          <w:b/>
          <w:bCs/>
          <w:noProof/>
          <w:lang w:val="en-IE"/>
        </w:rPr>
        <w:t>lift</w:t>
      </w:r>
      <w:r w:rsidR="09C79E4A" w:rsidRPr="01161804">
        <w:rPr>
          <w:rFonts w:eastAsia="Times New Roman"/>
          <w:noProof/>
          <w:lang w:val="en-IE" w:eastAsia="en-IE"/>
        </w:rPr>
        <w:t xml:space="preserve"> </w:t>
      </w:r>
      <w:r w:rsidR="09C79E4A" w:rsidRPr="01161804">
        <w:rPr>
          <w:rFonts w:eastAsia="Times New Roman"/>
          <w:b/>
          <w:bCs/>
          <w:noProof/>
          <w:lang w:val="en-IE" w:eastAsia="en-IE"/>
        </w:rPr>
        <w:t>barriers in adopting digital technologies, especially among SMEs</w:t>
      </w:r>
      <w:r w:rsidR="09C79E4A" w:rsidRPr="01161804">
        <w:rPr>
          <w:rFonts w:eastAsia="Times New Roman"/>
          <w:noProof/>
          <w:lang w:val="en-IE" w:eastAsia="en-IE"/>
        </w:rPr>
        <w:t>.</w:t>
      </w:r>
      <w:r w:rsidR="009462DF" w:rsidRPr="008D2319">
        <w:rPr>
          <w:rStyle w:val="FootnoteReference"/>
          <w:noProof/>
          <w:lang w:val="en-IE"/>
        </w:rPr>
        <w:footnoteReference w:id="79"/>
      </w:r>
      <w:r w:rsidR="09C79E4A" w:rsidRPr="01161804">
        <w:rPr>
          <w:rFonts w:eastAsia="Times New Roman"/>
          <w:noProof/>
          <w:lang w:val="en-IE" w:eastAsia="en-IE"/>
        </w:rPr>
        <w:t xml:space="preserve"> </w:t>
      </w:r>
      <w:r w:rsidR="3B7C7EEC" w:rsidRPr="01161804">
        <w:rPr>
          <w:rFonts w:eastAsia="Times New Roman"/>
          <w:noProof/>
          <w:lang w:val="en-IE" w:eastAsia="en-IE"/>
        </w:rPr>
        <w:t xml:space="preserve">at current pace, </w:t>
      </w:r>
      <w:r w:rsidR="09C79E4A" w:rsidRPr="01161804">
        <w:rPr>
          <w:rFonts w:eastAsia="Times New Roman"/>
          <w:noProof/>
          <w:lang w:val="en-IE" w:eastAsia="en-IE"/>
        </w:rPr>
        <w:t xml:space="preserve">the EU </w:t>
      </w:r>
      <w:r w:rsidR="30BB3E0E" w:rsidRPr="01161804">
        <w:rPr>
          <w:rFonts w:eastAsia="Times New Roman"/>
          <w:noProof/>
          <w:lang w:val="en-IE" w:eastAsia="en-IE"/>
        </w:rPr>
        <w:t>will not</w:t>
      </w:r>
      <w:r w:rsidR="09C79E4A" w:rsidRPr="01161804">
        <w:rPr>
          <w:rFonts w:eastAsia="Times New Roman"/>
          <w:noProof/>
          <w:lang w:val="en-IE" w:eastAsia="en-IE"/>
        </w:rPr>
        <w:t xml:space="preserve"> achieve the Digital Decade</w:t>
      </w:r>
      <w:r w:rsidR="009462DF">
        <w:rPr>
          <w:rStyle w:val="FootnoteReference"/>
          <w:rFonts w:eastAsia="Times New Roman"/>
          <w:noProof/>
          <w:lang w:val="en-IE" w:eastAsia="en-IE"/>
        </w:rPr>
        <w:footnoteReference w:id="80"/>
      </w:r>
      <w:r w:rsidR="09C79E4A" w:rsidRPr="01161804">
        <w:rPr>
          <w:rFonts w:eastAsia="Times New Roman"/>
          <w:noProof/>
          <w:lang w:val="en-IE" w:eastAsia="en-IE"/>
        </w:rPr>
        <w:t xml:space="preserve"> target of </w:t>
      </w:r>
      <w:r w:rsidR="3971A860" w:rsidRPr="01161804">
        <w:rPr>
          <w:rFonts w:eastAsia="Times New Roman"/>
          <w:noProof/>
          <w:lang w:val="en-IE" w:eastAsia="en-IE"/>
        </w:rPr>
        <w:t xml:space="preserve">having </w:t>
      </w:r>
      <w:r w:rsidR="09C79E4A" w:rsidRPr="01161804">
        <w:rPr>
          <w:rFonts w:eastAsia="Times New Roman"/>
          <w:noProof/>
          <w:lang w:val="en-IE" w:eastAsia="en-IE"/>
        </w:rPr>
        <w:t xml:space="preserve">20 million ICT specialists </w:t>
      </w:r>
      <w:r w:rsidR="1B984B2B" w:rsidRPr="01161804">
        <w:rPr>
          <w:rFonts w:eastAsia="Times New Roman"/>
          <w:noProof/>
          <w:lang w:val="en-IE" w:eastAsia="en-IE"/>
        </w:rPr>
        <w:t xml:space="preserve">in employment </w:t>
      </w:r>
      <w:r w:rsidR="09C79E4A" w:rsidRPr="01161804">
        <w:rPr>
          <w:rFonts w:eastAsia="Times New Roman"/>
          <w:noProof/>
          <w:lang w:val="en-IE" w:eastAsia="en-IE"/>
        </w:rPr>
        <w:t xml:space="preserve">by 2030, which </w:t>
      </w:r>
      <w:r w:rsidR="5518E2C4" w:rsidRPr="01161804">
        <w:rPr>
          <w:rFonts w:eastAsia="Times New Roman"/>
          <w:noProof/>
          <w:lang w:val="en-IE" w:eastAsia="en-IE"/>
        </w:rPr>
        <w:t>could also have</w:t>
      </w:r>
      <w:r w:rsidR="09C79E4A" w:rsidRPr="01161804">
        <w:rPr>
          <w:rFonts w:eastAsia="Times New Roman"/>
          <w:noProof/>
          <w:lang w:val="en-IE" w:eastAsia="en-IE"/>
        </w:rPr>
        <w:t xml:space="preserve"> diversity and gender balance</w:t>
      </w:r>
      <w:r w:rsidR="67E4A086" w:rsidRPr="01161804">
        <w:rPr>
          <w:rFonts w:eastAsia="Times New Roman"/>
          <w:noProof/>
          <w:lang w:val="en-IE" w:eastAsia="en-IE"/>
        </w:rPr>
        <w:t xml:space="preserve"> impact</w:t>
      </w:r>
      <w:r w:rsidR="09C79E4A" w:rsidRPr="01161804">
        <w:rPr>
          <w:rFonts w:eastAsia="Times New Roman"/>
          <w:noProof/>
          <w:lang w:val="en-IE" w:eastAsia="en-IE"/>
        </w:rPr>
        <w:t xml:space="preserve">. </w:t>
      </w:r>
      <w:r w:rsidR="09C79E4A" w:rsidRPr="01161804">
        <w:rPr>
          <w:rFonts w:eastAsia="Times New Roman"/>
          <w:noProof/>
          <w:lang w:eastAsia="en-IE"/>
        </w:rPr>
        <w:t>The potential industry demand for European AI specialists is measured between 0.5 and 2.8 million over the next five years, which would require a substantial part of graduates choosing this sector or reskilling post-graduates</w:t>
      </w:r>
      <w:r w:rsidR="009462DF">
        <w:rPr>
          <w:rStyle w:val="FootnoteReference"/>
          <w:rFonts w:eastAsia="Times New Roman"/>
          <w:noProof/>
          <w:lang w:eastAsia="en-IE"/>
        </w:rPr>
        <w:footnoteReference w:id="81"/>
      </w:r>
      <w:r w:rsidR="09C79E4A" w:rsidRPr="01161804">
        <w:rPr>
          <w:rFonts w:eastAsia="Times New Roman"/>
          <w:noProof/>
          <w:lang w:eastAsia="en-IE"/>
        </w:rPr>
        <w:t xml:space="preserve">. </w:t>
      </w:r>
      <w:r w:rsidR="09C79E4A" w:rsidRPr="01161804">
        <w:rPr>
          <w:rFonts w:eastAsia="Times New Roman"/>
          <w:noProof/>
          <w:lang w:val="en-IE" w:eastAsia="en-IE"/>
        </w:rPr>
        <w:t xml:space="preserve">Similarly, </w:t>
      </w:r>
      <w:r w:rsidR="09C79E4A" w:rsidRPr="01161804">
        <w:rPr>
          <w:rFonts w:eastAsia="Times New Roman"/>
          <w:b/>
          <w:bCs/>
          <w:noProof/>
          <w:lang w:val="en-IE" w:eastAsia="en-IE"/>
        </w:rPr>
        <w:t>skills mismatches hinder progress in net-zero technologies</w:t>
      </w:r>
      <w:r w:rsidR="09C79E4A" w:rsidRPr="01161804">
        <w:rPr>
          <w:rFonts w:eastAsia="Times New Roman"/>
          <w:noProof/>
          <w:lang w:val="en-IE" w:eastAsia="en-IE"/>
        </w:rPr>
        <w:t>. Anticipation of skills needs and targeted re-skilling efforts are required to support a fair labour market transition and mitigate the impacts on affected sectors, and communities.</w:t>
      </w:r>
      <w:r w:rsidR="009462DF" w:rsidRPr="0044487B">
        <w:rPr>
          <w:rStyle w:val="FootnoteReference"/>
          <w:noProof/>
          <w:lang w:val="en-IE"/>
        </w:rPr>
        <w:footnoteReference w:id="82"/>
      </w:r>
      <w:r w:rsidR="09C79E4A" w:rsidRPr="01161804">
        <w:rPr>
          <w:rFonts w:eastAsia="Times New Roman"/>
          <w:noProof/>
          <w:lang w:val="en-IE" w:eastAsia="en-IE"/>
        </w:rPr>
        <w:t xml:space="preserve"> </w:t>
      </w:r>
      <w:r w:rsidR="09C79E4A" w:rsidRPr="01161804">
        <w:rPr>
          <w:rFonts w:eastAsia="Times New Roman"/>
          <w:noProof/>
          <w:color w:val="000000" w:themeColor="text1"/>
          <w:lang w:val="en-US"/>
        </w:rPr>
        <w:t>The European space sector faces a similar shortage of specialised skills due among others to fewer STEM graduates, an aging workforce, low female employment,</w:t>
      </w:r>
      <w:r w:rsidR="009462DF" w:rsidRPr="00D301E2">
        <w:rPr>
          <w:rFonts w:eastAsia="Times New Roman"/>
          <w:noProof/>
          <w:color w:val="000000" w:themeColor="text1"/>
          <w:vertAlign w:val="superscript"/>
          <w:lang w:val="en-IE"/>
        </w:rPr>
        <w:footnoteReference w:id="83"/>
      </w:r>
      <w:r w:rsidR="09C79E4A" w:rsidRPr="01161804">
        <w:rPr>
          <w:rFonts w:eastAsia="Times New Roman"/>
          <w:noProof/>
          <w:color w:val="000000" w:themeColor="text1"/>
          <w:lang w:val="en-US"/>
        </w:rPr>
        <w:t xml:space="preserve"> and misaligned curricula.</w:t>
      </w:r>
      <w:r w:rsidR="009462DF" w:rsidRPr="00FF0EA0">
        <w:rPr>
          <w:rFonts w:eastAsia="Times New Roman"/>
          <w:noProof/>
          <w:color w:val="000000" w:themeColor="text1"/>
          <w:vertAlign w:val="superscript"/>
          <w:lang w:val="en-IE"/>
        </w:rPr>
        <w:footnoteReference w:id="84"/>
      </w:r>
    </w:p>
    <w:p w14:paraId="528C5603" w14:textId="729E506F" w:rsidR="009462DF" w:rsidRPr="0087036A" w:rsidRDefault="09C79E4A" w:rsidP="00603157">
      <w:pPr>
        <w:rPr>
          <w:noProof/>
          <w:lang w:val="en-IE"/>
        </w:rPr>
      </w:pPr>
      <w:r w:rsidRPr="01161804">
        <w:rPr>
          <w:noProof/>
          <w:lang w:val="en-IE"/>
        </w:rPr>
        <w:t xml:space="preserve">Beyond skills and education, </w:t>
      </w:r>
      <w:r w:rsidR="009462DF" w:rsidRPr="01161804">
        <w:rPr>
          <w:i/>
          <w:iCs/>
          <w:noProof/>
          <w:color w:val="1F497D" w:themeColor="text2"/>
          <w:sz w:val="18"/>
          <w:szCs w:val="18"/>
          <w:lang w:val="en-IE"/>
        </w:rPr>
        <w:fldChar w:fldCharType="begin"/>
      </w:r>
      <w:r w:rsidR="009462DF" w:rsidRPr="01161804">
        <w:rPr>
          <w:b/>
          <w:bCs/>
          <w:noProof/>
          <w:lang w:val="en-IE"/>
        </w:rPr>
        <w:instrText xml:space="preserve">in order </w:instrText>
      </w:r>
      <w:r w:rsidR="009462DF" w:rsidRPr="01161804">
        <w:rPr>
          <w:i/>
          <w:iCs/>
          <w:noProof/>
          <w:color w:val="1F497D" w:themeColor="text2"/>
          <w:sz w:val="18"/>
          <w:szCs w:val="18"/>
          <w:lang w:val="en-IE"/>
        </w:rPr>
        <w:fldChar w:fldCharType="separate"/>
      </w:r>
      <w:r w:rsidR="007722AE">
        <w:rPr>
          <w:b/>
          <w:bCs/>
          <w:i/>
          <w:iCs/>
          <w:noProof/>
          <w:color w:val="1F497D" w:themeColor="text2"/>
          <w:sz w:val="18"/>
          <w:szCs w:val="18"/>
          <w:lang w:val="en-US"/>
        </w:rPr>
        <w:t>Error! Bookmark not defined.</w:t>
      </w:r>
      <w:r w:rsidR="009462DF" w:rsidRPr="01161804">
        <w:rPr>
          <w:i/>
          <w:iCs/>
          <w:noProof/>
          <w:color w:val="1F497D" w:themeColor="text2"/>
          <w:sz w:val="18"/>
          <w:szCs w:val="18"/>
          <w:lang w:val="en-IE"/>
        </w:rPr>
        <w:fldChar w:fldCharType="end"/>
      </w:r>
      <w:r w:rsidRPr="01161804">
        <w:rPr>
          <w:b/>
          <w:bCs/>
          <w:noProof/>
          <w:lang w:val="en-IE"/>
        </w:rPr>
        <w:t>to lead on innovation, the EU needs to foster an environment that allows researchers and innovators to reach their full potential. This means providing state-of-the-art infrastructures, such as laboratories and supercomputers to test and develop ideas.</w:t>
      </w:r>
    </w:p>
    <w:p w14:paraId="6CCCA12E" w14:textId="0EAC307C" w:rsidR="009462DF" w:rsidRDefault="09C79E4A" w:rsidP="00603157">
      <w:pPr>
        <w:spacing w:before="60" w:after="60"/>
        <w:rPr>
          <w:rStyle w:val="normaltextrun"/>
          <w:noProof/>
          <w:lang w:val="en-IE"/>
        </w:rPr>
      </w:pPr>
      <w:r w:rsidRPr="01161804">
        <w:rPr>
          <w:b/>
          <w:bCs/>
          <w:noProof/>
          <w:lang w:val="en-IE"/>
        </w:rPr>
        <w:t xml:space="preserve">These capacity gaps are further aggravated by the high divide in R&amp;I performance </w:t>
      </w:r>
      <w:r w:rsidRPr="01161804">
        <w:rPr>
          <w:rStyle w:val="normaltextrun"/>
          <w:noProof/>
          <w:color w:val="000000" w:themeColor="text1"/>
          <w:lang w:val="en-IE"/>
        </w:rPr>
        <w:t>both across Member States and across regions.</w:t>
      </w:r>
      <w:r w:rsidR="009462DF" w:rsidRPr="00814821">
        <w:rPr>
          <w:rStyle w:val="normaltextrun"/>
          <w:noProof/>
          <w:vertAlign w:val="superscript"/>
          <w:lang w:val="en-IE"/>
        </w:rPr>
        <w:footnoteReference w:id="85"/>
      </w:r>
      <w:r w:rsidRPr="01161804">
        <w:rPr>
          <w:rStyle w:val="normaltextrun"/>
          <w:noProof/>
          <w:lang w:val="en-IE"/>
        </w:rPr>
        <w:t xml:space="preserve"> </w:t>
      </w:r>
      <w:r w:rsidRPr="01161804">
        <w:rPr>
          <w:b/>
          <w:bCs/>
          <w:noProof/>
          <w:lang w:val="en-IE"/>
        </w:rPr>
        <w:t>Underperforming regions are particularly vulnerable to these dynamics and to the challenges associated to them</w:t>
      </w:r>
      <w:r w:rsidR="009462DF">
        <w:rPr>
          <w:rStyle w:val="FootnoteReference"/>
          <w:b/>
          <w:bCs/>
          <w:noProof/>
          <w:lang w:val="en-IE"/>
        </w:rPr>
        <w:footnoteReference w:id="86"/>
      </w:r>
      <w:r w:rsidRPr="01161804">
        <w:rPr>
          <w:noProof/>
          <w:lang w:val="en-IE"/>
        </w:rPr>
        <w:t xml:space="preserve">, including </w:t>
      </w:r>
      <w:r w:rsidR="6055BF65" w:rsidRPr="01161804">
        <w:rPr>
          <w:noProof/>
          <w:lang w:val="en-IE"/>
        </w:rPr>
        <w:t xml:space="preserve">the innovation gap, </w:t>
      </w:r>
      <w:r w:rsidRPr="01161804">
        <w:rPr>
          <w:noProof/>
          <w:lang w:val="en-IE"/>
        </w:rPr>
        <w:t>demographic changes (e.g., shrinking working population and brain drain), which can exacerbate competition for highly skilled workers and hinder the development of innovations, reinforcing existing disparity of resources and expertise amongst EU Member States.</w:t>
      </w:r>
      <w:r w:rsidR="009462DF">
        <w:rPr>
          <w:rStyle w:val="FootnoteReference"/>
          <w:noProof/>
          <w:lang w:val="en-IE"/>
        </w:rPr>
        <w:footnoteReference w:id="87"/>
      </w:r>
      <w:r w:rsidRPr="01161804">
        <w:rPr>
          <w:noProof/>
          <w:vertAlign w:val="superscript"/>
          <w:lang w:val="en-IE"/>
        </w:rPr>
        <w:t xml:space="preserve"> </w:t>
      </w:r>
    </w:p>
    <w:p w14:paraId="7BE3E3C8" w14:textId="5DD9BDDC" w:rsidR="00E05AC5" w:rsidRPr="00B03DD3" w:rsidRDefault="00E05AC5" w:rsidP="00603157">
      <w:pPr>
        <w:pStyle w:val="Heading3"/>
        <w:rPr>
          <w:noProof/>
        </w:rPr>
      </w:pPr>
      <w:r w:rsidRPr="00B03DD3">
        <w:rPr>
          <w:noProof/>
        </w:rPr>
        <w:t xml:space="preserve">Problem Driver </w:t>
      </w:r>
      <w:r w:rsidR="009462DF">
        <w:rPr>
          <w:noProof/>
        </w:rPr>
        <w:t>7</w:t>
      </w:r>
      <w:r w:rsidRPr="00B03DD3">
        <w:rPr>
          <w:noProof/>
        </w:rPr>
        <w:t xml:space="preserve"> Weak </w:t>
      </w:r>
      <w:r w:rsidRPr="008A5EBF">
        <w:rPr>
          <w:noProof/>
        </w:rPr>
        <w:t>translation</w:t>
      </w:r>
      <w:r w:rsidRPr="00B03DD3">
        <w:rPr>
          <w:noProof/>
        </w:rPr>
        <w:t xml:space="preserve"> of research results into marketable outputs</w:t>
      </w:r>
      <w:r w:rsidRPr="00B03DD3" w:rsidDel="00D40E27">
        <w:rPr>
          <w:noProof/>
        </w:rPr>
        <w:t xml:space="preserve"> </w:t>
      </w:r>
    </w:p>
    <w:p w14:paraId="112BF1D3" w14:textId="173D6D62" w:rsidR="00696A1B" w:rsidRPr="00C260E1" w:rsidRDefault="7A95415B" w:rsidP="00603157">
      <w:pPr>
        <w:rPr>
          <w:rFonts w:eastAsia="Times New Roman"/>
          <w:noProof/>
          <w:lang w:val="en-IE"/>
        </w:rPr>
      </w:pPr>
      <w:r w:rsidRPr="00C260E1" w:rsidDel="0014631E">
        <w:rPr>
          <w:rStyle w:val="normaltextrun"/>
          <w:b/>
          <w:bCs/>
          <w:noProof/>
          <w:color w:val="000000" w:themeColor="text1"/>
          <w:lang w:val="en-IE"/>
        </w:rPr>
        <w:t>Europe is lagging behind with regards to valorising research results and the uptake of innovative solutions</w:t>
      </w:r>
      <w:r w:rsidRPr="00C260E1" w:rsidDel="0014631E">
        <w:rPr>
          <w:rStyle w:val="normaltextrun"/>
          <w:noProof/>
          <w:color w:val="000000" w:themeColor="text1"/>
          <w:lang w:val="en-IE"/>
        </w:rPr>
        <w:t>.</w:t>
      </w:r>
      <w:r w:rsidR="00E05AC5" w:rsidRPr="00C260E1" w:rsidDel="0014631E">
        <w:rPr>
          <w:rStyle w:val="FootnoteReference"/>
          <w:noProof/>
          <w:color w:val="000000" w:themeColor="text1"/>
          <w:lang w:val="en-IE"/>
        </w:rPr>
        <w:footnoteReference w:id="88"/>
      </w:r>
      <w:r w:rsidRPr="00C260E1" w:rsidDel="0014631E">
        <w:rPr>
          <w:rStyle w:val="normaltextrun"/>
          <w:noProof/>
          <w:color w:val="000000" w:themeColor="text1"/>
          <w:lang w:val="en-IE"/>
        </w:rPr>
        <w:t xml:space="preserve"> </w:t>
      </w:r>
      <w:r w:rsidRPr="00C260E1">
        <w:rPr>
          <w:noProof/>
        </w:rPr>
        <w:t>While the E</w:t>
      </w:r>
      <w:r w:rsidRPr="00C260E1">
        <w:rPr>
          <w:rStyle w:val="normaltextrun"/>
          <w:noProof/>
          <w:color w:val="000000" w:themeColor="text1"/>
          <w:lang w:val="en-IE"/>
        </w:rPr>
        <w:t>U’s scientific performance remains strong, though increasingly challenged, its innovation output is behind other major economies with the gap deepening.</w:t>
      </w:r>
      <w:r w:rsidR="00E05AC5" w:rsidRPr="00C260E1">
        <w:rPr>
          <w:rStyle w:val="FootnoteReference"/>
          <w:noProof/>
          <w:color w:val="000000" w:themeColor="text1"/>
          <w:lang w:val="en-IE"/>
        </w:rPr>
        <w:footnoteReference w:id="89"/>
      </w:r>
      <w:r w:rsidR="4604B872" w:rsidRPr="00C260E1">
        <w:rPr>
          <w:rStyle w:val="FootnoteReference"/>
          <w:noProof/>
          <w:color w:val="000000" w:themeColor="text1"/>
          <w:lang w:val="en-IE"/>
        </w:rPr>
        <w:t xml:space="preserve"> </w:t>
      </w:r>
      <w:r w:rsidR="1C1372FD" w:rsidRPr="00C260E1">
        <w:rPr>
          <w:rFonts w:eastAsia="Times New Roman"/>
          <w:noProof/>
          <w:lang w:val="en-IE"/>
        </w:rPr>
        <w:t>T</w:t>
      </w:r>
      <w:r w:rsidRPr="00C260E1">
        <w:rPr>
          <w:rFonts w:eastAsia="Times New Roman"/>
          <w:noProof/>
          <w:lang w:val="en-IE"/>
        </w:rPr>
        <w:t xml:space="preserve">he </w:t>
      </w:r>
      <w:r w:rsidRPr="00C260E1">
        <w:rPr>
          <w:rFonts w:eastAsia="Times New Roman"/>
          <w:b/>
          <w:bCs/>
          <w:noProof/>
          <w:lang w:val="en-IE"/>
        </w:rPr>
        <w:t>EU faces a challenge in translating its research results into commercial products and industrial deployment</w:t>
      </w:r>
      <w:r w:rsidRPr="00C260E1">
        <w:rPr>
          <w:rFonts w:eastAsia="Times New Roman"/>
          <w:noProof/>
          <w:lang w:val="en-IE"/>
        </w:rPr>
        <w:t>.</w:t>
      </w:r>
      <w:r w:rsidR="00696A1B" w:rsidRPr="00C260E1">
        <w:rPr>
          <w:rStyle w:val="FootnoteReference"/>
          <w:rFonts w:eastAsia="Times New Roman"/>
          <w:noProof/>
          <w:lang w:val="en-IE"/>
        </w:rPr>
        <w:footnoteReference w:id="90"/>
      </w:r>
      <w:r w:rsidR="59983855" w:rsidRPr="00C260E1">
        <w:rPr>
          <w:rFonts w:eastAsia="Times New Roman"/>
          <w:noProof/>
          <w:lang w:val="en-IE"/>
        </w:rPr>
        <w:t xml:space="preserve"> </w:t>
      </w:r>
      <w:r w:rsidR="3E35B963" w:rsidRPr="00C260E1">
        <w:rPr>
          <w:rFonts w:eastAsia="Times New Roman"/>
          <w:noProof/>
          <w:lang w:val="en-IE"/>
        </w:rPr>
        <w:t>This is supported by stakeholders according to</w:t>
      </w:r>
      <w:r w:rsidR="1BD3A0B8" w:rsidRPr="00C260E1">
        <w:rPr>
          <w:rFonts w:eastAsia="Times New Roman"/>
          <w:noProof/>
          <w:lang w:val="en-IE"/>
        </w:rPr>
        <w:t xml:space="preserve"> the results of the public consultation</w:t>
      </w:r>
      <w:r w:rsidR="01CF8D67" w:rsidRPr="00C260E1">
        <w:rPr>
          <w:rFonts w:eastAsia="Times New Roman"/>
          <w:noProof/>
          <w:lang w:val="en-IE"/>
        </w:rPr>
        <w:t>. 7</w:t>
      </w:r>
      <w:r w:rsidR="00C33A65" w:rsidRPr="00C260E1">
        <w:rPr>
          <w:rFonts w:eastAsia="Times New Roman"/>
          <w:noProof/>
          <w:lang w:val="en-IE"/>
        </w:rPr>
        <w:t>2</w:t>
      </w:r>
      <w:r w:rsidR="01CF8D67" w:rsidRPr="00C260E1">
        <w:rPr>
          <w:rFonts w:eastAsia="Times New Roman"/>
          <w:noProof/>
          <w:lang w:val="en-IE"/>
        </w:rPr>
        <w:t>%</w:t>
      </w:r>
      <w:r w:rsidR="29E0E9CC" w:rsidRPr="00C260E1">
        <w:rPr>
          <w:rFonts w:eastAsia="Times New Roman"/>
          <w:noProof/>
          <w:lang w:val="en-IE"/>
        </w:rPr>
        <w:t xml:space="preserve"> </w:t>
      </w:r>
      <w:r w:rsidR="79B3E3CD" w:rsidRPr="00C260E1">
        <w:rPr>
          <w:rFonts w:eastAsia="Times New Roman"/>
          <w:noProof/>
          <w:lang w:val="en-IE"/>
        </w:rPr>
        <w:t>(N=</w:t>
      </w:r>
      <w:r w:rsidR="0012412A" w:rsidRPr="00C260E1">
        <w:rPr>
          <w:rFonts w:eastAsia="Times New Roman"/>
          <w:noProof/>
          <w:lang w:val="en-IE"/>
        </w:rPr>
        <w:t>1419</w:t>
      </w:r>
      <w:r w:rsidR="79B3E3CD" w:rsidRPr="00C260E1">
        <w:rPr>
          <w:rFonts w:eastAsia="Times New Roman"/>
          <w:noProof/>
          <w:lang w:val="en-IE"/>
        </w:rPr>
        <w:t>)</w:t>
      </w:r>
      <w:r w:rsidR="29E0E9CC" w:rsidRPr="00C260E1">
        <w:rPr>
          <w:rFonts w:eastAsia="Times New Roman"/>
          <w:noProof/>
          <w:lang w:val="en-IE"/>
        </w:rPr>
        <w:t xml:space="preserve"> of respondents considered </w:t>
      </w:r>
      <w:r w:rsidR="615CB90C" w:rsidRPr="00C260E1">
        <w:rPr>
          <w:rFonts w:eastAsia="Times New Roman"/>
          <w:noProof/>
          <w:lang w:val="en-IE"/>
        </w:rPr>
        <w:t>t</w:t>
      </w:r>
      <w:r w:rsidR="01CF8D67" w:rsidRPr="00C260E1">
        <w:rPr>
          <w:rFonts w:eastAsia="Times New Roman"/>
          <w:noProof/>
          <w:lang w:val="en-IE"/>
        </w:rPr>
        <w:t xml:space="preserve">he inability to bring innovation to market and integrate it into the EU’s industrial base </w:t>
      </w:r>
      <w:r w:rsidR="615CB90C" w:rsidRPr="00C260E1">
        <w:rPr>
          <w:rFonts w:eastAsia="Times New Roman"/>
          <w:noProof/>
          <w:lang w:val="en-IE"/>
        </w:rPr>
        <w:t>as</w:t>
      </w:r>
      <w:r w:rsidR="01CF8D67" w:rsidRPr="00C260E1">
        <w:rPr>
          <w:rFonts w:eastAsia="Times New Roman"/>
          <w:noProof/>
          <w:lang w:val="en-IE"/>
        </w:rPr>
        <w:t xml:space="preserve"> </w:t>
      </w:r>
      <w:r w:rsidR="615CB90C" w:rsidRPr="00C260E1">
        <w:rPr>
          <w:rFonts w:eastAsia="Times New Roman"/>
          <w:noProof/>
          <w:lang w:val="en-IE"/>
        </w:rPr>
        <w:t>an</w:t>
      </w:r>
      <w:r w:rsidR="01CF8D67" w:rsidRPr="00C260E1">
        <w:rPr>
          <w:rFonts w:eastAsia="Times New Roman"/>
          <w:noProof/>
          <w:lang w:val="en-IE"/>
        </w:rPr>
        <w:t xml:space="preserve"> important </w:t>
      </w:r>
      <w:r w:rsidR="615CB90C" w:rsidRPr="00C260E1">
        <w:rPr>
          <w:rFonts w:eastAsia="Times New Roman"/>
          <w:noProof/>
          <w:lang w:val="en-IE"/>
        </w:rPr>
        <w:t>challenge for competitiveness</w:t>
      </w:r>
      <w:r w:rsidR="39447F91" w:rsidRPr="00C260E1">
        <w:rPr>
          <w:rFonts w:eastAsia="Times New Roman"/>
          <w:noProof/>
          <w:lang w:val="en-IE"/>
        </w:rPr>
        <w:t>.</w:t>
      </w:r>
      <w:r w:rsidR="005110D1" w:rsidRPr="00C260E1">
        <w:rPr>
          <w:rStyle w:val="FootnoteReference"/>
          <w:rFonts w:eastAsia="Times New Roman"/>
          <w:noProof/>
          <w:lang w:val="en-IE"/>
        </w:rPr>
        <w:footnoteReference w:id="91"/>
      </w:r>
      <w:r w:rsidR="615CB90C" w:rsidRPr="00C260E1">
        <w:rPr>
          <w:rFonts w:eastAsia="Times New Roman"/>
          <w:noProof/>
          <w:lang w:val="en-IE"/>
        </w:rPr>
        <w:t xml:space="preserve"> </w:t>
      </w:r>
    </w:p>
    <w:p w14:paraId="7EEDDB8F" w14:textId="3D918E6D" w:rsidR="00066117" w:rsidRDefault="7173EB75" w:rsidP="00603157">
      <w:pPr>
        <w:rPr>
          <w:noProof/>
          <w:lang w:val="en-IE"/>
        </w:rPr>
      </w:pPr>
      <w:r w:rsidRPr="00C260E1">
        <w:rPr>
          <w:rFonts w:eastAsia="Times New Roman"/>
          <w:noProof/>
          <w:lang w:val="en-IE"/>
        </w:rPr>
        <w:t>Invest</w:t>
      </w:r>
      <w:r w:rsidR="7318E2A3" w:rsidRPr="00C260E1">
        <w:rPr>
          <w:rFonts w:eastAsia="Times New Roman"/>
          <w:noProof/>
          <w:lang w:val="en-IE"/>
        </w:rPr>
        <w:t>ments</w:t>
      </w:r>
      <w:r w:rsidRPr="00C260E1">
        <w:rPr>
          <w:rFonts w:eastAsia="Times New Roman"/>
          <w:noProof/>
          <w:lang w:val="en-IE"/>
        </w:rPr>
        <w:t xml:space="preserve"> in </w:t>
      </w:r>
      <w:r w:rsidRPr="00C260E1">
        <w:rPr>
          <w:rFonts w:eastAsia="Times New Roman"/>
          <w:b/>
          <w:bCs/>
          <w:noProof/>
          <w:lang w:val="en-IE"/>
        </w:rPr>
        <w:t xml:space="preserve">research excellence </w:t>
      </w:r>
      <w:r w:rsidRPr="00C260E1">
        <w:rPr>
          <w:rFonts w:eastAsia="Times New Roman"/>
          <w:noProof/>
          <w:lang w:val="en-IE"/>
        </w:rPr>
        <w:t xml:space="preserve">generates massive </w:t>
      </w:r>
      <w:r w:rsidR="1A1C1F52" w:rsidRPr="00C260E1">
        <w:rPr>
          <w:rFonts w:eastAsia="Times New Roman"/>
          <w:noProof/>
          <w:lang w:val="en-IE"/>
        </w:rPr>
        <w:t xml:space="preserve">scientific, </w:t>
      </w:r>
      <w:r w:rsidRPr="00C260E1">
        <w:rPr>
          <w:rFonts w:eastAsia="Times New Roman"/>
          <w:noProof/>
          <w:lang w:val="en-IE"/>
        </w:rPr>
        <w:t xml:space="preserve">economic, environmental, and societal benefits, </w:t>
      </w:r>
      <w:r w:rsidR="5A894A44" w:rsidRPr="00C260E1">
        <w:rPr>
          <w:rFonts w:eastAsia="Times New Roman"/>
          <w:noProof/>
          <w:lang w:val="en-US"/>
        </w:rPr>
        <w:t>including collaborati</w:t>
      </w:r>
      <w:r w:rsidR="124EE439" w:rsidRPr="00C260E1">
        <w:rPr>
          <w:rFonts w:eastAsia="Times New Roman"/>
          <w:noProof/>
          <w:lang w:val="en-US"/>
        </w:rPr>
        <w:t>ve research</w:t>
      </w:r>
      <w:r w:rsidR="5A894A44" w:rsidRPr="00C260E1">
        <w:rPr>
          <w:rFonts w:eastAsia="Times New Roman"/>
          <w:noProof/>
          <w:lang w:val="en-US"/>
        </w:rPr>
        <w:t>.</w:t>
      </w:r>
      <w:r w:rsidR="00E90518" w:rsidRPr="00C260E1">
        <w:rPr>
          <w:rStyle w:val="FootnoteReference"/>
          <w:rFonts w:eastAsia="Times New Roman"/>
          <w:noProof/>
          <w:lang w:val="en-US"/>
        </w:rPr>
        <w:footnoteReference w:id="92"/>
      </w:r>
      <w:r w:rsidR="5A894A44" w:rsidRPr="00C260E1">
        <w:rPr>
          <w:rFonts w:eastAsia="Times New Roman"/>
          <w:noProof/>
          <w:lang w:val="en-US"/>
        </w:rPr>
        <w:t xml:space="preserve"> I</w:t>
      </w:r>
      <w:r w:rsidRPr="00C260E1">
        <w:rPr>
          <w:rFonts w:eastAsia="Times New Roman"/>
          <w:noProof/>
          <w:lang w:val="en-IE"/>
        </w:rPr>
        <w:t xml:space="preserve">t is </w:t>
      </w:r>
      <w:r w:rsidRPr="00C260E1">
        <w:rPr>
          <w:rFonts w:eastAsia="Times New Roman"/>
          <w:b/>
          <w:bCs/>
          <w:noProof/>
          <w:lang w:val="en-IE"/>
        </w:rPr>
        <w:t>the basis for effective and robust knowledge valorisation</w:t>
      </w:r>
      <w:r w:rsidRPr="00C260E1">
        <w:rPr>
          <w:rFonts w:eastAsia="Times New Roman"/>
          <w:noProof/>
          <w:lang w:val="en-IE"/>
        </w:rPr>
        <w:t>, which in turn drives economic dynamism.</w:t>
      </w:r>
      <w:r w:rsidRPr="00C260E1">
        <w:rPr>
          <w:noProof/>
          <w:lang w:val="en-IE"/>
        </w:rPr>
        <w:t xml:space="preserve"> However, while t</w:t>
      </w:r>
      <w:r w:rsidRPr="00C260E1">
        <w:rPr>
          <w:rFonts w:eastAsia="Times New Roman"/>
          <w:noProof/>
          <w:lang w:val="en-IE"/>
        </w:rPr>
        <w:t>he EU is a “</w:t>
      </w:r>
      <w:r w:rsidRPr="00C260E1">
        <w:rPr>
          <w:rFonts w:eastAsia="Times New Roman"/>
          <w:i/>
          <w:iCs/>
          <w:noProof/>
          <w:lang w:val="en-IE"/>
        </w:rPr>
        <w:t xml:space="preserve">mass producer [of knowledge]”, </w:t>
      </w:r>
      <w:r w:rsidRPr="00C260E1">
        <w:rPr>
          <w:noProof/>
          <w:lang w:val="en-IE"/>
        </w:rPr>
        <w:t>it possesses</w:t>
      </w:r>
      <w:r w:rsidRPr="00C260E1">
        <w:rPr>
          <w:rFonts w:eastAsia="Times New Roman"/>
          <w:i/>
          <w:iCs/>
          <w:noProof/>
          <w:lang w:val="en-IE"/>
        </w:rPr>
        <w:t>, “relative to its size, comparatively few centres of excellence that stand</w:t>
      </w:r>
      <w:r w:rsidRPr="01161804">
        <w:rPr>
          <w:rFonts w:eastAsia="Times New Roman"/>
          <w:i/>
          <w:iCs/>
          <w:noProof/>
          <w:lang w:val="en-IE"/>
        </w:rPr>
        <w:t xml:space="preserve"> out at world level</w:t>
      </w:r>
      <w:r w:rsidR="27BB606B" w:rsidRPr="00BB184A">
        <w:rPr>
          <w:rFonts w:eastAsia="Times New Roman"/>
          <w:noProof/>
          <w:lang w:val="en-IE"/>
        </w:rPr>
        <w:t>.</w:t>
      </w:r>
      <w:r w:rsidRPr="00814821">
        <w:rPr>
          <w:rFonts w:eastAsia="Times New Roman"/>
          <w:noProof/>
          <w:lang w:val="en-IE"/>
        </w:rPr>
        <w:t>”</w:t>
      </w:r>
      <w:r w:rsidR="00E05AC5" w:rsidRPr="00814821">
        <w:rPr>
          <w:rStyle w:val="FootnoteReference"/>
          <w:rFonts w:eastAsia="Times New Roman"/>
          <w:noProof/>
          <w:lang w:val="en-IE"/>
        </w:rPr>
        <w:footnoteReference w:id="93"/>
      </w:r>
      <w:r w:rsidR="2A17170C" w:rsidRPr="01161804">
        <w:rPr>
          <w:rFonts w:eastAsia="Times New Roman"/>
          <w:noProof/>
          <w:lang w:val="en-IE"/>
        </w:rPr>
        <w:t xml:space="preserve">, </w:t>
      </w:r>
      <w:r w:rsidR="56FB0798" w:rsidRPr="01161804">
        <w:rPr>
          <w:rFonts w:eastAsia="Times New Roman"/>
          <w:noProof/>
          <w:lang w:val="en-IE"/>
        </w:rPr>
        <w:t>with potential consequences into levels of talent drain in the region.</w:t>
      </w:r>
      <w:r w:rsidR="0053721C">
        <w:rPr>
          <w:rStyle w:val="FootnoteReference"/>
          <w:rFonts w:eastAsia="Times New Roman"/>
          <w:noProof/>
          <w:lang w:val="en-IE"/>
        </w:rPr>
        <w:footnoteReference w:id="94"/>
      </w:r>
      <w:r w:rsidR="56FB0798" w:rsidRPr="01161804">
        <w:rPr>
          <w:rFonts w:eastAsia="Times New Roman"/>
          <w:noProof/>
          <w:lang w:val="en-IE"/>
        </w:rPr>
        <w:t xml:space="preserve"> In parallel to </w:t>
      </w:r>
      <w:r w:rsidR="35F46DCA" w:rsidRPr="01161804">
        <w:rPr>
          <w:rFonts w:eastAsia="Times New Roman"/>
          <w:noProof/>
          <w:lang w:val="en-IE"/>
        </w:rPr>
        <w:t>the lack of</w:t>
      </w:r>
      <w:r w:rsidRPr="238292F4">
        <w:rPr>
          <w:rStyle w:val="normaltextrun"/>
          <w:noProof/>
          <w:lang w:val="en-IE"/>
        </w:rPr>
        <w:t xml:space="preserve"> enough top-tier academic institutions</w:t>
      </w:r>
      <w:r w:rsidR="6A874BD0" w:rsidRPr="01161804">
        <w:rPr>
          <w:rStyle w:val="normaltextrun"/>
          <w:noProof/>
          <w:lang w:val="en-IE"/>
        </w:rPr>
        <w:t xml:space="preserve">, </w:t>
      </w:r>
      <w:r w:rsidR="19E8E529" w:rsidRPr="01161804">
        <w:rPr>
          <w:rStyle w:val="normaltextrun"/>
          <w:noProof/>
          <w:lang w:val="en-IE"/>
        </w:rPr>
        <w:t>levels of</w:t>
      </w:r>
      <w:r w:rsidRPr="238292F4">
        <w:rPr>
          <w:rStyle w:val="normaltextrun"/>
          <w:noProof/>
          <w:lang w:val="en-IE"/>
        </w:rPr>
        <w:t xml:space="preserve"> cross-sector and cross-border collaboration</w:t>
      </w:r>
      <w:r w:rsidR="19E8E529" w:rsidRPr="01161804">
        <w:rPr>
          <w:rStyle w:val="normaltextrun"/>
          <w:noProof/>
          <w:lang w:val="en-IE"/>
        </w:rPr>
        <w:t xml:space="preserve"> are still low</w:t>
      </w:r>
      <w:r w:rsidRPr="238292F4">
        <w:rPr>
          <w:rStyle w:val="normaltextrun"/>
          <w:noProof/>
          <w:lang w:val="en-IE"/>
        </w:rPr>
        <w:t>,</w:t>
      </w:r>
      <w:r w:rsidR="00E05AC5" w:rsidRPr="007E33D2">
        <w:rPr>
          <w:rStyle w:val="FootnoteReference"/>
          <w:noProof/>
          <w:lang w:val="en-IE"/>
        </w:rPr>
        <w:footnoteReference w:id="95"/>
      </w:r>
      <w:r w:rsidRPr="238292F4">
        <w:rPr>
          <w:rStyle w:val="normaltextrun"/>
          <w:noProof/>
          <w:lang w:val="en-IE"/>
        </w:rPr>
        <w:t xml:space="preserve"> leading to a </w:t>
      </w:r>
      <w:r w:rsidRPr="238292F4">
        <w:rPr>
          <w:rStyle w:val="normaltextrun"/>
          <w:b/>
          <w:bCs/>
          <w:noProof/>
          <w:lang w:val="en-IE"/>
        </w:rPr>
        <w:t>fragmentation and under-exploitation of the R&amp;I ecosystem that undermines</w:t>
      </w:r>
      <w:r w:rsidRPr="238292F4">
        <w:rPr>
          <w:rStyle w:val="eop"/>
          <w:b/>
          <w:bCs/>
          <w:noProof/>
          <w:lang w:val="en-IE"/>
        </w:rPr>
        <w:t xml:space="preserve"> EU's ability to compete in the global innovation landscape</w:t>
      </w:r>
      <w:r w:rsidR="00E05AC5" w:rsidRPr="00F1002A">
        <w:rPr>
          <w:rStyle w:val="FootnoteReference"/>
          <w:noProof/>
          <w:lang w:val="en-IE"/>
        </w:rPr>
        <w:footnoteReference w:id="96"/>
      </w:r>
      <w:r w:rsidR="756CF199" w:rsidRPr="01161804">
        <w:rPr>
          <w:noProof/>
          <w:lang w:val="en-IE"/>
        </w:rPr>
        <w:t xml:space="preserve">. </w:t>
      </w:r>
    </w:p>
    <w:p w14:paraId="45C85DF0" w14:textId="2A9A0A2A" w:rsidR="00E05AC5" w:rsidRPr="00B03DD3" w:rsidRDefault="7173EB75" w:rsidP="00603157">
      <w:pPr>
        <w:rPr>
          <w:noProof/>
          <w:lang w:val="en-IE"/>
        </w:rPr>
      </w:pPr>
      <w:r w:rsidRPr="238292F4">
        <w:rPr>
          <w:rFonts w:eastAsia="Times New Roman"/>
          <w:noProof/>
          <w:lang w:val="en-IE"/>
        </w:rPr>
        <w:t xml:space="preserve">This is a lost opportunity and </w:t>
      </w:r>
      <w:r w:rsidRPr="00814821">
        <w:rPr>
          <w:rFonts w:eastAsia="Times New Roman"/>
          <w:noProof/>
          <w:lang w:val="en-IE"/>
        </w:rPr>
        <w:t xml:space="preserve">affects the overall innovation performance of the EU, as universities and research institutions </w:t>
      </w:r>
      <w:r w:rsidRPr="238292F4">
        <w:rPr>
          <w:rFonts w:eastAsia="Times New Roman"/>
          <w:noProof/>
          <w:lang w:val="en-IE"/>
        </w:rPr>
        <w:t xml:space="preserve">should </w:t>
      </w:r>
      <w:r w:rsidRPr="00814821">
        <w:rPr>
          <w:rFonts w:eastAsia="Times New Roman"/>
          <w:noProof/>
          <w:lang w:val="en-IE"/>
        </w:rPr>
        <w:t xml:space="preserve">play a vital role in the first stages of the investment journey, via access to education, skill formation, and particularly, groundbreaking research. But this is also true in the deployment phase, as the most advanced innovation clusters </w:t>
      </w:r>
      <w:r w:rsidRPr="238292F4">
        <w:rPr>
          <w:rFonts w:eastAsia="Times New Roman"/>
          <w:noProof/>
          <w:lang w:val="en-IE"/>
        </w:rPr>
        <w:t xml:space="preserve">tend </w:t>
      </w:r>
      <w:r w:rsidR="1A4152D6" w:rsidRPr="01161804">
        <w:rPr>
          <w:rFonts w:eastAsia="Times New Roman"/>
          <w:noProof/>
          <w:lang w:val="en-IE"/>
        </w:rPr>
        <w:t xml:space="preserve">to </w:t>
      </w:r>
      <w:r w:rsidRPr="00814821">
        <w:rPr>
          <w:rFonts w:eastAsia="Times New Roman"/>
          <w:noProof/>
          <w:lang w:val="en-IE"/>
        </w:rPr>
        <w:t>develop around prestigious universities.</w:t>
      </w:r>
      <w:r w:rsidR="003336C2">
        <w:rPr>
          <w:rStyle w:val="FootnoteReference"/>
          <w:rFonts w:eastAsia="Times New Roman"/>
          <w:noProof/>
          <w:lang w:val="en-IE"/>
        </w:rPr>
        <w:footnoteReference w:id="97"/>
      </w:r>
      <w:r w:rsidRPr="00814821">
        <w:rPr>
          <w:rFonts w:eastAsia="Times New Roman"/>
          <w:noProof/>
          <w:lang w:val="en-IE"/>
        </w:rPr>
        <w:t xml:space="preserve"> </w:t>
      </w:r>
      <w:r w:rsidR="572C19D8" w:rsidRPr="68AEC0ED">
        <w:rPr>
          <w:rFonts w:eastAsia="Times New Roman"/>
          <w:noProof/>
        </w:rPr>
        <w:t>The EU boasts an excellent university system on average, but its presence among the top world-leading research universities is limited</w:t>
      </w:r>
      <w:r w:rsidR="37AFAD41" w:rsidRPr="68AEC0ED">
        <w:rPr>
          <w:rFonts w:eastAsia="Times New Roman"/>
          <w:noProof/>
        </w:rPr>
        <w:t xml:space="preserve">, </w:t>
      </w:r>
      <w:r w:rsidR="5DE57148" w:rsidRPr="68AEC0ED">
        <w:rPr>
          <w:rFonts w:eastAsia="Times New Roman"/>
          <w:noProof/>
        </w:rPr>
        <w:t>especially in</w:t>
      </w:r>
      <w:r w:rsidR="37AFAD41" w:rsidRPr="68AEC0ED">
        <w:rPr>
          <w:rFonts w:eastAsia="Times New Roman"/>
          <w:noProof/>
        </w:rPr>
        <w:t xml:space="preserve"> natural science and health science. Lacking excellence at the top stems from difficulties in attracting and retaining top research talent. Also, the links between higher education and business are weak and researchers have few incentives to become entrepreneurs.</w:t>
      </w:r>
      <w:r w:rsidR="004E2396">
        <w:rPr>
          <w:rStyle w:val="FootnoteReference"/>
          <w:rFonts w:eastAsia="Times New Roman"/>
          <w:noProof/>
        </w:rPr>
        <w:footnoteReference w:id="98"/>
      </w:r>
      <w:r w:rsidR="4CFB1E10" w:rsidRPr="68AEC0ED">
        <w:rPr>
          <w:rFonts w:eastAsia="Times New Roman"/>
          <w:noProof/>
        </w:rPr>
        <w:t>At the same time, t</w:t>
      </w:r>
      <w:r w:rsidR="3182D619" w:rsidRPr="68AEC0ED">
        <w:rPr>
          <w:rFonts w:eastAsia="Times New Roman"/>
          <w:noProof/>
        </w:rPr>
        <w:t xml:space="preserve">he EU has numerous innovation clusters, but they are less developed and generate less value than those in the US and China. </w:t>
      </w:r>
      <w:r w:rsidR="3BA1A9FC" w:rsidRPr="68AEC0ED">
        <w:rPr>
          <w:rFonts w:eastAsia="Times New Roman"/>
          <w:noProof/>
        </w:rPr>
        <w:t xml:space="preserve">The EU has </w:t>
      </w:r>
      <w:r w:rsidR="7D56E42A" w:rsidRPr="68AEC0ED">
        <w:rPr>
          <w:rFonts w:eastAsia="Times New Roman"/>
          <w:noProof/>
        </w:rPr>
        <w:t xml:space="preserve">only </w:t>
      </w:r>
      <w:r w:rsidR="3BA1A9FC" w:rsidRPr="68AEC0ED">
        <w:rPr>
          <w:rFonts w:eastAsia="Times New Roman"/>
          <w:noProof/>
        </w:rPr>
        <w:t xml:space="preserve">one </w:t>
      </w:r>
      <w:r w:rsidR="7D56E42A" w:rsidRPr="68AEC0ED">
        <w:rPr>
          <w:rFonts w:eastAsia="Times New Roman"/>
          <w:noProof/>
        </w:rPr>
        <w:t>high-tech sector</w:t>
      </w:r>
      <w:r w:rsidR="3BA1A9FC" w:rsidRPr="68AEC0ED">
        <w:rPr>
          <w:rFonts w:eastAsia="Times New Roman"/>
          <w:noProof/>
        </w:rPr>
        <w:t xml:space="preserve"> cluster in the global top 20, compared to 6 for the US and 7 for China</w:t>
      </w:r>
      <w:r w:rsidR="59BC4D42" w:rsidRPr="68AEC0ED">
        <w:rPr>
          <w:rFonts w:eastAsia="Times New Roman"/>
          <w:noProof/>
        </w:rPr>
        <w:t>.</w:t>
      </w:r>
      <w:r w:rsidR="0021334D">
        <w:rPr>
          <w:rStyle w:val="FootnoteReference"/>
          <w:rFonts w:eastAsia="Times New Roman"/>
          <w:noProof/>
        </w:rPr>
        <w:footnoteReference w:id="99"/>
      </w:r>
      <w:r w:rsidR="59BC4D42" w:rsidRPr="68AEC0ED">
        <w:rPr>
          <w:rFonts w:eastAsia="Times New Roman"/>
          <w:noProof/>
        </w:rPr>
        <w:t xml:space="preserve"> </w:t>
      </w:r>
      <w:r w:rsidR="005D342E">
        <w:rPr>
          <w:rStyle w:val="FootnoteReference"/>
          <w:rFonts w:eastAsia="Times New Roman"/>
          <w:noProof/>
        </w:rPr>
        <w:footnoteReference w:id="100"/>
      </w:r>
      <w:r w:rsidR="4C82A101" w:rsidRPr="00846210">
        <w:rPr>
          <w:noProof/>
          <w:lang w:val="en-IE"/>
        </w:rPr>
        <w:t xml:space="preserve"> </w:t>
      </w:r>
    </w:p>
    <w:p w14:paraId="221E5C43" w14:textId="52DAC1D6" w:rsidR="00E05AC5" w:rsidRPr="00E10559" w:rsidRDefault="7173EB75" w:rsidP="00603157">
      <w:pPr>
        <w:spacing w:before="0" w:after="0"/>
        <w:rPr>
          <w:noProof/>
          <w:vertAlign w:val="superscript"/>
          <w:lang w:val="en-IE"/>
        </w:rPr>
      </w:pPr>
      <w:r w:rsidRPr="009952CF">
        <w:rPr>
          <w:rFonts w:eastAsia="Times New Roman"/>
          <w:noProof/>
          <w:lang w:val="en-IE"/>
        </w:rPr>
        <w:t xml:space="preserve">To stay </w:t>
      </w:r>
      <w:r w:rsidRPr="00AD20BB">
        <w:rPr>
          <w:rFonts w:eastAsia="Times New Roman"/>
          <w:noProof/>
          <w:lang w:val="en-IE"/>
        </w:rPr>
        <w:t>competitive, “we need to create the conditions for researchers to thrive”.</w:t>
      </w:r>
      <w:r w:rsidR="00E05AC5" w:rsidRPr="00AD20BB">
        <w:rPr>
          <w:rStyle w:val="FootnoteReference"/>
          <w:rFonts w:eastAsia="Times New Roman"/>
          <w:noProof/>
          <w:lang w:val="en-IE"/>
        </w:rPr>
        <w:footnoteReference w:id="101"/>
      </w:r>
      <w:r w:rsidRPr="00AD20BB">
        <w:rPr>
          <w:rFonts w:eastAsia="Times New Roman"/>
          <w:noProof/>
          <w:lang w:val="en-IE"/>
        </w:rPr>
        <w:t xml:space="preserve"> This requires multiple measures, including funding for excellent research</w:t>
      </w:r>
      <w:r w:rsidR="00E05AC5" w:rsidRPr="00AD20BB">
        <w:rPr>
          <w:rStyle w:val="FootnoteReference"/>
          <w:rFonts w:eastAsia="Times New Roman"/>
          <w:noProof/>
          <w:lang w:val="en-IE"/>
        </w:rPr>
        <w:footnoteReference w:id="102"/>
      </w:r>
      <w:r w:rsidRPr="00AD20BB">
        <w:rPr>
          <w:rFonts w:eastAsia="Times New Roman"/>
          <w:noProof/>
          <w:lang w:val="en-IE"/>
        </w:rPr>
        <w:t xml:space="preserve">, as well as </w:t>
      </w:r>
      <w:r w:rsidR="6E60BD10" w:rsidRPr="00AD20BB">
        <w:rPr>
          <w:rFonts w:eastAsia="Times New Roman"/>
          <w:noProof/>
          <w:lang w:val="en-IE"/>
        </w:rPr>
        <w:t>ensuring</w:t>
      </w:r>
      <w:r w:rsidR="6E60BD10" w:rsidRPr="238292F4">
        <w:rPr>
          <w:rFonts w:eastAsia="Times New Roman"/>
          <w:noProof/>
          <w:lang w:val="en-IE"/>
        </w:rPr>
        <w:t xml:space="preserve">, </w:t>
      </w:r>
      <w:r w:rsidR="6E60BD10" w:rsidRPr="00AD20BB">
        <w:rPr>
          <w:rFonts w:eastAsia="Times New Roman"/>
          <w:noProof/>
          <w:lang w:val="en-IE"/>
        </w:rPr>
        <w:t>stronger</w:t>
      </w:r>
      <w:r w:rsidRPr="238292F4">
        <w:rPr>
          <w:rFonts w:eastAsia="Times New Roman"/>
          <w:noProof/>
          <w:lang w:val="en-IE"/>
        </w:rPr>
        <w:t xml:space="preserve"> </w:t>
      </w:r>
      <w:r w:rsidR="05D90294" w:rsidRPr="01161804">
        <w:rPr>
          <w:rFonts w:eastAsia="Times New Roman"/>
          <w:noProof/>
          <w:lang w:val="en-IE"/>
        </w:rPr>
        <w:t xml:space="preserve">links </w:t>
      </w:r>
      <w:r w:rsidRPr="238292F4">
        <w:rPr>
          <w:rFonts w:eastAsia="Times New Roman"/>
          <w:noProof/>
          <w:lang w:val="en-IE"/>
        </w:rPr>
        <w:t xml:space="preserve">with later </w:t>
      </w:r>
      <w:r w:rsidRPr="00AD20BB">
        <w:rPr>
          <w:rFonts w:eastAsia="Times New Roman"/>
          <w:noProof/>
          <w:lang w:val="en-IE"/>
        </w:rPr>
        <w:t xml:space="preserve">stages of </w:t>
      </w:r>
      <w:r w:rsidRPr="238292F4">
        <w:rPr>
          <w:rFonts w:eastAsia="Times New Roman"/>
          <w:noProof/>
          <w:lang w:val="en-IE"/>
        </w:rPr>
        <w:t xml:space="preserve">development </w:t>
      </w:r>
      <w:r w:rsidR="6A0B90EC" w:rsidRPr="01161804">
        <w:rPr>
          <w:rFonts w:eastAsia="Times New Roman"/>
          <w:noProof/>
          <w:lang w:val="en-IE"/>
        </w:rPr>
        <w:t xml:space="preserve">in </w:t>
      </w:r>
      <w:r w:rsidRPr="00AD20BB">
        <w:rPr>
          <w:rFonts w:eastAsia="Times New Roman"/>
          <w:noProof/>
          <w:lang w:val="en-IE"/>
        </w:rPr>
        <w:t xml:space="preserve">the </w:t>
      </w:r>
      <w:r w:rsidR="40CD8B46" w:rsidRPr="68AEC0ED">
        <w:rPr>
          <w:rFonts w:eastAsia="Times New Roman"/>
          <w:noProof/>
          <w:lang w:val="en-IE"/>
        </w:rPr>
        <w:t>investment</w:t>
      </w:r>
      <w:r w:rsidR="40CD8B46" w:rsidRPr="00AD20BB">
        <w:rPr>
          <w:rFonts w:eastAsia="Times New Roman"/>
          <w:noProof/>
          <w:lang w:val="en-IE"/>
        </w:rPr>
        <w:t xml:space="preserve"> </w:t>
      </w:r>
      <w:r w:rsidRPr="00AD20BB">
        <w:rPr>
          <w:rFonts w:eastAsia="Times New Roman"/>
          <w:noProof/>
          <w:lang w:val="en-IE"/>
        </w:rPr>
        <w:t>journey</w:t>
      </w:r>
      <w:r w:rsidR="25F57588" w:rsidRPr="68AEC0ED">
        <w:rPr>
          <w:rFonts w:eastAsia="Times New Roman"/>
          <w:noProof/>
          <w:lang w:val="en-IE"/>
        </w:rPr>
        <w:t>.</w:t>
      </w:r>
      <w:r w:rsidR="00E05AC5" w:rsidRPr="00AD20BB">
        <w:rPr>
          <w:rStyle w:val="FootnoteReference"/>
          <w:noProof/>
          <w:lang w:val="en-IE"/>
        </w:rPr>
        <w:footnoteReference w:id="103"/>
      </w:r>
    </w:p>
    <w:p w14:paraId="2E18FC3E" w14:textId="2D4B207C" w:rsidR="00E05AC5" w:rsidRPr="00CB29DE" w:rsidRDefault="7A95415B" w:rsidP="00603157">
      <w:pPr>
        <w:rPr>
          <w:rStyle w:val="normaltextrun"/>
          <w:noProof/>
          <w:color w:val="000000" w:themeColor="text1"/>
        </w:rPr>
      </w:pPr>
      <w:r w:rsidRPr="3CC87F77">
        <w:rPr>
          <w:rStyle w:val="normaltextrun"/>
          <w:noProof/>
          <w:color w:val="000000" w:themeColor="text1"/>
        </w:rPr>
        <w:t>The valorisation of research results on the market contributes to strengthening the economy, increasing competitiveness and economic and research security. Challenges for uptake and deployment include weaknesses in facilitating technology transfer and underexploited public agencies.</w:t>
      </w:r>
      <w:r w:rsidR="00E05AC5" w:rsidRPr="3CC87F77">
        <w:rPr>
          <w:rStyle w:val="FootnoteReference"/>
          <w:noProof/>
        </w:rPr>
        <w:footnoteReference w:id="104"/>
      </w:r>
      <w:r w:rsidRPr="3CC87F77">
        <w:rPr>
          <w:rStyle w:val="normaltextrun"/>
          <w:noProof/>
          <w:color w:val="000000" w:themeColor="text1"/>
        </w:rPr>
        <w:t xml:space="preserve"> </w:t>
      </w:r>
      <w:r w:rsidR="4194BD19" w:rsidRPr="01161804" w:rsidDel="0064414C">
        <w:rPr>
          <w:rStyle w:val="normaltextrun"/>
          <w:noProof/>
          <w:color w:val="000000" w:themeColor="text1"/>
        </w:rPr>
        <w:t>A critical factor in this process is the effective management of intellectual property (IP), which ensures that innovations are protected</w:t>
      </w:r>
      <w:r w:rsidR="182B5AC9" w:rsidRPr="01161804" w:rsidDel="0064414C">
        <w:rPr>
          <w:rStyle w:val="normaltextrun"/>
          <w:noProof/>
          <w:color w:val="000000" w:themeColor="text1"/>
        </w:rPr>
        <w:t>, managed and enforced</w:t>
      </w:r>
      <w:r w:rsidR="4194BD19" w:rsidRPr="01161804" w:rsidDel="0064414C">
        <w:rPr>
          <w:rStyle w:val="normaltextrun"/>
          <w:noProof/>
          <w:color w:val="000000" w:themeColor="text1"/>
        </w:rPr>
        <w:t xml:space="preserve">. Strong IP strategies not only encourage investment and partnerships but also safeguard Europe's technological sovereignty. As underlined in </w:t>
      </w:r>
      <w:r w:rsidR="260B8838" w:rsidRPr="01161804" w:rsidDel="0064414C">
        <w:rPr>
          <w:rStyle w:val="normaltextrun"/>
          <w:noProof/>
          <w:color w:val="000000" w:themeColor="text1"/>
        </w:rPr>
        <w:t>the</w:t>
      </w:r>
      <w:r w:rsidR="4194BD19" w:rsidRPr="01161804" w:rsidDel="0064414C">
        <w:rPr>
          <w:rStyle w:val="normaltextrun"/>
          <w:noProof/>
          <w:color w:val="000000" w:themeColor="text1"/>
        </w:rPr>
        <w:t xml:space="preserve"> European Commission </w:t>
      </w:r>
      <w:r w:rsidR="21575DF1" w:rsidRPr="01161804" w:rsidDel="0064414C">
        <w:rPr>
          <w:rStyle w:val="normaltextrun"/>
          <w:noProof/>
          <w:color w:val="000000" w:themeColor="text1"/>
        </w:rPr>
        <w:t>action plan on IP</w:t>
      </w:r>
      <w:r w:rsidR="4194BD19" w:rsidRPr="01161804" w:rsidDel="0064414C">
        <w:rPr>
          <w:rStyle w:val="normaltextrun"/>
          <w:noProof/>
          <w:color w:val="000000" w:themeColor="text1"/>
        </w:rPr>
        <w:t xml:space="preserve">, intellectual property is a key driver for economic growth and helps companies valorise their research results and secure a return on investment. </w:t>
      </w:r>
    </w:p>
    <w:p w14:paraId="0F918F79" w14:textId="3C450EE8" w:rsidR="00E05AC5" w:rsidRPr="00214E4B" w:rsidRDefault="487CEEF8" w:rsidP="00603157">
      <w:pPr>
        <w:rPr>
          <w:noProof/>
          <w:lang w:val="en-IE"/>
        </w:rPr>
      </w:pPr>
      <w:r w:rsidRPr="68AEC0ED">
        <w:rPr>
          <w:noProof/>
          <w:lang w:val="en-IE"/>
        </w:rPr>
        <w:t>I</w:t>
      </w:r>
      <w:r w:rsidR="0D36B477" w:rsidRPr="68AEC0ED">
        <w:rPr>
          <w:noProof/>
          <w:lang w:val="en-IE"/>
        </w:rPr>
        <w:t>nsufficient</w:t>
      </w:r>
      <w:r w:rsidR="0D36B477">
        <w:rPr>
          <w:noProof/>
          <w:lang w:val="en-IE"/>
        </w:rPr>
        <w:t xml:space="preserve"> wide-scale collaboration between R&amp;I and industry, as well as across disciplines,</w:t>
      </w:r>
      <w:r w:rsidR="00E05AC5" w:rsidRPr="00A960F3">
        <w:rPr>
          <w:rStyle w:val="FootnoteReference"/>
          <w:noProof/>
          <w:lang w:val="en-IE"/>
        </w:rPr>
        <w:footnoteReference w:id="105"/>
      </w:r>
      <w:r w:rsidR="0D36B477">
        <w:rPr>
          <w:noProof/>
          <w:lang w:val="en-IE"/>
        </w:rPr>
        <w:t xml:space="preserve"> hampers competitiveness. </w:t>
      </w:r>
      <w:r w:rsidR="0D36B477" w:rsidRPr="238292F4">
        <w:rPr>
          <w:noProof/>
          <w:lang w:val="en-IE"/>
        </w:rPr>
        <w:t xml:space="preserve">For example, </w:t>
      </w:r>
      <w:r w:rsidR="0D36B477" w:rsidRPr="238292F4">
        <w:rPr>
          <w:b/>
          <w:bCs/>
          <w:noProof/>
          <w:lang w:val="en-IE"/>
        </w:rPr>
        <w:t>t</w:t>
      </w:r>
      <w:r w:rsidR="0D36B477" w:rsidRPr="004E701B">
        <w:rPr>
          <w:b/>
          <w:bCs/>
          <w:noProof/>
          <w:lang w:val="en-IE"/>
        </w:rPr>
        <w:t>he limited diffusion of knowledge has far-reaching implications for critical sectors like healthcare</w:t>
      </w:r>
      <w:r w:rsidR="0D36B477" w:rsidRPr="00A960F3">
        <w:rPr>
          <w:noProof/>
          <w:lang w:val="en-IE"/>
        </w:rPr>
        <w:t xml:space="preserve">, where the lack of access to interoperable data hampers the development of innovative </w:t>
      </w:r>
      <w:r w:rsidR="0D36B477" w:rsidRPr="00A960F3">
        <w:rPr>
          <w:noProof/>
          <w:color w:val="000000" w:themeColor="text1"/>
          <w:lang w:val="en-IE"/>
        </w:rPr>
        <w:t>health</w:t>
      </w:r>
      <w:r w:rsidR="0D36B477" w:rsidRPr="00A960F3">
        <w:rPr>
          <w:noProof/>
          <w:lang w:val="en-IE"/>
        </w:rPr>
        <w:t xml:space="preserve"> technologies, and </w:t>
      </w:r>
      <w:r w:rsidR="0D36B477">
        <w:rPr>
          <w:noProof/>
          <w:lang w:val="en-IE"/>
        </w:rPr>
        <w:t>Europe’</w:t>
      </w:r>
      <w:r w:rsidR="0D36B477" w:rsidRPr="00A960F3">
        <w:rPr>
          <w:noProof/>
          <w:lang w:val="en-IE"/>
        </w:rPr>
        <w:t xml:space="preserve">s capacity to respond to health emergencies, ultimately compromising its global health security, cooperation and competitiveness. </w:t>
      </w:r>
      <w:r w:rsidR="0D36B477" w:rsidRPr="004E701B">
        <w:rPr>
          <w:b/>
          <w:bCs/>
          <w:noProof/>
          <w:lang w:val="en-IE"/>
        </w:rPr>
        <w:t xml:space="preserve">Similar issues are faced in the </w:t>
      </w:r>
      <w:r w:rsidR="0D36B477" w:rsidRPr="004E701B">
        <w:rPr>
          <w:b/>
          <w:bCs/>
          <w:noProof/>
          <w:color w:val="000000" w:themeColor="text1"/>
          <w:lang w:val="en-IE"/>
        </w:rPr>
        <w:t>digital</w:t>
      </w:r>
      <w:r w:rsidR="2797EDAC" w:rsidRPr="68AEC0ED">
        <w:rPr>
          <w:b/>
          <w:bCs/>
          <w:noProof/>
          <w:lang w:val="en-IE"/>
        </w:rPr>
        <w:t xml:space="preserve"> </w:t>
      </w:r>
      <w:r w:rsidR="0D36B477" w:rsidRPr="004E701B">
        <w:rPr>
          <w:b/>
          <w:bCs/>
          <w:noProof/>
          <w:lang w:val="en-IE"/>
        </w:rPr>
        <w:t>sector</w:t>
      </w:r>
      <w:r w:rsidR="0D36B477" w:rsidRPr="00A960F3">
        <w:rPr>
          <w:noProof/>
          <w:lang w:val="en-IE"/>
        </w:rPr>
        <w:t xml:space="preserve">, where the </w:t>
      </w:r>
      <w:r w:rsidR="29781A86" w:rsidRPr="00A960F3">
        <w:rPr>
          <w:noProof/>
          <w:lang w:val="en-IE"/>
        </w:rPr>
        <w:t xml:space="preserve">suboptimal </w:t>
      </w:r>
      <w:r w:rsidR="0460F066" w:rsidRPr="00A960F3">
        <w:rPr>
          <w:noProof/>
          <w:lang w:val="en-IE"/>
        </w:rPr>
        <w:t xml:space="preserve">uptake </w:t>
      </w:r>
      <w:r w:rsidR="0D36B477" w:rsidRPr="00A960F3">
        <w:rPr>
          <w:noProof/>
          <w:lang w:val="en-IE"/>
        </w:rPr>
        <w:t xml:space="preserve">of digital </w:t>
      </w:r>
      <w:r w:rsidR="21B3219C" w:rsidRPr="00A960F3">
        <w:rPr>
          <w:noProof/>
          <w:lang w:val="en-IE"/>
        </w:rPr>
        <w:t>technologies</w:t>
      </w:r>
      <w:r w:rsidR="0D36B477" w:rsidRPr="001F7528">
        <w:rPr>
          <w:noProof/>
          <w:lang w:val="en-IE"/>
        </w:rPr>
        <w:t xml:space="preserve"> </w:t>
      </w:r>
      <w:r w:rsidR="78020AA4" w:rsidRPr="001F7528">
        <w:rPr>
          <w:noProof/>
          <w:lang w:val="en-IE"/>
        </w:rPr>
        <w:t xml:space="preserve">might </w:t>
      </w:r>
      <w:r w:rsidR="0D36B477" w:rsidRPr="001F7528">
        <w:rPr>
          <w:noProof/>
          <w:lang w:val="en-IE"/>
        </w:rPr>
        <w:t xml:space="preserve">hinder </w:t>
      </w:r>
      <w:r w:rsidR="27A292D2" w:rsidRPr="68AEC0ED">
        <w:rPr>
          <w:noProof/>
          <w:lang w:val="en-IE"/>
        </w:rPr>
        <w:t xml:space="preserve">EU </w:t>
      </w:r>
      <w:r w:rsidR="21B3219C" w:rsidRPr="001F7528">
        <w:rPr>
          <w:noProof/>
          <w:lang w:val="en-IE"/>
        </w:rPr>
        <w:t xml:space="preserve">competitiveness </w:t>
      </w:r>
      <w:r w:rsidR="21B3219C" w:rsidRPr="68AEC0ED">
        <w:rPr>
          <w:noProof/>
          <w:lang w:val="en-IE"/>
        </w:rPr>
        <w:t>and</w:t>
      </w:r>
      <w:r w:rsidR="3C4494B2" w:rsidRPr="68AEC0ED">
        <w:rPr>
          <w:noProof/>
          <w:lang w:val="en-IE"/>
        </w:rPr>
        <w:t xml:space="preserve"> resilience</w:t>
      </w:r>
      <w:r w:rsidR="0D36B477" w:rsidRPr="68AEC0ED">
        <w:rPr>
          <w:noProof/>
          <w:lang w:val="en-IE"/>
        </w:rPr>
        <w:t>.</w:t>
      </w:r>
      <w:r w:rsidR="307F7678" w:rsidRPr="68AEC0ED">
        <w:rPr>
          <w:noProof/>
          <w:lang w:val="en-IE"/>
        </w:rPr>
        <w:t xml:space="preserve"> </w:t>
      </w:r>
    </w:p>
    <w:p w14:paraId="47579862" w14:textId="7E1B56D3" w:rsidR="00C23DEA" w:rsidRPr="00B03DD3" w:rsidRDefault="7E2A21CA" w:rsidP="00603157">
      <w:pPr>
        <w:pStyle w:val="Heading3"/>
        <w:rPr>
          <w:noProof/>
        </w:rPr>
      </w:pPr>
      <w:r>
        <w:rPr>
          <w:noProof/>
        </w:rPr>
        <w:t xml:space="preserve">Problem Driver </w:t>
      </w:r>
      <w:r w:rsidR="256E2A62">
        <w:rPr>
          <w:noProof/>
        </w:rPr>
        <w:t>8</w:t>
      </w:r>
      <w:r>
        <w:rPr>
          <w:noProof/>
        </w:rPr>
        <w:t xml:space="preserve"> Low and fragmented investment in strategic </w:t>
      </w:r>
      <w:r w:rsidR="7BB2974A">
        <w:rPr>
          <w:noProof/>
        </w:rPr>
        <w:t>technologies and sectors</w:t>
      </w:r>
      <w:r>
        <w:rPr>
          <w:noProof/>
        </w:rPr>
        <w:t xml:space="preserve"> (for example: clean </w:t>
      </w:r>
      <w:r w:rsidR="014547B6">
        <w:rPr>
          <w:noProof/>
        </w:rPr>
        <w:t>tech, cross</w:t>
      </w:r>
      <w:r>
        <w:rPr>
          <w:noProof/>
        </w:rPr>
        <w:t>-border infrastructure,</w:t>
      </w:r>
      <w:r w:rsidR="1165CB4F">
        <w:rPr>
          <w:noProof/>
        </w:rPr>
        <w:t xml:space="preserve"> </w:t>
      </w:r>
      <w:r w:rsidR="61A69239">
        <w:rPr>
          <w:noProof/>
        </w:rPr>
        <w:t>defence, digital</w:t>
      </w:r>
      <w:r>
        <w:rPr>
          <w:noProof/>
        </w:rPr>
        <w:t>, biotech)</w:t>
      </w:r>
    </w:p>
    <w:p w14:paraId="71E23185" w14:textId="2302FE5B" w:rsidR="008549DD" w:rsidRDefault="10592B1F" w:rsidP="00603157">
      <w:pPr>
        <w:rPr>
          <w:b/>
          <w:bCs/>
          <w:noProof/>
          <w:lang w:val="en-IE"/>
        </w:rPr>
      </w:pPr>
      <w:r w:rsidRPr="00084452">
        <w:rPr>
          <w:b/>
          <w:bCs/>
          <w:noProof/>
          <w:lang w:val="en-IE"/>
        </w:rPr>
        <w:t>The E</w:t>
      </w:r>
      <w:r w:rsidR="009F49FB">
        <w:rPr>
          <w:b/>
          <w:bCs/>
          <w:noProof/>
          <w:lang w:val="en-IE"/>
        </w:rPr>
        <w:t>U</w:t>
      </w:r>
      <w:r w:rsidRPr="00084452">
        <w:rPr>
          <w:b/>
          <w:bCs/>
          <w:noProof/>
          <w:lang w:val="en-IE"/>
        </w:rPr>
        <w:t xml:space="preserve"> faces a persistent lack of </w:t>
      </w:r>
      <w:r w:rsidRPr="00C260E1">
        <w:rPr>
          <w:b/>
          <w:bCs/>
          <w:noProof/>
          <w:lang w:val="en-IE"/>
        </w:rPr>
        <w:t xml:space="preserve">directionality of EU funding, </w:t>
      </w:r>
      <w:r w:rsidRPr="00C260E1">
        <w:rPr>
          <w:noProof/>
          <w:lang w:val="en-IE"/>
        </w:rPr>
        <w:t xml:space="preserve">as investment covers multiple fields and priorities without clear </w:t>
      </w:r>
      <w:r w:rsidRPr="00C260E1">
        <w:rPr>
          <w:noProof/>
          <w:color w:val="000000" w:themeColor="text1"/>
          <w:lang w:val="en-IE"/>
        </w:rPr>
        <w:t xml:space="preserve">focus on key strategic </w:t>
      </w:r>
      <w:r w:rsidR="410BC964" w:rsidRPr="00C260E1">
        <w:rPr>
          <w:noProof/>
          <w:color w:val="000000" w:themeColor="text1"/>
          <w:lang w:val="en-IE"/>
        </w:rPr>
        <w:t>technologies and</w:t>
      </w:r>
      <w:r w:rsidRPr="00C260E1">
        <w:rPr>
          <w:noProof/>
          <w:color w:val="000000" w:themeColor="text1"/>
          <w:lang w:val="en-IE"/>
        </w:rPr>
        <w:t xml:space="preserve"> sectors</w:t>
      </w:r>
      <w:r w:rsidR="00330A57" w:rsidRPr="00C260E1">
        <w:rPr>
          <w:noProof/>
          <w:color w:val="000000" w:themeColor="text1"/>
          <w:lang w:val="en-IE"/>
        </w:rPr>
        <w:t xml:space="preserve">. According to the public consultation, </w:t>
      </w:r>
      <w:r w:rsidR="00A618AB" w:rsidRPr="00C260E1">
        <w:rPr>
          <w:noProof/>
          <w:color w:val="000000" w:themeColor="text1"/>
          <w:lang w:val="en-IE"/>
        </w:rPr>
        <w:t>the innovation and technological gap in strategic technologies is the second most-important challenge (</w:t>
      </w:r>
      <w:r w:rsidR="00964976" w:rsidRPr="00C260E1">
        <w:rPr>
          <w:noProof/>
          <w:color w:val="000000" w:themeColor="text1"/>
          <w:lang w:val="en-IE"/>
        </w:rPr>
        <w:t>8</w:t>
      </w:r>
      <w:r w:rsidR="00D93B25" w:rsidRPr="00C260E1">
        <w:rPr>
          <w:noProof/>
          <w:color w:val="000000" w:themeColor="text1"/>
          <w:lang w:val="en-IE"/>
        </w:rPr>
        <w:t>1</w:t>
      </w:r>
      <w:r w:rsidR="00964976" w:rsidRPr="00C260E1">
        <w:rPr>
          <w:noProof/>
          <w:color w:val="000000" w:themeColor="text1"/>
          <w:lang w:val="en-IE"/>
        </w:rPr>
        <w:t>% of respondents</w:t>
      </w:r>
      <w:r w:rsidR="00916E9E" w:rsidRPr="00C260E1">
        <w:rPr>
          <w:noProof/>
          <w:color w:val="000000" w:themeColor="text1"/>
          <w:lang w:val="en-IE"/>
        </w:rPr>
        <w:t xml:space="preserve"> - N= </w:t>
      </w:r>
      <w:r w:rsidR="001D6525" w:rsidRPr="00C260E1">
        <w:rPr>
          <w:noProof/>
          <w:color w:val="000000" w:themeColor="text1"/>
          <w:lang w:val="en-IE"/>
        </w:rPr>
        <w:t>1</w:t>
      </w:r>
      <w:r w:rsidR="00D03458" w:rsidRPr="00C260E1">
        <w:rPr>
          <w:noProof/>
          <w:color w:val="000000" w:themeColor="text1"/>
          <w:lang w:val="en-IE"/>
        </w:rPr>
        <w:t> </w:t>
      </w:r>
      <w:r w:rsidR="001D6525" w:rsidRPr="00C260E1">
        <w:rPr>
          <w:noProof/>
          <w:color w:val="000000" w:themeColor="text1"/>
          <w:lang w:val="en-IE"/>
        </w:rPr>
        <w:t>614</w:t>
      </w:r>
      <w:r w:rsidR="00964976" w:rsidRPr="00C260E1">
        <w:rPr>
          <w:noProof/>
          <w:color w:val="000000" w:themeColor="text1"/>
          <w:lang w:val="en-IE"/>
        </w:rPr>
        <w:t xml:space="preserve">) </w:t>
      </w:r>
      <w:r w:rsidR="00A618AB" w:rsidRPr="00C260E1">
        <w:rPr>
          <w:noProof/>
          <w:color w:val="000000" w:themeColor="text1"/>
          <w:lang w:val="en-IE"/>
        </w:rPr>
        <w:t>after underinvestment in R&amp;I (9</w:t>
      </w:r>
      <w:r w:rsidR="009C1C67" w:rsidRPr="00C260E1">
        <w:rPr>
          <w:noProof/>
          <w:color w:val="000000" w:themeColor="text1"/>
          <w:lang w:val="en-IE"/>
        </w:rPr>
        <w:t>1</w:t>
      </w:r>
      <w:r w:rsidR="00A618AB" w:rsidRPr="00C260E1">
        <w:rPr>
          <w:noProof/>
          <w:color w:val="000000" w:themeColor="text1"/>
          <w:lang w:val="en-IE"/>
        </w:rPr>
        <w:t>%</w:t>
      </w:r>
      <w:r w:rsidR="00E129D0" w:rsidRPr="00C260E1">
        <w:rPr>
          <w:noProof/>
          <w:color w:val="000000" w:themeColor="text1"/>
          <w:lang w:val="en-IE"/>
        </w:rPr>
        <w:t xml:space="preserve"> - N=</w:t>
      </w:r>
      <w:r w:rsidR="009C1C67" w:rsidRPr="00C260E1">
        <w:rPr>
          <w:noProof/>
          <w:color w:val="000000" w:themeColor="text1"/>
          <w:lang w:val="en-IE"/>
        </w:rPr>
        <w:t>1</w:t>
      </w:r>
      <w:r w:rsidR="00D03458" w:rsidRPr="00C260E1">
        <w:rPr>
          <w:noProof/>
          <w:color w:val="000000" w:themeColor="text1"/>
          <w:lang w:val="en-IE"/>
        </w:rPr>
        <w:t> </w:t>
      </w:r>
      <w:r w:rsidR="009C1C67" w:rsidRPr="00C260E1">
        <w:rPr>
          <w:noProof/>
          <w:color w:val="000000" w:themeColor="text1"/>
          <w:lang w:val="en-IE"/>
        </w:rPr>
        <w:t>795</w:t>
      </w:r>
      <w:r w:rsidR="00A618AB" w:rsidRPr="00C260E1">
        <w:rPr>
          <w:noProof/>
          <w:color w:val="000000" w:themeColor="text1"/>
          <w:lang w:val="en-IE"/>
        </w:rPr>
        <w:t>).</w:t>
      </w:r>
      <w:r w:rsidRPr="004E701B">
        <w:rPr>
          <w:noProof/>
          <w:lang w:val="en-IE"/>
        </w:rPr>
        <w:t xml:space="preserve"> </w:t>
      </w:r>
    </w:p>
    <w:p w14:paraId="1AD76EA6" w14:textId="2C61183B" w:rsidR="00444745" w:rsidRPr="006B7A35" w:rsidRDefault="00444745" w:rsidP="00603157">
      <w:pPr>
        <w:rPr>
          <w:noProof/>
          <w:lang w:val="en-IE"/>
        </w:rPr>
      </w:pPr>
      <w:r w:rsidRPr="00444745">
        <w:rPr>
          <w:noProof/>
          <w:lang w:val="en-IE"/>
        </w:rPr>
        <w:t xml:space="preserve">This is exacerbated by the limited alignment between </w:t>
      </w:r>
      <w:r w:rsidR="00C14F96">
        <w:rPr>
          <w:noProof/>
          <w:lang w:val="en-IE"/>
        </w:rPr>
        <w:t>EU</w:t>
      </w:r>
      <w:r w:rsidRPr="00444745">
        <w:rPr>
          <w:noProof/>
          <w:lang w:val="en-IE"/>
        </w:rPr>
        <w:t xml:space="preserve"> priorities and Member States funding strategies.</w:t>
      </w:r>
      <w:r w:rsidR="00E10670">
        <w:rPr>
          <w:rStyle w:val="FootnoteReference"/>
          <w:noProof/>
          <w:lang w:val="en-IE"/>
        </w:rPr>
        <w:footnoteReference w:id="106"/>
      </w:r>
      <w:r w:rsidRPr="00444745">
        <w:rPr>
          <w:noProof/>
          <w:lang w:val="en-IE"/>
        </w:rPr>
        <w:t xml:space="preserve"> Notwithstanding progress from initiatives such as IPCEIs to support key strategic technologies, most funding raised at national or regional level responds to national or regional priorities, often insufficiently aligned with EU strategies.</w:t>
      </w:r>
      <w:r w:rsidR="00631DDE">
        <w:rPr>
          <w:rStyle w:val="FootnoteReference"/>
          <w:noProof/>
          <w:lang w:val="en-IE"/>
        </w:rPr>
        <w:footnoteReference w:id="107"/>
      </w:r>
      <w:r w:rsidR="00EF0BE3" w:rsidRPr="00EF0BE3">
        <w:rPr>
          <w:noProof/>
          <w:color w:val="000000" w:themeColor="text1"/>
          <w:lang w:val="en-IE"/>
        </w:rPr>
        <w:t xml:space="preserve"> </w:t>
      </w:r>
      <w:r w:rsidR="007E3F51">
        <w:rPr>
          <w:noProof/>
          <w:color w:val="000000" w:themeColor="text1"/>
          <w:lang w:val="en-IE"/>
        </w:rPr>
        <w:t>In ad</w:t>
      </w:r>
      <w:r w:rsidR="000B43B9">
        <w:rPr>
          <w:noProof/>
          <w:color w:val="000000" w:themeColor="text1"/>
          <w:lang w:val="en-IE"/>
        </w:rPr>
        <w:t xml:space="preserve">dition, </w:t>
      </w:r>
      <w:r w:rsidR="00EF0BE3">
        <w:rPr>
          <w:noProof/>
          <w:color w:val="000000" w:themeColor="text1"/>
          <w:lang w:val="en-IE"/>
        </w:rPr>
        <w:t xml:space="preserve"> </w:t>
      </w:r>
      <w:r w:rsidR="00EF0BE3" w:rsidRPr="00723637">
        <w:rPr>
          <w:noProof/>
          <w:color w:val="000000" w:themeColor="text1"/>
        </w:rPr>
        <w:t xml:space="preserve">EU </w:t>
      </w:r>
      <w:r w:rsidR="00EF0BE3" w:rsidRPr="007709BA">
        <w:rPr>
          <w:b/>
          <w:bCs/>
          <w:noProof/>
          <w:color w:val="000000" w:themeColor="text1"/>
        </w:rPr>
        <w:t xml:space="preserve">public R&amp;D funding is fragmented </w:t>
      </w:r>
      <w:r w:rsidR="00EF0BE3" w:rsidRPr="00566C20">
        <w:rPr>
          <w:noProof/>
          <w:color w:val="000000" w:themeColor="text1"/>
        </w:rPr>
        <w:t>across multiple governmental</w:t>
      </w:r>
      <w:r w:rsidR="00EF0BE3" w:rsidRPr="00723637">
        <w:rPr>
          <w:noProof/>
          <w:color w:val="000000" w:themeColor="text1"/>
        </w:rPr>
        <w:t xml:space="preserve"> layers</w:t>
      </w:r>
      <w:r w:rsidR="00EF0BE3">
        <w:rPr>
          <w:noProof/>
          <w:color w:val="000000" w:themeColor="text1"/>
        </w:rPr>
        <w:t xml:space="preserve"> hindering the impact of public funding</w:t>
      </w:r>
      <w:r w:rsidR="00EF0BE3">
        <w:rPr>
          <w:noProof/>
          <w:color w:val="000000" w:themeColor="text1"/>
          <w:lang w:val="en-IE"/>
        </w:rPr>
        <w:t xml:space="preserve">. Given the constraints on public funding </w:t>
      </w:r>
      <w:r w:rsidR="00EF0BE3" w:rsidRPr="00723637">
        <w:rPr>
          <w:noProof/>
          <w:color w:val="000000" w:themeColor="text1"/>
        </w:rPr>
        <w:t>ensuring the efficiency</w:t>
      </w:r>
      <w:r w:rsidR="00EF0BE3">
        <w:rPr>
          <w:noProof/>
          <w:color w:val="000000" w:themeColor="text1"/>
        </w:rPr>
        <w:t xml:space="preserve"> and impact is vital</w:t>
      </w:r>
      <w:r w:rsidR="00EF0BE3" w:rsidRPr="00723637">
        <w:rPr>
          <w:noProof/>
          <w:color w:val="000000" w:themeColor="text1"/>
        </w:rPr>
        <w:t>.</w:t>
      </w:r>
      <w:r w:rsidR="00EF0BE3">
        <w:rPr>
          <w:rStyle w:val="FootnoteReference"/>
          <w:noProof/>
          <w:color w:val="000000" w:themeColor="text1"/>
          <w:lang w:val="en-IE"/>
        </w:rPr>
        <w:footnoteReference w:id="108"/>
      </w:r>
    </w:p>
    <w:p w14:paraId="613E8DFF" w14:textId="7574C7A9" w:rsidR="00B051E3" w:rsidRDefault="2D9F23D0" w:rsidP="00603157">
      <w:pPr>
        <w:rPr>
          <w:noProof/>
          <w:color w:val="000000" w:themeColor="text1"/>
          <w:lang w:val="en-IE"/>
        </w:rPr>
      </w:pPr>
      <w:r w:rsidRPr="004E701B">
        <w:rPr>
          <w:b/>
          <w:bCs/>
          <w:noProof/>
          <w:lang w:val="en-IE"/>
        </w:rPr>
        <w:t xml:space="preserve">Europe specialises in </w:t>
      </w:r>
      <w:r w:rsidR="2C9707F0">
        <w:rPr>
          <w:b/>
          <w:bCs/>
          <w:noProof/>
          <w:lang w:val="en-IE"/>
        </w:rPr>
        <w:t>mid-tech sectors</w:t>
      </w:r>
      <w:r w:rsidR="45FBAF4F">
        <w:rPr>
          <w:b/>
          <w:bCs/>
          <w:noProof/>
          <w:lang w:val="en-IE"/>
        </w:rPr>
        <w:t xml:space="preserve"> with </w:t>
      </w:r>
      <w:r w:rsidR="0550C65B">
        <w:rPr>
          <w:b/>
          <w:bCs/>
          <w:noProof/>
          <w:lang w:val="en-IE"/>
        </w:rPr>
        <w:t xml:space="preserve">lower R&amp;I intensity </w:t>
      </w:r>
      <w:r w:rsidR="3379A9AD" w:rsidRPr="00DC7F48">
        <w:rPr>
          <w:noProof/>
          <w:lang w:val="en-IE"/>
        </w:rPr>
        <w:t>that are not at the centre of radical technological advances</w:t>
      </w:r>
      <w:r w:rsidRPr="00DC7F48">
        <w:rPr>
          <w:noProof/>
          <w:lang w:val="en-IE"/>
        </w:rPr>
        <w:t>.</w:t>
      </w:r>
      <w:r w:rsidR="00801E98">
        <w:rPr>
          <w:rStyle w:val="FootnoteReference"/>
          <w:noProof/>
          <w:lang w:val="en-IE"/>
        </w:rPr>
        <w:footnoteReference w:id="109"/>
      </w:r>
      <w:r>
        <w:rPr>
          <w:b/>
          <w:bCs/>
          <w:noProof/>
          <w:lang w:val="en-IE"/>
        </w:rPr>
        <w:t xml:space="preserve"> </w:t>
      </w:r>
      <w:r w:rsidRPr="004E701B">
        <w:rPr>
          <w:noProof/>
          <w:lang w:val="en-IE"/>
        </w:rPr>
        <w:t>It</w:t>
      </w:r>
      <w:r>
        <w:rPr>
          <w:noProof/>
          <w:lang w:val="en-IE"/>
        </w:rPr>
        <w:t>s</w:t>
      </w:r>
      <w:r w:rsidRPr="004E701B">
        <w:rPr>
          <w:noProof/>
          <w:lang w:val="en-IE"/>
        </w:rPr>
        <w:t xml:space="preserve"> </w:t>
      </w:r>
      <w:r w:rsidRPr="00E67288">
        <w:rPr>
          <w:noProof/>
          <w:lang w:val="en-IE"/>
        </w:rPr>
        <w:t xml:space="preserve">scientific productivity </w:t>
      </w:r>
      <w:r>
        <w:rPr>
          <w:noProof/>
          <w:lang w:val="en-IE"/>
        </w:rPr>
        <w:t xml:space="preserve">is lower </w:t>
      </w:r>
      <w:r w:rsidRPr="00E67288">
        <w:rPr>
          <w:noProof/>
          <w:lang w:val="en-IE"/>
        </w:rPr>
        <w:t>than the US and China</w:t>
      </w:r>
      <w:r w:rsidR="46CA8840">
        <w:rPr>
          <w:noProof/>
          <w:lang w:val="en-IE"/>
        </w:rPr>
        <w:t>’s</w:t>
      </w:r>
      <w:r w:rsidRPr="00E67288">
        <w:rPr>
          <w:noProof/>
          <w:lang w:val="en-IE"/>
        </w:rPr>
        <w:t xml:space="preserve"> in strategic areas</w:t>
      </w:r>
      <w:r w:rsidRPr="65D94619">
        <w:rPr>
          <w:noProof/>
          <w:lang w:val="en-IE"/>
        </w:rPr>
        <w:t>, leading to a considerable technological gap, as shown in</w:t>
      </w:r>
      <w:r>
        <w:rPr>
          <w:noProof/>
          <w:lang w:val="en-IE"/>
        </w:rPr>
        <w:t xml:space="preserve"> </w:t>
      </w:r>
      <w:r w:rsidR="008549DD">
        <w:rPr>
          <w:noProof/>
          <w:lang w:val="en-IE"/>
        </w:rPr>
        <w:fldChar w:fldCharType="begin"/>
      </w:r>
      <w:r w:rsidR="008549DD">
        <w:rPr>
          <w:noProof/>
          <w:lang w:val="en-IE"/>
        </w:rPr>
        <w:instrText xml:space="preserve"> REF _Ref191556580 \h </w:instrText>
      </w:r>
      <w:r w:rsidR="008549DD">
        <w:rPr>
          <w:noProof/>
          <w:lang w:val="en-IE"/>
        </w:rPr>
      </w:r>
      <w:r w:rsidR="008549DD">
        <w:rPr>
          <w:noProof/>
          <w:lang w:val="en-IE"/>
        </w:rPr>
        <w:fldChar w:fldCharType="separate"/>
      </w:r>
      <w:r w:rsidR="007722AE" w:rsidRPr="2A71C6A5">
        <w:rPr>
          <w:noProof/>
          <w:lang w:val="en-IE"/>
        </w:rPr>
        <w:t xml:space="preserve">Figure </w:t>
      </w:r>
      <w:r w:rsidR="007722AE">
        <w:rPr>
          <w:noProof/>
          <w:lang w:val="en-IE"/>
        </w:rPr>
        <w:t>2</w:t>
      </w:r>
      <w:r w:rsidR="007722AE" w:rsidRPr="2A71C6A5">
        <w:rPr>
          <w:noProof/>
          <w:lang w:val="en-IE"/>
        </w:rPr>
        <w:t xml:space="preserve"> - EU position in complex technologies vs. the US and China, 2019-2022</w:t>
      </w:r>
      <w:r w:rsidR="008549DD">
        <w:rPr>
          <w:noProof/>
          <w:lang w:val="en-IE"/>
        </w:rPr>
        <w:fldChar w:fldCharType="end"/>
      </w:r>
      <w:r>
        <w:rPr>
          <w:noProof/>
          <w:color w:val="000000" w:themeColor="text1"/>
          <w:lang w:val="en-IE"/>
        </w:rPr>
        <w:t xml:space="preserve">. </w:t>
      </w:r>
      <w:r w:rsidRPr="004F7D7D">
        <w:rPr>
          <w:noProof/>
          <w:color w:val="000000" w:themeColor="text1"/>
          <w:lang w:val="en-IE"/>
        </w:rPr>
        <w:t>Th</w:t>
      </w:r>
      <w:r>
        <w:rPr>
          <w:noProof/>
          <w:color w:val="000000" w:themeColor="text1"/>
          <w:lang w:val="en-IE"/>
        </w:rPr>
        <w:t>is t</w:t>
      </w:r>
      <w:r w:rsidRPr="004F7D7D">
        <w:rPr>
          <w:noProof/>
          <w:color w:val="000000" w:themeColor="text1"/>
          <w:lang w:val="en-IE"/>
        </w:rPr>
        <w:t xml:space="preserve">echnological gap is </w:t>
      </w:r>
      <w:r>
        <w:rPr>
          <w:noProof/>
          <w:color w:val="000000" w:themeColor="text1"/>
          <w:lang w:val="en-IE"/>
        </w:rPr>
        <w:t>also largely</w:t>
      </w:r>
      <w:r w:rsidRPr="004F7D7D">
        <w:rPr>
          <w:noProof/>
          <w:color w:val="000000" w:themeColor="text1"/>
          <w:lang w:val="en-IE"/>
        </w:rPr>
        <w:t xml:space="preserve"> affected by </w:t>
      </w:r>
      <w:r>
        <w:rPr>
          <w:noProof/>
          <w:color w:val="000000" w:themeColor="text1"/>
          <w:lang w:val="en-IE"/>
        </w:rPr>
        <w:t xml:space="preserve">a </w:t>
      </w:r>
      <w:r w:rsidRPr="004E701B">
        <w:rPr>
          <w:b/>
          <w:bCs/>
          <w:noProof/>
          <w:color w:val="000000" w:themeColor="text1"/>
          <w:lang w:val="en-IE"/>
        </w:rPr>
        <w:t>gap in private R&amp;I investment</w:t>
      </w:r>
      <w:r>
        <w:rPr>
          <w:noProof/>
          <w:color w:val="000000" w:themeColor="text1"/>
          <w:lang w:val="en-IE"/>
        </w:rPr>
        <w:t xml:space="preserve"> (see Problem Driver #</w:t>
      </w:r>
      <w:r w:rsidR="4F2515C6">
        <w:rPr>
          <w:noProof/>
          <w:color w:val="000000" w:themeColor="text1"/>
          <w:lang w:val="en-IE"/>
        </w:rPr>
        <w:t>2</w:t>
      </w:r>
      <w:r>
        <w:rPr>
          <w:noProof/>
          <w:color w:val="000000" w:themeColor="text1"/>
          <w:lang w:val="en-IE"/>
        </w:rPr>
        <w:t>). This creates</w:t>
      </w:r>
      <w:r w:rsidRPr="004E701B">
        <w:rPr>
          <w:b/>
          <w:bCs/>
          <w:noProof/>
          <w:color w:val="000000" w:themeColor="text1"/>
          <w:lang w:val="en-IE"/>
        </w:rPr>
        <w:t xml:space="preserve"> a vicious cycle where </w:t>
      </w:r>
      <w:r>
        <w:rPr>
          <w:b/>
          <w:bCs/>
          <w:noProof/>
          <w:color w:val="000000" w:themeColor="text1"/>
          <w:lang w:val="en-IE"/>
        </w:rPr>
        <w:t>the EU</w:t>
      </w:r>
      <w:r w:rsidRPr="004E701B">
        <w:rPr>
          <w:b/>
          <w:bCs/>
          <w:noProof/>
          <w:color w:val="000000" w:themeColor="text1"/>
          <w:lang w:val="en-IE"/>
        </w:rPr>
        <w:t xml:space="preserve"> focuses on mid-to-low research-intensive technologies</w:t>
      </w:r>
      <w:r w:rsidRPr="004F7D7D">
        <w:rPr>
          <w:noProof/>
          <w:color w:val="000000" w:themeColor="text1"/>
          <w:lang w:val="en-IE"/>
        </w:rPr>
        <w:t xml:space="preserve">, </w:t>
      </w:r>
      <w:r>
        <w:rPr>
          <w:noProof/>
          <w:color w:val="000000" w:themeColor="text1"/>
          <w:lang w:val="en-IE"/>
        </w:rPr>
        <w:t>which widens</w:t>
      </w:r>
      <w:r w:rsidRPr="004F7D7D">
        <w:rPr>
          <w:noProof/>
          <w:color w:val="000000" w:themeColor="text1"/>
          <w:lang w:val="en-IE"/>
        </w:rPr>
        <w:t xml:space="preserve"> the R&amp;I investment gap in high-tech sectors like ICT and health.</w:t>
      </w:r>
      <w:r w:rsidR="008549DD" w:rsidRPr="007B2360">
        <w:rPr>
          <w:rStyle w:val="FootnoteReference"/>
          <w:noProof/>
          <w:color w:val="000000" w:themeColor="text1"/>
          <w:lang w:val="en-IE"/>
        </w:rPr>
        <w:footnoteReference w:id="110"/>
      </w:r>
      <w:r w:rsidR="7FD07D0D" w:rsidRPr="01161804">
        <w:rPr>
          <w:noProof/>
          <w:color w:val="000000" w:themeColor="text1"/>
          <w:lang w:val="en-IE"/>
        </w:rPr>
        <w:t xml:space="preserve"> </w:t>
      </w:r>
    </w:p>
    <w:p w14:paraId="2163BBC3" w14:textId="4DB5C708" w:rsidR="1247EEC3" w:rsidRDefault="7FD07D0D" w:rsidP="00603157">
      <w:pPr>
        <w:rPr>
          <w:noProof/>
          <w:color w:val="000000" w:themeColor="text1"/>
          <w:lang w:val="en-IE"/>
        </w:rPr>
      </w:pPr>
      <w:r w:rsidRPr="01161804">
        <w:rPr>
          <w:noProof/>
          <w:color w:val="000000" w:themeColor="text1"/>
          <w:lang w:val="en-IE"/>
        </w:rPr>
        <w:t>Additionally</w:t>
      </w:r>
      <w:r w:rsidR="3E4DB016" w:rsidRPr="01161804">
        <w:rPr>
          <w:noProof/>
          <w:color w:val="000000" w:themeColor="text1"/>
          <w:lang w:val="en-IE"/>
        </w:rPr>
        <w:t xml:space="preserve">, </w:t>
      </w:r>
      <w:r w:rsidR="0FD402CB" w:rsidRPr="00BB184A">
        <w:rPr>
          <w:noProof/>
          <w:color w:val="000000" w:themeColor="text1"/>
          <w:lang w:val="en-IE"/>
        </w:rPr>
        <w:t xml:space="preserve">Europe faces a debt financing gap for new SME financing of more than </w:t>
      </w:r>
      <w:r w:rsidR="00D03458">
        <w:rPr>
          <w:noProof/>
          <w:color w:val="000000" w:themeColor="text1"/>
          <w:lang w:val="en-IE"/>
        </w:rPr>
        <w:t xml:space="preserve">EUR </w:t>
      </w:r>
      <w:r w:rsidR="0FD402CB" w:rsidRPr="00BB184A">
        <w:rPr>
          <w:noProof/>
          <w:color w:val="000000" w:themeColor="text1"/>
          <w:lang w:val="en-IE"/>
        </w:rPr>
        <w:t>200 billion over a 7-year period. The financing gap exists in every Member State albeit in a different order of magnitude.</w:t>
      </w:r>
      <w:r w:rsidR="003F3477">
        <w:rPr>
          <w:rStyle w:val="FootnoteReference"/>
          <w:noProof/>
          <w:color w:val="000000" w:themeColor="text1"/>
          <w:lang w:val="en-IE"/>
        </w:rPr>
        <w:footnoteReference w:id="111"/>
      </w:r>
      <w:r w:rsidR="00095EA0">
        <w:rPr>
          <w:noProof/>
          <w:color w:val="000000" w:themeColor="text1"/>
          <w:lang w:val="en-IE"/>
        </w:rPr>
        <w:t xml:space="preserve"> </w:t>
      </w:r>
      <w:r w:rsidR="77BABFAB" w:rsidRPr="00BB184A">
        <w:rPr>
          <w:noProof/>
          <w:color w:val="000000" w:themeColor="text1"/>
          <w:lang w:val="en-IE"/>
        </w:rPr>
        <w:t xml:space="preserve">This financing gap is observed, despite the fact that significant efforts are undertaken at EU and Member State level to support SME financing such as through the InvestEU programme, Member State resources or EIB/EIF own resources. </w:t>
      </w:r>
    </w:p>
    <w:p w14:paraId="49C7267A" w14:textId="77777777" w:rsidR="00094C16" w:rsidRPr="00BB184A" w:rsidRDefault="00094C16" w:rsidP="00603157">
      <w:pPr>
        <w:rPr>
          <w:rStyle w:val="FootnoteReference"/>
          <w:rFonts w:asciiTheme="minorHAnsi" w:eastAsiaTheme="minorEastAsia" w:hAnsiTheme="minorHAnsi" w:cstheme="minorBidi"/>
          <w:noProof/>
        </w:rPr>
      </w:pPr>
    </w:p>
    <w:p w14:paraId="3BE62A3F" w14:textId="09B96110" w:rsidR="008549DD" w:rsidRPr="009952CF" w:rsidRDefault="40EDD93B" w:rsidP="00603157">
      <w:pPr>
        <w:pStyle w:val="Caption"/>
        <w:keepNext/>
        <w:jc w:val="center"/>
        <w:rPr>
          <w:noProof/>
          <w:lang w:val="en-IE"/>
        </w:rPr>
      </w:pPr>
      <w:bookmarkStart w:id="54" w:name="_Ref191556580"/>
      <w:r w:rsidRPr="2A71C6A5">
        <w:rPr>
          <w:noProof/>
          <w:lang w:val="en-IE"/>
        </w:rPr>
        <w:t xml:space="preserve">Figure </w:t>
      </w:r>
      <w:r w:rsidR="00404888">
        <w:rPr>
          <w:noProof/>
          <w:lang w:val="en-IE"/>
        </w:rPr>
        <w:t>2</w:t>
      </w:r>
      <w:r w:rsidRPr="2A71C6A5">
        <w:rPr>
          <w:noProof/>
          <w:lang w:val="en-IE"/>
        </w:rPr>
        <w:t xml:space="preserve"> - EU position in complex technologies vs. the US and China, 2019-2022</w:t>
      </w:r>
      <w:bookmarkEnd w:id="54"/>
      <w:r w:rsidR="00310BF8">
        <w:rPr>
          <w:rStyle w:val="FootnoteReference"/>
          <w:noProof/>
          <w:lang w:val="en-IE"/>
        </w:rPr>
        <w:footnoteReference w:id="112"/>
      </w:r>
    </w:p>
    <w:p w14:paraId="07EF95DF" w14:textId="77777777" w:rsidR="008549DD" w:rsidRPr="00FD084B" w:rsidRDefault="008549DD" w:rsidP="00603157">
      <w:pPr>
        <w:jc w:val="center"/>
        <w:rPr>
          <w:rStyle w:val="normaltextrun"/>
          <w:i/>
          <w:iCs/>
          <w:noProof/>
          <w:color w:val="000000" w:themeColor="text1"/>
          <w:sz w:val="18"/>
          <w:szCs w:val="18"/>
          <w:lang w:val="en-IE"/>
        </w:rPr>
      </w:pPr>
      <w:r w:rsidRPr="009952CF">
        <w:rPr>
          <w:noProof/>
          <w:lang w:eastAsia="en-GB"/>
        </w:rPr>
        <w:drawing>
          <wp:inline distT="0" distB="0" distL="0" distR="0" wp14:anchorId="520BF6ED" wp14:editId="300CC0E2">
            <wp:extent cx="4076927" cy="3291826"/>
            <wp:effectExtent l="0" t="0" r="0" b="4445"/>
            <wp:docPr id="629956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56266" name=""/>
                    <pic:cNvPicPr/>
                  </pic:nvPicPr>
                  <pic:blipFill>
                    <a:blip r:embed="rId20"/>
                    <a:stretch>
                      <a:fillRect/>
                    </a:stretch>
                  </pic:blipFill>
                  <pic:spPr>
                    <a:xfrm>
                      <a:off x="0" y="0"/>
                      <a:ext cx="4088649" cy="3301291"/>
                    </a:xfrm>
                    <a:prstGeom prst="rect">
                      <a:avLst/>
                    </a:prstGeom>
                  </pic:spPr>
                </pic:pic>
              </a:graphicData>
            </a:graphic>
          </wp:inline>
        </w:drawing>
      </w:r>
    </w:p>
    <w:p w14:paraId="70B192FC" w14:textId="48ED62A3" w:rsidR="00E62275" w:rsidRPr="00FD2829" w:rsidRDefault="7B063C83" w:rsidP="00603157">
      <w:pPr>
        <w:rPr>
          <w:noProof/>
          <w:lang w:val="en-US"/>
        </w:rPr>
      </w:pPr>
      <w:r w:rsidRPr="238292F4">
        <w:rPr>
          <w:b/>
          <w:bCs/>
          <w:noProof/>
        </w:rPr>
        <w:t>T</w:t>
      </w:r>
      <w:r w:rsidR="39D2D422" w:rsidRPr="3C29BB1B">
        <w:rPr>
          <w:b/>
          <w:bCs/>
          <w:noProof/>
        </w:rPr>
        <w:t xml:space="preserve">he EU has allocated significant budget to contribute to the digital transition. </w:t>
      </w:r>
      <w:r w:rsidR="6BAA3701" w:rsidRPr="0A1CE604">
        <w:rPr>
          <w:noProof/>
        </w:rPr>
        <w:t>I</w:t>
      </w:r>
      <w:r w:rsidR="39D2D422">
        <w:rPr>
          <w:noProof/>
        </w:rPr>
        <w:t xml:space="preserve">n the years 2021 to 2023, the EU budget (including NextGenerationEU) has channelled over EUR 200 billion to the digital </w:t>
      </w:r>
      <w:r w:rsidR="2593276E">
        <w:rPr>
          <w:noProof/>
        </w:rPr>
        <w:t>sector</w:t>
      </w:r>
      <w:r w:rsidR="39D2D422">
        <w:rPr>
          <w:noProof/>
        </w:rPr>
        <w:t>.</w:t>
      </w:r>
      <w:r w:rsidR="00B0583E">
        <w:rPr>
          <w:rStyle w:val="FootnoteReference"/>
          <w:noProof/>
        </w:rPr>
        <w:footnoteReference w:id="113"/>
      </w:r>
      <w:r w:rsidR="39D2D422">
        <w:rPr>
          <w:noProof/>
        </w:rPr>
        <w:t xml:space="preserve"> However, this proved insufficient</w:t>
      </w:r>
      <w:r w:rsidR="0DCA9A9A">
        <w:rPr>
          <w:noProof/>
        </w:rPr>
        <w:t xml:space="preserve"> to reach </w:t>
      </w:r>
      <w:r w:rsidR="25B8B1CC">
        <w:rPr>
          <w:noProof/>
        </w:rPr>
        <w:t>s</w:t>
      </w:r>
      <w:r w:rsidR="39D2D422">
        <w:rPr>
          <w:noProof/>
        </w:rPr>
        <w:t xml:space="preserve">everal </w:t>
      </w:r>
      <w:r w:rsidR="1423FB37">
        <w:rPr>
          <w:noProof/>
        </w:rPr>
        <w:t>EU</w:t>
      </w:r>
      <w:r w:rsidR="6F7C9D52">
        <w:rPr>
          <w:noProof/>
        </w:rPr>
        <w:t xml:space="preserve"> </w:t>
      </w:r>
      <w:r w:rsidR="39D2D422">
        <w:rPr>
          <w:noProof/>
        </w:rPr>
        <w:t xml:space="preserve">digital targets. For instance, it is estimated that reaching the Digital Decade connectivity targets alone still requires </w:t>
      </w:r>
      <w:r w:rsidR="061269FA">
        <w:rPr>
          <w:noProof/>
        </w:rPr>
        <w:t xml:space="preserve">additional </w:t>
      </w:r>
      <w:r w:rsidR="39D2D422">
        <w:rPr>
          <w:noProof/>
        </w:rPr>
        <w:t>investment</w:t>
      </w:r>
      <w:r w:rsidR="061269FA">
        <w:rPr>
          <w:noProof/>
        </w:rPr>
        <w:t>s</w:t>
      </w:r>
      <w:r w:rsidR="39D2D422">
        <w:rPr>
          <w:noProof/>
        </w:rPr>
        <w:t xml:space="preserve"> of more than EUR 200 billion until 2030</w:t>
      </w:r>
      <w:r w:rsidR="004B5A92">
        <w:rPr>
          <w:rStyle w:val="FootnoteReference"/>
          <w:noProof/>
        </w:rPr>
        <w:footnoteReference w:id="114"/>
      </w:r>
      <w:r w:rsidR="39D2D422">
        <w:rPr>
          <w:noProof/>
        </w:rPr>
        <w:t xml:space="preserve">. </w:t>
      </w:r>
      <w:r w:rsidR="11A733EF">
        <w:rPr>
          <w:noProof/>
        </w:rPr>
        <w:t xml:space="preserve">Based on a projection from 2020 data, </w:t>
      </w:r>
      <w:r w:rsidR="11A733EF" w:rsidRPr="3C29BB1B">
        <w:rPr>
          <w:noProof/>
          <w:lang w:val="en-IE"/>
        </w:rPr>
        <w:t xml:space="preserve">Draghi estimates that, for the period 2025-2030, </w:t>
      </w:r>
      <w:r w:rsidR="11A733EF">
        <w:rPr>
          <w:noProof/>
        </w:rPr>
        <w:t>EUR 150 billion annually are needed for the EU to become a leader in digital technologies and between EUR 100 to 150 billion annually for breakthrough innovations, including in the field of digital. For example, a minimal sovereign cloud capacity requires EUR 80 billion. Reaching the target for chips production capacity (20% of global market share by 2030) would still require 2</w:t>
      </w:r>
      <w:r w:rsidR="002A0F44">
        <w:rPr>
          <w:noProof/>
        </w:rPr>
        <w:t>51</w:t>
      </w:r>
      <w:r w:rsidR="11A733EF">
        <w:rPr>
          <w:noProof/>
        </w:rPr>
        <w:t xml:space="preserve"> billion, according to an estimate of industry leader ASML</w:t>
      </w:r>
      <w:r w:rsidR="002A0F44">
        <w:rPr>
          <w:rStyle w:val="FootnoteReference"/>
          <w:noProof/>
        </w:rPr>
        <w:footnoteReference w:id="115"/>
      </w:r>
      <w:r w:rsidR="00051CE5">
        <w:rPr>
          <w:noProof/>
        </w:rPr>
        <w:t>.</w:t>
      </w:r>
    </w:p>
    <w:p w14:paraId="096BAB92" w14:textId="0272C43C" w:rsidR="008549DD" w:rsidRDefault="2D9F23D0" w:rsidP="00603157">
      <w:pPr>
        <w:rPr>
          <w:rFonts w:eastAsia="Times New Roman"/>
          <w:noProof/>
          <w:lang w:val="en-IE"/>
        </w:rPr>
      </w:pPr>
      <w:r w:rsidRPr="00A62396">
        <w:rPr>
          <w:noProof/>
          <w:lang w:val="en-IE"/>
        </w:rPr>
        <w:t xml:space="preserve">Furthermore, </w:t>
      </w:r>
      <w:r w:rsidRPr="00983879">
        <w:rPr>
          <w:noProof/>
          <w:lang w:val="en-IE"/>
        </w:rPr>
        <w:t xml:space="preserve">the EU </w:t>
      </w:r>
      <w:r w:rsidR="00923051">
        <w:rPr>
          <w:noProof/>
          <w:lang w:val="en-IE"/>
        </w:rPr>
        <w:t xml:space="preserve">is </w:t>
      </w:r>
      <w:r w:rsidRPr="00983879">
        <w:rPr>
          <w:noProof/>
          <w:lang w:val="en-IE"/>
        </w:rPr>
        <w:t>at</w:t>
      </w:r>
      <w:r w:rsidRPr="00A62396">
        <w:rPr>
          <w:noProof/>
          <w:lang w:val="en-IE"/>
        </w:rPr>
        <w:t xml:space="preserve"> </w:t>
      </w:r>
      <w:r w:rsidRPr="00983879">
        <w:rPr>
          <w:noProof/>
          <w:lang w:val="en-IE"/>
        </w:rPr>
        <w:t xml:space="preserve">risk of losing its lead in </w:t>
      </w:r>
      <w:r w:rsidRPr="004E701B">
        <w:rPr>
          <w:b/>
          <w:bCs/>
          <w:noProof/>
          <w:lang w:val="en-IE"/>
        </w:rPr>
        <w:t>clean technologies</w:t>
      </w:r>
      <w:r w:rsidRPr="00A62396">
        <w:rPr>
          <w:noProof/>
          <w:lang w:val="en-IE"/>
        </w:rPr>
        <w:t xml:space="preserve"> and </w:t>
      </w:r>
      <w:r w:rsidR="00A34EEC">
        <w:rPr>
          <w:noProof/>
          <w:lang w:val="en-IE"/>
        </w:rPr>
        <w:t xml:space="preserve">putting in </w:t>
      </w:r>
      <w:r w:rsidR="00935DB8">
        <w:rPr>
          <w:noProof/>
          <w:lang w:val="en-IE"/>
        </w:rPr>
        <w:t xml:space="preserve">danger the achievement of </w:t>
      </w:r>
      <w:r w:rsidRPr="00A62396">
        <w:rPr>
          <w:noProof/>
          <w:lang w:val="en-IE"/>
        </w:rPr>
        <w:t>its environmental and climate goals due to insufficient</w:t>
      </w:r>
      <w:r>
        <w:rPr>
          <w:noProof/>
          <w:lang w:val="en-IE"/>
        </w:rPr>
        <w:t xml:space="preserve"> disruptive</w:t>
      </w:r>
      <w:r w:rsidRPr="00A62396">
        <w:rPr>
          <w:noProof/>
          <w:lang w:val="en-IE"/>
        </w:rPr>
        <w:t xml:space="preserve"> innovation </w:t>
      </w:r>
      <w:r w:rsidR="75152E0D" w:rsidRPr="68AEC0ED">
        <w:rPr>
          <w:noProof/>
          <w:lang w:val="en-IE"/>
        </w:rPr>
        <w:t xml:space="preserve">leading to commercialisation </w:t>
      </w:r>
      <w:r w:rsidRPr="00A62396">
        <w:rPr>
          <w:noProof/>
          <w:lang w:val="en-IE"/>
        </w:rPr>
        <w:t>in areas like circular economy</w:t>
      </w:r>
      <w:r w:rsidRPr="68AEC0ED">
        <w:rPr>
          <w:noProof/>
          <w:lang w:val="en-IE"/>
        </w:rPr>
        <w:t xml:space="preserve">, </w:t>
      </w:r>
      <w:r w:rsidR="3B3248F9" w:rsidRPr="68AEC0ED">
        <w:rPr>
          <w:noProof/>
          <w:lang w:val="en-IE"/>
        </w:rPr>
        <w:t>water resilience</w:t>
      </w:r>
      <w:r w:rsidR="3B3248F9" w:rsidRPr="5F7B7C22">
        <w:rPr>
          <w:noProof/>
          <w:lang w:val="en-IE"/>
        </w:rPr>
        <w:t xml:space="preserve">, </w:t>
      </w:r>
      <w:r w:rsidR="2AE35E93" w:rsidRPr="01161804">
        <w:rPr>
          <w:noProof/>
          <w:lang w:val="en-IE"/>
        </w:rPr>
        <w:t xml:space="preserve">blue economy, </w:t>
      </w:r>
      <w:r w:rsidRPr="00A62396">
        <w:rPr>
          <w:noProof/>
          <w:lang w:val="en-IE"/>
        </w:rPr>
        <w:t>zero pollution, and climate change mitigation.</w:t>
      </w:r>
      <w:r w:rsidR="008549DD" w:rsidRPr="009952CF">
        <w:rPr>
          <w:rStyle w:val="FootnoteReference"/>
          <w:noProof/>
          <w:lang w:val="en-IE"/>
        </w:rPr>
        <w:footnoteReference w:id="116"/>
      </w:r>
      <w:r>
        <w:rPr>
          <w:noProof/>
          <w:lang w:val="en-IE"/>
        </w:rPr>
        <w:t xml:space="preserve"> </w:t>
      </w:r>
      <w:r w:rsidRPr="007E33D2">
        <w:rPr>
          <w:rFonts w:eastAsia="Times New Roman"/>
          <w:noProof/>
          <w:lang w:val="en-IE"/>
        </w:rPr>
        <w:t xml:space="preserve">While the EU still performs better than China and the US in R&amp;I in some energy technologies, green infrastructure, and environmental tech, </w:t>
      </w:r>
      <w:r w:rsidR="00977794">
        <w:rPr>
          <w:rFonts w:eastAsia="Times New Roman"/>
          <w:noProof/>
          <w:lang w:val="en-IE"/>
        </w:rPr>
        <w:t>and</w:t>
      </w:r>
      <w:r w:rsidR="00EE11C7">
        <w:rPr>
          <w:rFonts w:eastAsia="Times New Roman"/>
          <w:noProof/>
          <w:lang w:val="en-IE"/>
        </w:rPr>
        <w:t xml:space="preserve"> has mobilised </w:t>
      </w:r>
      <w:r w:rsidR="00B053E5">
        <w:rPr>
          <w:rFonts w:eastAsia="Times New Roman"/>
          <w:noProof/>
          <w:lang w:val="en-IE"/>
        </w:rPr>
        <w:t xml:space="preserve">significant resources under the </w:t>
      </w:r>
      <w:r w:rsidR="001E79A1">
        <w:rPr>
          <w:rFonts w:eastAsia="Times New Roman"/>
          <w:noProof/>
          <w:lang w:val="en-IE"/>
        </w:rPr>
        <w:t>2021-27</w:t>
      </w:r>
      <w:r w:rsidR="00B053E5">
        <w:rPr>
          <w:rFonts w:eastAsia="Times New Roman"/>
          <w:noProof/>
          <w:lang w:val="en-IE"/>
        </w:rPr>
        <w:t xml:space="preserve"> MFF and Next Generation EU,</w:t>
      </w:r>
      <w:r w:rsidR="00977794">
        <w:rPr>
          <w:rFonts w:eastAsia="Times New Roman"/>
          <w:noProof/>
          <w:lang w:val="en-IE"/>
        </w:rPr>
        <w:t xml:space="preserve"> </w:t>
      </w:r>
      <w:r w:rsidRPr="007E33D2">
        <w:rPr>
          <w:rFonts w:eastAsia="Times New Roman"/>
          <w:noProof/>
          <w:lang w:val="en-IE"/>
        </w:rPr>
        <w:t xml:space="preserve">it is still lagging in investments in promotion, development, and </w:t>
      </w:r>
      <w:r w:rsidR="00D039E8">
        <w:rPr>
          <w:rFonts w:eastAsia="Times New Roman"/>
          <w:noProof/>
          <w:lang w:val="en-IE"/>
        </w:rPr>
        <w:t>manufacturing</w:t>
      </w:r>
      <w:r>
        <w:rPr>
          <w:rFonts w:eastAsia="Times New Roman"/>
          <w:noProof/>
          <w:lang w:val="en-IE"/>
        </w:rPr>
        <w:t>.</w:t>
      </w:r>
      <w:r w:rsidR="008549DD">
        <w:rPr>
          <w:rStyle w:val="FootnoteReference"/>
          <w:rFonts w:eastAsia="Times New Roman"/>
          <w:noProof/>
          <w:lang w:val="en-IE"/>
        </w:rPr>
        <w:footnoteReference w:id="117"/>
      </w:r>
      <w:r w:rsidRPr="007E33D2">
        <w:rPr>
          <w:rFonts w:eastAsia="Times New Roman"/>
          <w:noProof/>
          <w:lang w:val="en-IE"/>
        </w:rPr>
        <w:t xml:space="preserve"> Studies show two current challenges. First, many of the technologies needed for the operationalisation of the green transition are still being researched</w:t>
      </w:r>
      <w:r w:rsidR="76AD8C93">
        <w:rPr>
          <w:rFonts w:eastAsia="Times New Roman"/>
          <w:noProof/>
          <w:lang w:val="en-IE"/>
        </w:rPr>
        <w:t>,</w:t>
      </w:r>
      <w:r w:rsidR="008549DD" w:rsidRPr="008934F2">
        <w:rPr>
          <w:rStyle w:val="FootnoteReference"/>
          <w:rFonts w:eastAsia="Times New Roman"/>
          <w:noProof/>
          <w:lang w:val="en-IE"/>
        </w:rPr>
        <w:footnoteReference w:id="118"/>
      </w:r>
      <w:r w:rsidRPr="007E33D2">
        <w:rPr>
          <w:rFonts w:eastAsia="Times New Roman"/>
          <w:noProof/>
          <w:lang w:val="en-IE"/>
        </w:rPr>
        <w:t xml:space="preserve"> and these technologies will be essential to continue to protect our natural capital and boost our circular economy. And second, there has been a recent decrease in climate-related innovation, despite increasing commercialisation of existing technologies</w:t>
      </w:r>
      <w:r w:rsidR="008549DD" w:rsidRPr="008934F2">
        <w:rPr>
          <w:rStyle w:val="FootnoteReference"/>
          <w:rFonts w:eastAsia="Times New Roman"/>
          <w:noProof/>
          <w:lang w:val="en-IE"/>
        </w:rPr>
        <w:footnoteReference w:id="119"/>
      </w:r>
      <w:r w:rsidRPr="007E33D2">
        <w:rPr>
          <w:rFonts w:eastAsia="Times New Roman"/>
          <w:noProof/>
          <w:lang w:val="en-IE"/>
        </w:rPr>
        <w:t>.</w:t>
      </w:r>
      <w:r w:rsidR="072B7D75" w:rsidRPr="01161804">
        <w:rPr>
          <w:rFonts w:asciiTheme="minorHAnsi" w:hAnsiTheme="minorHAnsi"/>
          <w:noProof/>
          <w:lang w:val="en-US"/>
        </w:rPr>
        <w:t xml:space="preserve"> </w:t>
      </w:r>
      <w:r w:rsidRPr="007E33D2">
        <w:rPr>
          <w:rFonts w:eastAsia="Times New Roman"/>
          <w:noProof/>
          <w:lang w:val="en-IE"/>
        </w:rPr>
        <w:t>We are thus facing a double-edged challenge, which includes an investment shortage</w:t>
      </w:r>
      <w:r w:rsidR="008549DD">
        <w:rPr>
          <w:rStyle w:val="FootnoteReference"/>
          <w:rFonts w:eastAsia="Times New Roman"/>
          <w:noProof/>
          <w:lang w:val="en-IE"/>
        </w:rPr>
        <w:footnoteReference w:id="120"/>
      </w:r>
      <w:r w:rsidRPr="007E33D2">
        <w:rPr>
          <w:rFonts w:eastAsia="Times New Roman"/>
          <w:noProof/>
          <w:lang w:val="en-IE"/>
        </w:rPr>
        <w:t>, as well as a market uptake obstacle.</w:t>
      </w:r>
      <w:r w:rsidR="008549DD" w:rsidRPr="008934F2">
        <w:rPr>
          <w:rStyle w:val="FootnoteReference"/>
          <w:rFonts w:eastAsia="Times New Roman"/>
          <w:noProof/>
          <w:lang w:val="en-IE"/>
        </w:rPr>
        <w:footnoteReference w:id="121"/>
      </w:r>
      <w:r>
        <w:rPr>
          <w:rFonts w:eastAsia="Times New Roman"/>
          <w:noProof/>
          <w:lang w:val="en-IE"/>
        </w:rPr>
        <w:t xml:space="preserve"> </w:t>
      </w:r>
    </w:p>
    <w:p w14:paraId="2EC79224" w14:textId="55EDDFC7" w:rsidR="2D7A322E" w:rsidRDefault="01BF5C9B" w:rsidP="00603157">
      <w:pPr>
        <w:spacing w:before="60" w:after="60"/>
        <w:rPr>
          <w:noProof/>
          <w:lang w:val="en-IE"/>
        </w:rPr>
      </w:pPr>
      <w:r w:rsidRPr="1A04DE6A">
        <w:rPr>
          <w:noProof/>
          <w:lang w:val="en-IE"/>
        </w:rPr>
        <w:t xml:space="preserve">The Net-Zero Industry investment needs assessment, performed by the European Commission, identifies a need for around EUR 92 billion in accumulated investments from 2023 to 2030 to boost EU manufacturing capacity in strategic net-zero technologies, including solar, wind, batteries, electrolysers and heat pumps. In the industrial field, decarbonisation – especially in energy-intensive sectors like steel, cement, and chemicals – faces significant hurdles. One of the primary challenges is the </w:t>
      </w:r>
      <w:r w:rsidR="234B68DE" w:rsidRPr="01161804">
        <w:rPr>
          <w:noProof/>
          <w:lang w:val="en-IE"/>
        </w:rPr>
        <w:t xml:space="preserve">current </w:t>
      </w:r>
      <w:r w:rsidRPr="1A04DE6A">
        <w:rPr>
          <w:noProof/>
          <w:lang w:val="en-IE"/>
        </w:rPr>
        <w:t>high cost of transitioning to low-carbon technologies</w:t>
      </w:r>
      <w:r w:rsidR="06F07D3C" w:rsidRPr="01161804">
        <w:rPr>
          <w:noProof/>
          <w:lang w:val="en-IE"/>
        </w:rPr>
        <w:t xml:space="preserve"> in hard-to-abate sectors</w:t>
      </w:r>
      <w:r w:rsidRPr="1A04DE6A">
        <w:rPr>
          <w:noProof/>
          <w:lang w:val="en-IE"/>
        </w:rPr>
        <w:t xml:space="preserve">. Many green alternatives, such as hydrogen-based production or carbon capture and storage (CCS), require substantial upfront investments. As indicated in the Draghi report, on top of large upfront capital costs (CAPEX), the operational costs (OPEX) of </w:t>
      </w:r>
      <w:r w:rsidR="07DEFE17" w:rsidRPr="01161804">
        <w:rPr>
          <w:noProof/>
          <w:lang w:val="en-IE"/>
        </w:rPr>
        <w:t xml:space="preserve">some </w:t>
      </w:r>
      <w:r w:rsidRPr="1A04DE6A">
        <w:rPr>
          <w:noProof/>
          <w:lang w:val="en-IE"/>
        </w:rPr>
        <w:t xml:space="preserve">producing with greener technologies are uncertain when technologies are not mature and often higher than those of traditional technologies as long as electricity and low-carbon fuel (e.g. clean hydrogen) prices remain high in Europe. As a result, these technologies are often not economically viable </w:t>
      </w:r>
      <w:r w:rsidR="6FB86548" w:rsidRPr="01161804">
        <w:rPr>
          <w:noProof/>
          <w:lang w:val="en-IE"/>
        </w:rPr>
        <w:t xml:space="preserve">yet </w:t>
      </w:r>
      <w:r w:rsidRPr="1A04DE6A">
        <w:rPr>
          <w:noProof/>
          <w:lang w:val="en-IE"/>
        </w:rPr>
        <w:t>compared to traditional fossil fuel-based processes. Companies may therefore delay or limit their transition, leading to slower progress in reducing industrial emissions.</w:t>
      </w:r>
    </w:p>
    <w:p w14:paraId="2C94A88E" w14:textId="21AEC9F5" w:rsidR="00A5442A" w:rsidRDefault="10FAB89E" w:rsidP="00603157">
      <w:pPr>
        <w:rPr>
          <w:noProof/>
          <w:highlight w:val="yellow"/>
        </w:rPr>
      </w:pPr>
      <w:r w:rsidRPr="68AEC0ED">
        <w:rPr>
          <w:rFonts w:eastAsia="Times New Roman"/>
          <w:b/>
          <w:bCs/>
          <w:noProof/>
        </w:rPr>
        <w:t xml:space="preserve">The </w:t>
      </w:r>
      <w:r w:rsidR="3905E14D" w:rsidRPr="68AEC0ED">
        <w:rPr>
          <w:rFonts w:eastAsia="Times New Roman"/>
          <w:b/>
          <w:bCs/>
          <w:noProof/>
        </w:rPr>
        <w:t xml:space="preserve">European </w:t>
      </w:r>
      <w:r w:rsidRPr="68AEC0ED">
        <w:rPr>
          <w:rFonts w:eastAsia="Times New Roman"/>
          <w:b/>
          <w:bCs/>
          <w:noProof/>
        </w:rPr>
        <w:t xml:space="preserve">defence </w:t>
      </w:r>
      <w:r w:rsidR="6E567492" w:rsidRPr="68AEC0ED">
        <w:rPr>
          <w:rFonts w:eastAsia="Times New Roman"/>
          <w:b/>
          <w:bCs/>
          <w:noProof/>
        </w:rPr>
        <w:t xml:space="preserve">and space </w:t>
      </w:r>
      <w:r w:rsidRPr="68AEC0ED">
        <w:rPr>
          <w:rFonts w:eastAsia="Times New Roman"/>
          <w:b/>
          <w:bCs/>
          <w:noProof/>
        </w:rPr>
        <w:t>sector</w:t>
      </w:r>
      <w:r w:rsidR="5E3F3F88" w:rsidRPr="68AEC0ED">
        <w:rPr>
          <w:rFonts w:eastAsia="Times New Roman"/>
          <w:b/>
          <w:bCs/>
          <w:noProof/>
        </w:rPr>
        <w:t>s</w:t>
      </w:r>
      <w:r w:rsidR="3D61F3D3" w:rsidRPr="68AEC0ED">
        <w:rPr>
          <w:rFonts w:eastAsia="Times New Roman"/>
          <w:b/>
          <w:bCs/>
          <w:noProof/>
        </w:rPr>
        <w:t xml:space="preserve"> ha</w:t>
      </w:r>
      <w:r w:rsidR="6D84B898" w:rsidRPr="68AEC0ED">
        <w:rPr>
          <w:rFonts w:eastAsia="Times New Roman"/>
          <w:b/>
          <w:bCs/>
          <w:noProof/>
        </w:rPr>
        <w:t>ve</w:t>
      </w:r>
      <w:r w:rsidR="3D61F3D3" w:rsidRPr="68AEC0ED">
        <w:rPr>
          <w:rFonts w:eastAsia="Times New Roman"/>
          <w:b/>
          <w:bCs/>
          <w:noProof/>
        </w:rPr>
        <w:t xml:space="preserve"> suffered from </w:t>
      </w:r>
      <w:r w:rsidRPr="68AEC0ED">
        <w:rPr>
          <w:rFonts w:eastAsia="Times New Roman"/>
          <w:b/>
          <w:bCs/>
          <w:noProof/>
        </w:rPr>
        <w:t>decades of underinvestment</w:t>
      </w:r>
      <w:r w:rsidRPr="68AEC0ED">
        <w:rPr>
          <w:rFonts w:eastAsia="Times New Roman"/>
          <w:noProof/>
        </w:rPr>
        <w:t xml:space="preserve">, </w:t>
      </w:r>
      <w:r w:rsidR="00760549">
        <w:rPr>
          <w:rFonts w:eastAsia="Times New Roman"/>
          <w:noProof/>
        </w:rPr>
        <w:t xml:space="preserve">leading to critical capability gaps in the national armed forces, </w:t>
      </w:r>
      <w:r w:rsidRPr="68AEC0ED">
        <w:rPr>
          <w:rFonts w:eastAsia="Times New Roman"/>
          <w:noProof/>
        </w:rPr>
        <w:t>a</w:t>
      </w:r>
      <w:r w:rsidR="00892512">
        <w:rPr>
          <w:rFonts w:eastAsia="Times New Roman"/>
          <w:noProof/>
        </w:rPr>
        <w:t xml:space="preserve">s well as </w:t>
      </w:r>
      <w:r w:rsidRPr="68AEC0ED">
        <w:rPr>
          <w:rFonts w:eastAsia="Times New Roman"/>
          <w:noProof/>
        </w:rPr>
        <w:t>a lack of interoperability of solutions</w:t>
      </w:r>
      <w:r w:rsidR="07C585BF" w:rsidRPr="68AEC0ED">
        <w:rPr>
          <w:rFonts w:eastAsia="Times New Roman"/>
          <w:noProof/>
        </w:rPr>
        <w:t xml:space="preserve"> across Member</w:t>
      </w:r>
      <w:r w:rsidR="70401204" w:rsidRPr="68AEC0ED">
        <w:rPr>
          <w:rFonts w:eastAsia="Times New Roman"/>
          <w:noProof/>
        </w:rPr>
        <w:t xml:space="preserve"> State with fragmented</w:t>
      </w:r>
      <w:r w:rsidRPr="68AEC0ED">
        <w:rPr>
          <w:rFonts w:eastAsia="Times New Roman"/>
          <w:noProof/>
        </w:rPr>
        <w:t xml:space="preserve"> market</w:t>
      </w:r>
      <w:r w:rsidR="73BBCF22" w:rsidRPr="68AEC0ED">
        <w:rPr>
          <w:rFonts w:eastAsia="Times New Roman"/>
          <w:noProof/>
        </w:rPr>
        <w:t>s</w:t>
      </w:r>
      <w:r w:rsidRPr="68AEC0ED">
        <w:rPr>
          <w:rFonts w:eastAsia="Times New Roman"/>
          <w:noProof/>
        </w:rPr>
        <w:t xml:space="preserve">, </w:t>
      </w:r>
      <w:r w:rsidR="65BD0964" w:rsidRPr="68AEC0ED">
        <w:rPr>
          <w:rFonts w:eastAsia="Times New Roman"/>
          <w:noProof/>
        </w:rPr>
        <w:t>affecting</w:t>
      </w:r>
      <w:r w:rsidRPr="68AEC0ED">
        <w:rPr>
          <w:rFonts w:eastAsia="Times New Roman"/>
          <w:noProof/>
        </w:rPr>
        <w:t xml:space="preserve"> the competitiveness of EU industries</w:t>
      </w:r>
      <w:r w:rsidR="2BEB0C81" w:rsidRPr="68AEC0ED">
        <w:rPr>
          <w:rFonts w:eastAsia="Times New Roman"/>
          <w:noProof/>
        </w:rPr>
        <w:t xml:space="preserve"> and the security of the EU</w:t>
      </w:r>
      <w:r w:rsidRPr="68AEC0ED">
        <w:rPr>
          <w:rFonts w:eastAsia="Times New Roman"/>
          <w:noProof/>
        </w:rPr>
        <w:t xml:space="preserve">. This is accompanied by a </w:t>
      </w:r>
      <w:r w:rsidRPr="68AEC0ED">
        <w:rPr>
          <w:rFonts w:eastAsia="Times New Roman"/>
          <w:b/>
          <w:bCs/>
          <w:noProof/>
        </w:rPr>
        <w:t>lack of private investment</w:t>
      </w:r>
      <w:r w:rsidRPr="68AEC0ED">
        <w:rPr>
          <w:rFonts w:eastAsia="Times New Roman"/>
          <w:noProof/>
        </w:rPr>
        <w:t xml:space="preserve"> linked to uncertainties and risks associated with defence, regulatory and political challenges (e.g. EIB lending policy)</w:t>
      </w:r>
      <w:r w:rsidR="00A50808">
        <w:rPr>
          <w:rFonts w:eastAsia="Times New Roman"/>
          <w:noProof/>
        </w:rPr>
        <w:t>.</w:t>
      </w:r>
      <w:r w:rsidRPr="68AEC0ED">
        <w:rPr>
          <w:rFonts w:eastAsia="Times New Roman"/>
          <w:noProof/>
        </w:rPr>
        <w:t xml:space="preserve"> </w:t>
      </w:r>
      <w:r w:rsidR="1ECAD9B2" w:rsidRPr="68AEC0ED">
        <w:rPr>
          <w:rFonts w:eastAsia="Times New Roman"/>
          <w:noProof/>
        </w:rPr>
        <w:t>Particularly,</w:t>
      </w:r>
      <w:r w:rsidR="3CCD28EB" w:rsidRPr="68AEC0ED">
        <w:rPr>
          <w:rFonts w:eastAsia="Times New Roman"/>
          <w:noProof/>
        </w:rPr>
        <w:t xml:space="preserve"> </w:t>
      </w:r>
      <w:r w:rsidR="1ECAD9B2">
        <w:rPr>
          <w:noProof/>
        </w:rPr>
        <w:t>p</w:t>
      </w:r>
      <w:r w:rsidR="03E69D81">
        <w:rPr>
          <w:noProof/>
        </w:rPr>
        <w:t xml:space="preserve">rivate investors </w:t>
      </w:r>
      <w:r w:rsidR="1ECAD9B2">
        <w:rPr>
          <w:noProof/>
        </w:rPr>
        <w:t>are</w:t>
      </w:r>
      <w:r>
        <w:rPr>
          <w:noProof/>
        </w:rPr>
        <w:t xml:space="preserve"> relucta</w:t>
      </w:r>
      <w:r w:rsidR="1ECAD9B2">
        <w:rPr>
          <w:noProof/>
        </w:rPr>
        <w:t>nt</w:t>
      </w:r>
      <w:r>
        <w:rPr>
          <w:noProof/>
        </w:rPr>
        <w:t xml:space="preserve"> to invest (in R&amp;D or ramping up of production capacities) without having a clear perspective of long-term </w:t>
      </w:r>
      <w:r w:rsidR="1AA96E54">
        <w:rPr>
          <w:noProof/>
        </w:rPr>
        <w:t>demand</w:t>
      </w:r>
      <w:r>
        <w:rPr>
          <w:noProof/>
        </w:rPr>
        <w:t>.</w:t>
      </w:r>
      <w:r w:rsidR="3CCD28EB">
        <w:rPr>
          <w:noProof/>
        </w:rPr>
        <w:t xml:space="preserve"> </w:t>
      </w:r>
      <w:r w:rsidR="4D62A3FA">
        <w:rPr>
          <w:noProof/>
        </w:rPr>
        <w:t xml:space="preserve">As conflicts are by nature hybrid nowadays, </w:t>
      </w:r>
      <w:r w:rsidR="0F66ADB8">
        <w:rPr>
          <w:noProof/>
        </w:rPr>
        <w:t>ensuring the EU’s security require</w:t>
      </w:r>
      <w:r w:rsidR="272A3CB0">
        <w:rPr>
          <w:noProof/>
        </w:rPr>
        <w:t>s</w:t>
      </w:r>
      <w:r w:rsidR="0F66ADB8">
        <w:rPr>
          <w:noProof/>
        </w:rPr>
        <w:t xml:space="preserve">, alongside </w:t>
      </w:r>
      <w:r w:rsidR="4D62A3FA">
        <w:rPr>
          <w:noProof/>
        </w:rPr>
        <w:t>defence investments</w:t>
      </w:r>
      <w:r w:rsidR="6BD9ABA7">
        <w:rPr>
          <w:noProof/>
        </w:rPr>
        <w:t xml:space="preserve">, to invest </w:t>
      </w:r>
      <w:r w:rsidR="4D62A3FA">
        <w:rPr>
          <w:noProof/>
        </w:rPr>
        <w:t xml:space="preserve">in </w:t>
      </w:r>
      <w:r w:rsidR="5FFF0F75">
        <w:rPr>
          <w:noProof/>
        </w:rPr>
        <w:t xml:space="preserve">purely </w:t>
      </w:r>
      <w:r w:rsidR="4D62A3FA" w:rsidRPr="68AEC0ED">
        <w:rPr>
          <w:b/>
          <w:bCs/>
          <w:noProof/>
        </w:rPr>
        <w:t>civil security technologies</w:t>
      </w:r>
      <w:r w:rsidR="6CCD02FD">
        <w:rPr>
          <w:noProof/>
        </w:rPr>
        <w:t xml:space="preserve">, </w:t>
      </w:r>
      <w:r w:rsidR="16DE5B01">
        <w:rPr>
          <w:noProof/>
        </w:rPr>
        <w:t xml:space="preserve">The civil security </w:t>
      </w:r>
      <w:r w:rsidR="0716EFD9">
        <w:rPr>
          <w:noProof/>
        </w:rPr>
        <w:t xml:space="preserve">industry </w:t>
      </w:r>
      <w:r w:rsidR="16DE5B01">
        <w:rPr>
          <w:noProof/>
        </w:rPr>
        <w:t xml:space="preserve">in the EU faces </w:t>
      </w:r>
      <w:r w:rsidR="45FA0C05">
        <w:rPr>
          <w:noProof/>
        </w:rPr>
        <w:t xml:space="preserve">problems </w:t>
      </w:r>
      <w:r w:rsidR="00797A16">
        <w:rPr>
          <w:noProof/>
        </w:rPr>
        <w:t>like</w:t>
      </w:r>
      <w:r w:rsidR="4E67CBFA">
        <w:rPr>
          <w:noProof/>
        </w:rPr>
        <w:t xml:space="preserve"> </w:t>
      </w:r>
      <w:r w:rsidR="16DE5B01">
        <w:rPr>
          <w:noProof/>
        </w:rPr>
        <w:t>the defence industry</w:t>
      </w:r>
      <w:r w:rsidR="00DC176C">
        <w:rPr>
          <w:noProof/>
        </w:rPr>
        <w:t>, in particular in terms of market fragmentation and regulatory challenges</w:t>
      </w:r>
      <w:r w:rsidR="5CF27D95">
        <w:rPr>
          <w:noProof/>
        </w:rPr>
        <w:t>.</w:t>
      </w:r>
      <w:r w:rsidR="13D24107">
        <w:rPr>
          <w:noProof/>
        </w:rPr>
        <w:t xml:space="preserve"> </w:t>
      </w:r>
      <w:r w:rsidR="00F66E76">
        <w:rPr>
          <w:noProof/>
        </w:rPr>
        <w:t>In addition</w:t>
      </w:r>
      <w:r w:rsidR="008D6547" w:rsidRPr="008D6547">
        <w:rPr>
          <w:noProof/>
        </w:rPr>
        <w:t xml:space="preserve">, EU space start-ups and scale-ups face significant challenges in securing the necessary funding for their growth, with the projected private investment needs for the next seven years amount to close to EUR 10 billion. The private financing gap is particularly significant in later stages of their development, translating into significant technology gaps in the EU compared to other countries. </w:t>
      </w:r>
    </w:p>
    <w:p w14:paraId="02A1B7DD" w14:textId="1CC8C22A" w:rsidR="008549DD" w:rsidRDefault="1C3AAB28" w:rsidP="00603157">
      <w:pPr>
        <w:rPr>
          <w:noProof/>
          <w:lang w:val="en-IE"/>
        </w:rPr>
      </w:pPr>
      <w:r w:rsidRPr="308E0245">
        <w:rPr>
          <w:noProof/>
          <w:lang w:val="en-IE"/>
        </w:rPr>
        <w:t>Furthermore</w:t>
      </w:r>
      <w:r w:rsidR="54BFC79A" w:rsidRPr="308E0245">
        <w:rPr>
          <w:noProof/>
          <w:lang w:val="en-IE"/>
        </w:rPr>
        <w:t>,</w:t>
      </w:r>
      <w:r w:rsidR="580D57D9">
        <w:rPr>
          <w:noProof/>
          <w:lang w:val="en-IE"/>
        </w:rPr>
        <w:t xml:space="preserve"> </w:t>
      </w:r>
      <w:r w:rsidR="2594E75C" w:rsidRPr="308E0245">
        <w:rPr>
          <w:noProof/>
          <w:lang w:val="en-IE"/>
        </w:rPr>
        <w:t>a</w:t>
      </w:r>
      <w:r w:rsidR="2D9F23D0" w:rsidRPr="00A62396">
        <w:rPr>
          <w:noProof/>
          <w:lang w:val="en-IE"/>
        </w:rPr>
        <w:t xml:space="preserve"> stronger focus on maximi</w:t>
      </w:r>
      <w:r w:rsidR="2D9F23D0">
        <w:rPr>
          <w:noProof/>
          <w:lang w:val="en-IE"/>
        </w:rPr>
        <w:t>s</w:t>
      </w:r>
      <w:r w:rsidR="2D9F23D0" w:rsidRPr="00A62396">
        <w:rPr>
          <w:noProof/>
          <w:lang w:val="en-IE"/>
        </w:rPr>
        <w:t>ing technological spillover</w:t>
      </w:r>
      <w:r w:rsidR="2D9F23D0">
        <w:rPr>
          <w:noProof/>
          <w:lang w:val="en-IE"/>
        </w:rPr>
        <w:t>s</w:t>
      </w:r>
      <w:r w:rsidR="2D9F23D0" w:rsidRPr="00A62396">
        <w:rPr>
          <w:noProof/>
          <w:lang w:val="en-IE"/>
        </w:rPr>
        <w:t xml:space="preserve"> between civil and defence innovation cycles </w:t>
      </w:r>
      <w:r w:rsidR="2F8EE004" w:rsidRPr="68AEC0ED">
        <w:rPr>
          <w:noProof/>
          <w:lang w:val="en-IE"/>
        </w:rPr>
        <w:t>is mutually beneficial for both industr</w:t>
      </w:r>
      <w:r w:rsidR="3D0135A9" w:rsidRPr="68AEC0ED">
        <w:rPr>
          <w:noProof/>
          <w:lang w:val="en-IE"/>
        </w:rPr>
        <w:t>ies</w:t>
      </w:r>
      <w:r w:rsidR="61CB99D0" w:rsidRPr="01161804">
        <w:rPr>
          <w:noProof/>
          <w:lang w:val="en-IE"/>
        </w:rPr>
        <w:t xml:space="preserve"> by ensuring a functioning civil-to-defence and defence-to-civil innovation pipeline</w:t>
      </w:r>
      <w:r w:rsidR="2F8EE004" w:rsidRPr="68AEC0ED">
        <w:rPr>
          <w:noProof/>
          <w:lang w:val="en-IE"/>
        </w:rPr>
        <w:t xml:space="preserve">. In addition, it </w:t>
      </w:r>
      <w:r w:rsidR="2D9F23D0" w:rsidRPr="00A62396">
        <w:rPr>
          <w:noProof/>
          <w:lang w:val="en-IE"/>
        </w:rPr>
        <w:t xml:space="preserve">can help integrate commercial </w:t>
      </w:r>
      <w:r w:rsidR="2D9F23D0" w:rsidRPr="004E701B">
        <w:rPr>
          <w:b/>
          <w:bCs/>
          <w:noProof/>
          <w:lang w:val="en-IE"/>
        </w:rPr>
        <w:t>technologies with dual-use potential</w:t>
      </w:r>
      <w:r w:rsidR="76AD8C93">
        <w:rPr>
          <w:noProof/>
          <w:lang w:val="en-IE"/>
        </w:rPr>
        <w:t>,</w:t>
      </w:r>
      <w:r w:rsidR="008549DD" w:rsidRPr="3865EF86">
        <w:rPr>
          <w:rStyle w:val="FootnoteReference"/>
          <w:noProof/>
          <w:lang w:val="en-IE"/>
        </w:rPr>
        <w:footnoteReference w:id="122"/>
      </w:r>
      <w:r w:rsidR="2D9F23D0" w:rsidRPr="00A62396">
        <w:rPr>
          <w:noProof/>
          <w:lang w:val="en-IE"/>
        </w:rPr>
        <w:t xml:space="preserve"> driving deeper technical innovation and expanding the use of capital for emerging technologies</w:t>
      </w:r>
      <w:r w:rsidR="76AD8C93">
        <w:rPr>
          <w:noProof/>
          <w:lang w:val="en-IE"/>
        </w:rPr>
        <w:t>.</w:t>
      </w:r>
      <w:r w:rsidR="008549DD" w:rsidRPr="009952CF">
        <w:rPr>
          <w:rStyle w:val="FootnoteReference"/>
          <w:noProof/>
          <w:lang w:val="en-IE"/>
        </w:rPr>
        <w:footnoteReference w:id="123"/>
      </w:r>
      <w:r w:rsidR="2D9F23D0" w:rsidRPr="00A62396">
        <w:rPr>
          <w:noProof/>
          <w:lang w:val="en-IE"/>
        </w:rPr>
        <w:t xml:space="preserve"> </w:t>
      </w:r>
      <w:r w:rsidR="2D9F23D0" w:rsidRPr="004D1EB0">
        <w:rPr>
          <w:noProof/>
          <w:lang w:val="en-IE"/>
        </w:rPr>
        <w:t>By investing in both civil security and defence technologies, the EU can support its resilience and competitiveness</w:t>
      </w:r>
      <w:r w:rsidR="2D9F23D0" w:rsidRPr="00A62396">
        <w:rPr>
          <w:noProof/>
          <w:lang w:val="en-IE"/>
        </w:rPr>
        <w:t xml:space="preserve">, while ensuring the growth of startups and SMEs </w:t>
      </w:r>
      <w:r w:rsidR="1D819ABD" w:rsidRPr="68AEC0ED">
        <w:rPr>
          <w:noProof/>
          <w:lang w:val="en-IE"/>
        </w:rPr>
        <w:t>in the EU</w:t>
      </w:r>
      <w:r w:rsidR="2D9F23D0" w:rsidRPr="68AEC0ED">
        <w:rPr>
          <w:noProof/>
          <w:lang w:val="en-IE"/>
        </w:rPr>
        <w:t>.</w:t>
      </w:r>
      <w:r w:rsidR="1CF6E039">
        <w:rPr>
          <w:noProof/>
          <w:lang w:val="en-IE"/>
        </w:rPr>
        <w:t xml:space="preserve"> </w:t>
      </w:r>
    </w:p>
    <w:p w14:paraId="39AF62D4" w14:textId="5B752049" w:rsidR="008549DD" w:rsidRPr="005977A9" w:rsidRDefault="0D4664B9" w:rsidP="00603157">
      <w:pPr>
        <w:rPr>
          <w:noProof/>
          <w:lang w:val="en-IE"/>
        </w:rPr>
      </w:pPr>
      <w:r w:rsidRPr="5F7B7C22">
        <w:rPr>
          <w:noProof/>
          <w:lang w:val="en-IE"/>
        </w:rPr>
        <w:t xml:space="preserve">In parallel, </w:t>
      </w:r>
      <w:r w:rsidRPr="5F7B7C22">
        <w:rPr>
          <w:b/>
          <w:bCs/>
          <w:noProof/>
          <w:lang w:val="en-IE"/>
        </w:rPr>
        <w:t>the EU faces significant challenges in coordinating investment in infrastructures</w:t>
      </w:r>
      <w:r w:rsidRPr="5F7B7C22">
        <w:rPr>
          <w:noProof/>
          <w:lang w:val="en-IE"/>
        </w:rPr>
        <w:t xml:space="preserve"> </w:t>
      </w:r>
      <w:r w:rsidR="0A00CD3A" w:rsidRPr="5F7B7C22">
        <w:rPr>
          <w:noProof/>
          <w:lang w:val="en-IE"/>
        </w:rPr>
        <w:t xml:space="preserve">(including cross-border ones) </w:t>
      </w:r>
      <w:r w:rsidRPr="5F7B7C22">
        <w:rPr>
          <w:noProof/>
          <w:lang w:val="en-IE"/>
        </w:rPr>
        <w:t>across key sectors such as energy, transport, and digital connectivity</w:t>
      </w:r>
      <w:r w:rsidR="225B9C15" w:rsidRPr="6CD386C1">
        <w:rPr>
          <w:rFonts w:eastAsia="Times New Roman"/>
          <w:noProof/>
          <w:color w:val="000000" w:themeColor="text1"/>
          <w:lang w:val="en-IE"/>
        </w:rPr>
        <w:t>.</w:t>
      </w:r>
      <w:r w:rsidRPr="5F7B7C22">
        <w:rPr>
          <w:noProof/>
          <w:lang w:val="en-IE"/>
        </w:rPr>
        <w:t xml:space="preserve"> This lack of coordination limits the efficiency of infrastructure projects, increases costs, and slows down the development of a truly interconnected single market.</w:t>
      </w:r>
      <w:r w:rsidR="2919FC4F" w:rsidRPr="5F7B7C22">
        <w:rPr>
          <w:noProof/>
          <w:lang w:val="en-IE"/>
        </w:rPr>
        <w:t xml:space="preserve"> </w:t>
      </w:r>
      <w:r w:rsidR="79023CD4">
        <w:rPr>
          <w:noProof/>
        </w:rPr>
        <w:t>T</w:t>
      </w:r>
      <w:r w:rsidR="2919FC4F">
        <w:rPr>
          <w:noProof/>
        </w:rPr>
        <w:t xml:space="preserve">he estimated investment needs for energy infrastructure categories for the period 2028-2034 amount to a total of EUR 570 </w:t>
      </w:r>
      <w:r w:rsidR="5EAD4658">
        <w:rPr>
          <w:noProof/>
        </w:rPr>
        <w:t>billion</w:t>
      </w:r>
      <w:r w:rsidR="2919FC4F">
        <w:rPr>
          <w:noProof/>
        </w:rPr>
        <w:t>, corresponding to a yearly amount of EUR 81.5 b</w:t>
      </w:r>
      <w:r w:rsidR="5EAD4658">
        <w:rPr>
          <w:noProof/>
        </w:rPr>
        <w:t>illio</w:t>
      </w:r>
      <w:r w:rsidR="2919FC4F">
        <w:rPr>
          <w:noProof/>
        </w:rPr>
        <w:t>n</w:t>
      </w:r>
      <w:r w:rsidR="5EAD4658">
        <w:rPr>
          <w:noProof/>
        </w:rPr>
        <w:t xml:space="preserve"> per </w:t>
      </w:r>
      <w:r w:rsidR="2919FC4F">
        <w:rPr>
          <w:noProof/>
        </w:rPr>
        <w:t>year</w:t>
      </w:r>
      <w:r w:rsidR="00665C9E">
        <w:rPr>
          <w:rStyle w:val="FootnoteReference"/>
          <w:noProof/>
        </w:rPr>
        <w:footnoteReference w:id="124"/>
      </w:r>
      <w:r w:rsidR="4085487D">
        <w:rPr>
          <w:noProof/>
        </w:rPr>
        <w:t>.</w:t>
      </w:r>
    </w:p>
    <w:p w14:paraId="180C281B" w14:textId="7C0D1276" w:rsidR="008549DD" w:rsidRPr="00B03DD3" w:rsidRDefault="419B5B1F" w:rsidP="00603157">
      <w:pPr>
        <w:spacing w:before="60" w:after="60"/>
        <w:rPr>
          <w:rFonts w:ascii="Aptos" w:hAnsi="Aptos"/>
          <w:noProof/>
          <w:sz w:val="22"/>
        </w:rPr>
      </w:pPr>
      <w:r w:rsidRPr="4947ADCE">
        <w:rPr>
          <w:noProof/>
          <w:lang w:val="en-IE"/>
        </w:rPr>
        <w:t xml:space="preserve">The energy and digital sectors also face significant infrastructure challenges. </w:t>
      </w:r>
      <w:r w:rsidRPr="4947ADCE">
        <w:rPr>
          <w:b/>
          <w:bCs/>
          <w:noProof/>
          <w:lang w:val="en-IE"/>
        </w:rPr>
        <w:t>The decarbonisation of the energy system requires an expansion of power grids</w:t>
      </w:r>
      <w:r w:rsidRPr="4947ADCE">
        <w:rPr>
          <w:noProof/>
          <w:lang w:val="en-IE"/>
        </w:rPr>
        <w:t xml:space="preserve">, while delays in developing cross-border interconnectors hinder progress toward a unified European energy market. </w:t>
      </w:r>
      <w:r w:rsidR="74C8C247" w:rsidRPr="005977A9">
        <w:rPr>
          <w:noProof/>
          <w:lang w:val="en-IE"/>
        </w:rPr>
        <w:t xml:space="preserve">In the </w:t>
      </w:r>
      <w:r w:rsidR="74C8C247" w:rsidRPr="4947ADCE">
        <w:rPr>
          <w:b/>
          <w:bCs/>
          <w:noProof/>
          <w:lang w:val="en-IE"/>
        </w:rPr>
        <w:t>digital sector</w:t>
      </w:r>
      <w:r w:rsidR="74C8C247" w:rsidRPr="005977A9">
        <w:rPr>
          <w:noProof/>
          <w:lang w:val="en-IE"/>
        </w:rPr>
        <w:t xml:space="preserve">, gaps in infrastructure investment, such as the deployment of 5G and high-speed broadband, leave certain regions lagging behind, exacerbating the digital divide. </w:t>
      </w:r>
      <w:r w:rsidR="46BB37E7" w:rsidRPr="73440A57">
        <w:rPr>
          <w:noProof/>
          <w:lang w:val="en-IE"/>
        </w:rPr>
        <w:t xml:space="preserve">The unprecedented growth in computing needs for AI and the related but essential data-storage and networking/cloud capacity were not anticipated. The infrastructural needs for Generative AI were </w:t>
      </w:r>
      <w:r w:rsidR="35EDD4D3" w:rsidRPr="68AEC0ED">
        <w:rPr>
          <w:noProof/>
          <w:lang w:val="en-IE"/>
        </w:rPr>
        <w:t xml:space="preserve">initially </w:t>
      </w:r>
      <w:r w:rsidR="46BB37E7" w:rsidRPr="73440A57">
        <w:rPr>
          <w:noProof/>
          <w:lang w:val="en-IE"/>
        </w:rPr>
        <w:t>not foreseen</w:t>
      </w:r>
      <w:r w:rsidR="24442570" w:rsidRPr="68AEC0ED">
        <w:rPr>
          <w:noProof/>
          <w:lang w:val="en-IE"/>
        </w:rPr>
        <w:t xml:space="preserve"> in the current MFF</w:t>
      </w:r>
      <w:r w:rsidR="46BB37E7" w:rsidRPr="68AEC0ED">
        <w:rPr>
          <w:noProof/>
          <w:lang w:val="en-IE"/>
        </w:rPr>
        <w:t xml:space="preserve">, </w:t>
      </w:r>
      <w:r w:rsidR="2751ACB0" w:rsidRPr="68AEC0ED">
        <w:rPr>
          <w:noProof/>
          <w:lang w:val="en-IE"/>
        </w:rPr>
        <w:t>but an</w:t>
      </w:r>
      <w:r w:rsidR="2751ACB0">
        <w:rPr>
          <w:noProof/>
          <w:lang w:val="en-IE"/>
        </w:rPr>
        <w:t xml:space="preserve"> investment </w:t>
      </w:r>
      <w:r w:rsidR="46BB37E7" w:rsidRPr="73440A57">
        <w:rPr>
          <w:noProof/>
          <w:lang w:val="en-IE"/>
        </w:rPr>
        <w:t xml:space="preserve">of EUR 200 billion </w:t>
      </w:r>
      <w:r w:rsidR="2751ACB0" w:rsidRPr="68AEC0ED">
        <w:rPr>
          <w:noProof/>
          <w:lang w:val="en-IE"/>
        </w:rPr>
        <w:t>has been considered essential in 2025.</w:t>
      </w:r>
      <w:r w:rsidR="7A6F6718" w:rsidRPr="01161804">
        <w:rPr>
          <w:noProof/>
          <w:lang w:val="en-IE"/>
        </w:rPr>
        <w:t xml:space="preserve"> </w:t>
      </w:r>
      <w:r w:rsidR="004B5A92">
        <w:rPr>
          <w:rStyle w:val="FootnoteReference"/>
          <w:noProof/>
          <w:lang w:val="en-IE"/>
        </w:rPr>
        <w:footnoteReference w:id="125"/>
      </w:r>
      <w:r w:rsidR="3C17BE66" w:rsidRPr="68AEC0ED">
        <w:rPr>
          <w:noProof/>
          <w:lang w:val="en-IE"/>
        </w:rPr>
        <w:t xml:space="preserve"> </w:t>
      </w:r>
      <w:r w:rsidR="3C17BE66" w:rsidRPr="01161804">
        <w:rPr>
          <w:rFonts w:eastAsiaTheme="minorEastAsia"/>
          <w:noProof/>
          <w:lang w:val="en-IE"/>
        </w:rPr>
        <w:t xml:space="preserve">Furthermore, </w:t>
      </w:r>
      <w:r w:rsidR="6EEE9B65" w:rsidRPr="01161804">
        <w:rPr>
          <w:rFonts w:eastAsiaTheme="minorEastAsia"/>
          <w:noProof/>
          <w:lang w:val="en-IE"/>
        </w:rPr>
        <w:t>low</w:t>
      </w:r>
      <w:r w:rsidR="3C17BE66" w:rsidRPr="01161804">
        <w:rPr>
          <w:rFonts w:eastAsiaTheme="minorEastAsia"/>
          <w:noProof/>
          <w:lang w:val="en-IE"/>
        </w:rPr>
        <w:t xml:space="preserve"> investments and coordination of </w:t>
      </w:r>
      <w:r w:rsidR="3C17BE66" w:rsidRPr="01161804">
        <w:rPr>
          <w:rFonts w:eastAsiaTheme="minorEastAsia"/>
          <w:b/>
          <w:bCs/>
          <w:noProof/>
          <w:lang w:val="en-IE"/>
        </w:rPr>
        <w:t>cross-border interoperability</w:t>
      </w:r>
      <w:r w:rsidR="008549DD" w:rsidRPr="01161804">
        <w:rPr>
          <w:rStyle w:val="FootnoteReference"/>
          <w:rFonts w:eastAsiaTheme="minorEastAsia"/>
          <w:noProof/>
          <w:lang w:val="en-IE"/>
        </w:rPr>
        <w:footnoteReference w:id="126"/>
      </w:r>
      <w:r w:rsidR="3C17BE66" w:rsidRPr="68AEC0ED">
        <w:rPr>
          <w:rFonts w:eastAsia="Aptos"/>
          <w:noProof/>
          <w:lang w:val="en-IE"/>
        </w:rPr>
        <w:t xml:space="preserve"> f</w:t>
      </w:r>
      <w:r w:rsidR="3C17BE66" w:rsidRPr="01161804">
        <w:rPr>
          <w:rFonts w:eastAsiaTheme="minorEastAsia"/>
          <w:noProof/>
          <w:lang w:val="en-IE"/>
        </w:rPr>
        <w:t>or digital public services failed to exploit the expected 0.4% EU GDP growth and savings for business</w:t>
      </w:r>
      <w:r w:rsidR="7F35B0A0" w:rsidRPr="01161804">
        <w:rPr>
          <w:rFonts w:eastAsiaTheme="minorEastAsia"/>
          <w:noProof/>
          <w:lang w:val="en-IE"/>
        </w:rPr>
        <w:t>es</w:t>
      </w:r>
      <w:r w:rsidR="3C17BE66" w:rsidRPr="01161804">
        <w:rPr>
          <w:rFonts w:eastAsiaTheme="minorEastAsia"/>
          <w:noProof/>
          <w:lang w:val="en-IE"/>
        </w:rPr>
        <w:t xml:space="preserve"> up to EUR 568 billion</w:t>
      </w:r>
      <w:r w:rsidR="008549DD" w:rsidRPr="01161804">
        <w:rPr>
          <w:rStyle w:val="FootnoteReference"/>
          <w:rFonts w:eastAsiaTheme="minorEastAsia"/>
          <w:noProof/>
          <w:lang w:val="en-IE"/>
        </w:rPr>
        <w:footnoteReference w:id="127"/>
      </w:r>
      <w:r w:rsidR="3C17BE66" w:rsidRPr="68AEC0ED">
        <w:rPr>
          <w:rFonts w:eastAsia="Aptos"/>
          <w:noProof/>
          <w:lang w:val="en-IE"/>
        </w:rPr>
        <w:t>.</w:t>
      </w:r>
    </w:p>
    <w:p w14:paraId="6422DC12" w14:textId="497474FC" w:rsidR="444E0110" w:rsidRPr="00603157" w:rsidRDefault="3D34D998" w:rsidP="00603157">
      <w:pPr>
        <w:spacing w:before="0" w:after="0"/>
        <w:rPr>
          <w:rStyle w:val="Hyperlink"/>
          <w:rFonts w:eastAsia="Times New Roman"/>
          <w:noProof/>
          <w:color w:val="auto"/>
          <w:lang w:val="en-US"/>
        </w:rPr>
      </w:pPr>
      <w:r w:rsidRPr="00EC779F">
        <w:rPr>
          <w:rFonts w:eastAsia="Times New Roman"/>
          <w:noProof/>
        </w:rPr>
        <w:t xml:space="preserve">The EU </w:t>
      </w:r>
      <w:r w:rsidRPr="00EC779F">
        <w:rPr>
          <w:rFonts w:eastAsia="Times New Roman"/>
          <w:b/>
          <w:noProof/>
        </w:rPr>
        <w:t>health</w:t>
      </w:r>
      <w:r w:rsidR="00DB16EC">
        <w:rPr>
          <w:rFonts w:eastAsia="Times New Roman"/>
          <w:b/>
          <w:noProof/>
        </w:rPr>
        <w:t xml:space="preserve">, </w:t>
      </w:r>
      <w:r w:rsidRPr="00EC779F">
        <w:rPr>
          <w:rFonts w:eastAsia="Times New Roman"/>
          <w:b/>
          <w:noProof/>
        </w:rPr>
        <w:t xml:space="preserve">biotech </w:t>
      </w:r>
      <w:r w:rsidR="00DB16EC">
        <w:rPr>
          <w:rFonts w:eastAsia="Times New Roman"/>
          <w:b/>
          <w:noProof/>
        </w:rPr>
        <w:t>and med</w:t>
      </w:r>
      <w:r w:rsidR="006A193E">
        <w:rPr>
          <w:rFonts w:eastAsia="Times New Roman"/>
          <w:b/>
          <w:noProof/>
        </w:rPr>
        <w:t>-</w:t>
      </w:r>
      <w:r w:rsidR="00DB16EC">
        <w:rPr>
          <w:rFonts w:eastAsia="Times New Roman"/>
          <w:b/>
          <w:noProof/>
        </w:rPr>
        <w:t>tech</w:t>
      </w:r>
      <w:r w:rsidRPr="00EC779F">
        <w:rPr>
          <w:rFonts w:eastAsia="Times New Roman"/>
          <w:b/>
          <w:noProof/>
        </w:rPr>
        <w:t xml:space="preserve"> sector</w:t>
      </w:r>
      <w:r w:rsidR="00DB16EC">
        <w:rPr>
          <w:rFonts w:eastAsia="Times New Roman"/>
          <w:b/>
          <w:noProof/>
        </w:rPr>
        <w:t>s</w:t>
      </w:r>
      <w:r w:rsidRPr="00EC779F">
        <w:rPr>
          <w:rFonts w:eastAsia="Times New Roman"/>
          <w:noProof/>
        </w:rPr>
        <w:t xml:space="preserve"> faces several challenges in translating research into marketable outputs, primarily due to limited risk-tolerant capital, fragmented innovation landscapes, and regulatory barriers. The sector </w:t>
      </w:r>
      <w:r w:rsidR="000041D7">
        <w:rPr>
          <w:rFonts w:eastAsia="Times New Roman"/>
          <w:noProof/>
        </w:rPr>
        <w:t xml:space="preserve">requires </w:t>
      </w:r>
      <w:r w:rsidR="00871176">
        <w:rPr>
          <w:rFonts w:eastAsia="Times New Roman"/>
          <w:noProof/>
        </w:rPr>
        <w:t>highly skilled</w:t>
      </w:r>
      <w:r w:rsidR="000041D7">
        <w:rPr>
          <w:rFonts w:eastAsia="Times New Roman"/>
          <w:noProof/>
        </w:rPr>
        <w:t xml:space="preserve"> workforce</w:t>
      </w:r>
      <w:r w:rsidR="00CD6596">
        <w:rPr>
          <w:rFonts w:eastAsia="Times New Roman"/>
          <w:noProof/>
        </w:rPr>
        <w:t>. In addition, the potential of</w:t>
      </w:r>
      <w:r w:rsidRPr="00EC779F">
        <w:rPr>
          <w:rFonts w:eastAsia="Times New Roman"/>
          <w:noProof/>
        </w:rPr>
        <w:t xml:space="preserve"> AI and big data</w:t>
      </w:r>
      <w:r w:rsidR="00CD6596">
        <w:rPr>
          <w:rFonts w:eastAsia="Times New Roman"/>
          <w:noProof/>
        </w:rPr>
        <w:t xml:space="preserve"> is underused</w:t>
      </w:r>
      <w:r w:rsidRPr="00EC779F">
        <w:rPr>
          <w:rFonts w:eastAsia="Times New Roman"/>
          <w:noProof/>
        </w:rPr>
        <w:t xml:space="preserve">, affecting innovation and competitiveness. These issues lead to unequal access to treatments and vulnerabilities in medicine </w:t>
      </w:r>
      <w:r w:rsidR="0030713C">
        <w:rPr>
          <w:rFonts w:eastAsia="Times New Roman"/>
          <w:noProof/>
        </w:rPr>
        <w:t xml:space="preserve">and medical devices </w:t>
      </w:r>
      <w:r w:rsidRPr="00EC779F">
        <w:rPr>
          <w:rFonts w:eastAsia="Times New Roman"/>
          <w:noProof/>
        </w:rPr>
        <w:t>supply chains. The EU's pharmaceutical industry, despite a strong trade position, is losing ground in dynamic market segments</w:t>
      </w:r>
      <w:r w:rsidR="00B03DD3" w:rsidRPr="00EC779F">
        <w:rPr>
          <w:rFonts w:eastAsia="Times New Roman"/>
          <w:noProof/>
        </w:rPr>
        <w:t>.</w:t>
      </w:r>
      <w:r w:rsidR="00FB7F4A">
        <w:rPr>
          <w:rFonts w:eastAsia="Times New Roman"/>
          <w:noProof/>
        </w:rPr>
        <w:t xml:space="preserve"> </w:t>
      </w:r>
      <w:r w:rsidR="00FB7F4A" w:rsidRPr="0098760A">
        <w:rPr>
          <w:rFonts w:eastAsia="Times New Roman"/>
          <w:noProof/>
        </w:rPr>
        <w:t xml:space="preserve">In addition, the health and biotech sector </w:t>
      </w:r>
      <w:r w:rsidR="008E3DCD">
        <w:rPr>
          <w:rFonts w:eastAsia="Times New Roman"/>
          <w:noProof/>
        </w:rPr>
        <w:t>plays</w:t>
      </w:r>
      <w:r w:rsidR="00FB7F4A">
        <w:rPr>
          <w:rFonts w:eastAsia="Times New Roman"/>
          <w:noProof/>
        </w:rPr>
        <w:t xml:space="preserve"> a</w:t>
      </w:r>
      <w:r w:rsidR="00FB7F4A" w:rsidRPr="0098760A">
        <w:rPr>
          <w:rFonts w:eastAsia="Times New Roman"/>
          <w:noProof/>
        </w:rPr>
        <w:t xml:space="preserve"> key role for health security, such as </w:t>
      </w:r>
      <w:r w:rsidR="00FB7F4A" w:rsidRPr="00603157">
        <w:rPr>
          <w:rFonts w:eastAsia="Times New Roman"/>
          <w:noProof/>
        </w:rPr>
        <w:t>through addressing antimicrobial resistance.</w:t>
      </w:r>
    </w:p>
    <w:p w14:paraId="59140ACA" w14:textId="01FB9713" w:rsidR="006B087E" w:rsidRPr="007E33D2" w:rsidRDefault="006B087E" w:rsidP="00603157">
      <w:pPr>
        <w:pStyle w:val="Heading1"/>
        <w:rPr>
          <w:noProof/>
          <w:lang w:val="en-IE"/>
        </w:rPr>
      </w:pPr>
      <w:bookmarkStart w:id="55" w:name="_Toc197111296"/>
      <w:bookmarkStart w:id="56" w:name="_Toc197111663"/>
      <w:bookmarkStart w:id="57" w:name="_Toc197111871"/>
      <w:bookmarkStart w:id="58" w:name="_Toc197111944"/>
      <w:bookmarkStart w:id="59" w:name="_Toc197111297"/>
      <w:bookmarkStart w:id="60" w:name="_Toc197111664"/>
      <w:bookmarkStart w:id="61" w:name="_Toc197111872"/>
      <w:bookmarkStart w:id="62" w:name="_Toc197111945"/>
      <w:bookmarkStart w:id="63" w:name="_Toc197111298"/>
      <w:bookmarkStart w:id="64" w:name="_Toc197111665"/>
      <w:bookmarkStart w:id="65" w:name="_Toc197111873"/>
      <w:bookmarkStart w:id="66" w:name="_Toc197111946"/>
      <w:bookmarkStart w:id="67" w:name="_Toc197111299"/>
      <w:bookmarkStart w:id="68" w:name="_Toc197111666"/>
      <w:bookmarkStart w:id="69" w:name="_Toc197111874"/>
      <w:bookmarkStart w:id="70" w:name="_Toc197111947"/>
      <w:bookmarkStart w:id="71" w:name="_Toc197111300"/>
      <w:bookmarkStart w:id="72" w:name="_Toc197111667"/>
      <w:bookmarkStart w:id="73" w:name="_Toc197111875"/>
      <w:bookmarkStart w:id="74" w:name="_Toc197111948"/>
      <w:bookmarkStart w:id="75" w:name="_Toc197111301"/>
      <w:bookmarkStart w:id="76" w:name="_Toc197111668"/>
      <w:bookmarkStart w:id="77" w:name="_Toc197111876"/>
      <w:bookmarkStart w:id="78" w:name="_Toc197111949"/>
      <w:bookmarkStart w:id="79" w:name="_Toc197111302"/>
      <w:bookmarkStart w:id="80" w:name="_Toc197111669"/>
      <w:bookmarkStart w:id="81" w:name="_Toc197111877"/>
      <w:bookmarkStart w:id="82" w:name="_Toc197111950"/>
      <w:bookmarkStart w:id="83" w:name="_Toc197111303"/>
      <w:bookmarkStart w:id="84" w:name="_Toc197111670"/>
      <w:bookmarkStart w:id="85" w:name="_Toc197111878"/>
      <w:bookmarkStart w:id="86" w:name="_Toc197111951"/>
      <w:bookmarkStart w:id="87" w:name="_Toc197111304"/>
      <w:bookmarkStart w:id="88" w:name="_Toc197111671"/>
      <w:bookmarkStart w:id="89" w:name="_Toc197111879"/>
      <w:bookmarkStart w:id="90" w:name="_Toc197111952"/>
      <w:bookmarkStart w:id="91" w:name="_Toc197111305"/>
      <w:bookmarkStart w:id="92" w:name="_Toc197111672"/>
      <w:bookmarkStart w:id="93" w:name="_Toc197111880"/>
      <w:bookmarkStart w:id="94" w:name="_Toc197111953"/>
      <w:bookmarkStart w:id="95" w:name="_Toc197111306"/>
      <w:bookmarkStart w:id="96" w:name="_Toc197111673"/>
      <w:bookmarkStart w:id="97" w:name="_Toc197111881"/>
      <w:bookmarkStart w:id="98" w:name="_Toc197111954"/>
      <w:bookmarkStart w:id="99" w:name="_Toc197111307"/>
      <w:bookmarkStart w:id="100" w:name="_Toc197111674"/>
      <w:bookmarkStart w:id="101" w:name="_Toc197111882"/>
      <w:bookmarkStart w:id="102" w:name="_Toc197111955"/>
      <w:bookmarkStart w:id="103" w:name="_Toc197111308"/>
      <w:bookmarkStart w:id="104" w:name="_Toc197111675"/>
      <w:bookmarkStart w:id="105" w:name="_Toc197111883"/>
      <w:bookmarkStart w:id="106" w:name="_Toc197111956"/>
      <w:bookmarkStart w:id="107" w:name="_Toc197111309"/>
      <w:bookmarkStart w:id="108" w:name="_Toc197111676"/>
      <w:bookmarkStart w:id="109" w:name="_Toc197111884"/>
      <w:bookmarkStart w:id="110" w:name="_Toc197111957"/>
      <w:bookmarkStart w:id="111" w:name="_Toc197111310"/>
      <w:bookmarkStart w:id="112" w:name="_Toc197111677"/>
      <w:bookmarkStart w:id="113" w:name="_Toc197111885"/>
      <w:bookmarkStart w:id="114" w:name="_Toc197111958"/>
      <w:bookmarkStart w:id="115" w:name="_Toc197111311"/>
      <w:bookmarkStart w:id="116" w:name="_Toc197111678"/>
      <w:bookmarkStart w:id="117" w:name="_Toc197111886"/>
      <w:bookmarkStart w:id="118" w:name="_Toc197111959"/>
      <w:bookmarkStart w:id="119" w:name="_Toc197111312"/>
      <w:bookmarkStart w:id="120" w:name="_Toc197111679"/>
      <w:bookmarkStart w:id="121" w:name="_Toc197111887"/>
      <w:bookmarkStart w:id="122" w:name="_Toc197111960"/>
      <w:bookmarkStart w:id="123" w:name="_Toc197111313"/>
      <w:bookmarkStart w:id="124" w:name="_Toc197111680"/>
      <w:bookmarkStart w:id="125" w:name="_Toc197111888"/>
      <w:bookmarkStart w:id="126" w:name="_Toc197111961"/>
      <w:bookmarkStart w:id="127" w:name="_Toc197111314"/>
      <w:bookmarkStart w:id="128" w:name="_Toc197111681"/>
      <w:bookmarkStart w:id="129" w:name="_Toc197111889"/>
      <w:bookmarkStart w:id="130" w:name="_Toc197111962"/>
      <w:bookmarkStart w:id="131" w:name="_Toc197111315"/>
      <w:bookmarkStart w:id="132" w:name="_Toc197111682"/>
      <w:bookmarkStart w:id="133" w:name="_Toc197111890"/>
      <w:bookmarkStart w:id="134" w:name="_Toc197111963"/>
      <w:bookmarkStart w:id="135" w:name="_Toc197111316"/>
      <w:bookmarkStart w:id="136" w:name="_Toc197111683"/>
      <w:bookmarkStart w:id="137" w:name="_Toc197111891"/>
      <w:bookmarkStart w:id="138" w:name="_Toc197111964"/>
      <w:bookmarkStart w:id="139" w:name="_Toc197111317"/>
      <w:bookmarkStart w:id="140" w:name="_Toc197111684"/>
      <w:bookmarkStart w:id="141" w:name="_Toc197111892"/>
      <w:bookmarkStart w:id="142" w:name="_Toc197111965"/>
      <w:bookmarkStart w:id="143" w:name="_Toc195700189"/>
      <w:bookmarkStart w:id="144" w:name="_Toc195700191"/>
      <w:bookmarkStart w:id="145" w:name="_Toc192172357"/>
      <w:bookmarkStart w:id="146" w:name="_Toc195700193"/>
      <w:bookmarkStart w:id="147" w:name="_Toc203043636"/>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7E33D2">
        <w:rPr>
          <w:noProof/>
          <w:lang w:val="en-IE"/>
        </w:rPr>
        <w:t>Why should the EU act?</w:t>
      </w:r>
      <w:bookmarkEnd w:id="145"/>
      <w:bookmarkEnd w:id="146"/>
      <w:bookmarkEnd w:id="147"/>
    </w:p>
    <w:p w14:paraId="70EEDAD8" w14:textId="7D125E41" w:rsidR="006B087E" w:rsidRPr="007E33D2" w:rsidRDefault="5BB30EA9" w:rsidP="00603157">
      <w:pPr>
        <w:pStyle w:val="Heading2"/>
        <w:rPr>
          <w:noProof/>
          <w:lang w:val="en-IE"/>
        </w:rPr>
      </w:pPr>
      <w:bookmarkStart w:id="148" w:name="_Toc195700194"/>
      <w:bookmarkStart w:id="149" w:name="_Toc203043637"/>
      <w:r w:rsidRPr="4947ADCE">
        <w:rPr>
          <w:noProof/>
          <w:lang w:val="en-IE"/>
        </w:rPr>
        <w:t>Legal basis</w:t>
      </w:r>
      <w:bookmarkEnd w:id="148"/>
      <w:r w:rsidR="00E202E6">
        <w:rPr>
          <w:rStyle w:val="FootnoteReference"/>
          <w:noProof/>
          <w:lang w:val="en-IE"/>
        </w:rPr>
        <w:footnoteReference w:id="128"/>
      </w:r>
      <w:bookmarkEnd w:id="149"/>
    </w:p>
    <w:p w14:paraId="77E1D053" w14:textId="2A6471C5" w:rsidR="00D56361" w:rsidRPr="008934F2" w:rsidRDefault="5D39508B" w:rsidP="00603157">
      <w:pPr>
        <w:pStyle w:val="Text1"/>
        <w:ind w:left="0"/>
        <w:rPr>
          <w:noProof/>
          <w:lang w:val="en-IE"/>
        </w:rPr>
      </w:pPr>
      <w:r w:rsidRPr="4947ADCE">
        <w:rPr>
          <w:noProof/>
          <w:lang w:val="en-IE"/>
        </w:rPr>
        <w:t xml:space="preserve">Article 173 of the TFEU foresees that the Union and the Member States shall ensure that the conditions necessary for the competitiveness of the Union's industry exist. The Union shall contribute to the achievement of these objectives through the policies and activities it pursues under other provisions of the Treaties. </w:t>
      </w:r>
    </w:p>
    <w:p w14:paraId="77957C34" w14:textId="51BA42E7" w:rsidR="000E6F84" w:rsidRDefault="16983C5B" w:rsidP="00603157">
      <w:pPr>
        <w:pStyle w:val="Text1"/>
        <w:ind w:left="0"/>
        <w:rPr>
          <w:noProof/>
          <w:lang w:val="en-IE"/>
        </w:rPr>
      </w:pPr>
      <w:r w:rsidRPr="6CD386C1">
        <w:rPr>
          <w:noProof/>
          <w:lang w:val="en-IE"/>
        </w:rPr>
        <w:t>Under Title XIX of the TFEU</w:t>
      </w:r>
      <w:r w:rsidR="11902E06" w:rsidRPr="6CD386C1">
        <w:rPr>
          <w:noProof/>
          <w:lang w:val="en-IE"/>
        </w:rPr>
        <w:t xml:space="preserve"> (</w:t>
      </w:r>
      <w:r w:rsidRPr="6CD386C1">
        <w:rPr>
          <w:noProof/>
          <w:lang w:val="en-IE"/>
        </w:rPr>
        <w:t>“Research and Technological Development and Space” heading</w:t>
      </w:r>
      <w:r w:rsidR="11902E06" w:rsidRPr="6CD386C1">
        <w:rPr>
          <w:noProof/>
          <w:lang w:val="en-IE"/>
        </w:rPr>
        <w:t>)</w:t>
      </w:r>
      <w:r w:rsidRPr="6CD386C1">
        <w:rPr>
          <w:noProof/>
          <w:lang w:val="en-IE"/>
        </w:rPr>
        <w:t xml:space="preserve">, </w:t>
      </w:r>
      <w:r w:rsidR="4315FE1A" w:rsidRPr="6CD386C1">
        <w:rPr>
          <w:noProof/>
          <w:lang w:val="en-IE"/>
        </w:rPr>
        <w:t>Article 182(</w:t>
      </w:r>
      <w:r w:rsidR="55F1FA87" w:rsidRPr="6CD386C1">
        <w:rPr>
          <w:noProof/>
          <w:lang w:val="en-IE"/>
        </w:rPr>
        <w:t>1</w:t>
      </w:r>
      <w:r w:rsidRPr="6CD386C1">
        <w:rPr>
          <w:noProof/>
          <w:lang w:val="en-IE"/>
        </w:rPr>
        <w:t>)</w:t>
      </w:r>
      <w:r w:rsidR="4315FE1A" w:rsidRPr="6CD386C1">
        <w:rPr>
          <w:noProof/>
          <w:lang w:val="en-IE"/>
        </w:rPr>
        <w:t xml:space="preserve"> requires</w:t>
      </w:r>
      <w:r w:rsidR="7B1E3DB2" w:rsidRPr="6CD386C1">
        <w:rPr>
          <w:noProof/>
          <w:lang w:val="en-IE"/>
        </w:rPr>
        <w:t xml:space="preserve"> that the activities set out in Article 180 ar</w:t>
      </w:r>
      <w:r w:rsidR="418A52D5" w:rsidRPr="6CD386C1">
        <w:rPr>
          <w:noProof/>
          <w:lang w:val="en-IE"/>
        </w:rPr>
        <w:t>e</w:t>
      </w:r>
      <w:r w:rsidR="7B1E3DB2" w:rsidRPr="6CD386C1">
        <w:rPr>
          <w:noProof/>
          <w:lang w:val="en-IE"/>
        </w:rPr>
        <w:t xml:space="preserve"> im</w:t>
      </w:r>
      <w:r w:rsidR="65DD68A7" w:rsidRPr="6CD386C1">
        <w:rPr>
          <w:noProof/>
          <w:lang w:val="en-IE"/>
        </w:rPr>
        <w:t>plemented through</w:t>
      </w:r>
      <w:r w:rsidR="4315FE1A" w:rsidRPr="6CD386C1">
        <w:rPr>
          <w:noProof/>
          <w:lang w:val="en-IE"/>
        </w:rPr>
        <w:t xml:space="preserve"> a </w:t>
      </w:r>
      <w:r w:rsidR="7963CFDE">
        <w:rPr>
          <w:noProof/>
        </w:rPr>
        <w:t>multiannual framework programme</w:t>
      </w:r>
      <w:r w:rsidR="514BEFED" w:rsidRPr="6CD386C1">
        <w:rPr>
          <w:noProof/>
          <w:lang w:val="en-IE"/>
        </w:rPr>
        <w:t>:</w:t>
      </w:r>
      <w:r w:rsidR="4315FE1A" w:rsidRPr="6CD386C1">
        <w:rPr>
          <w:noProof/>
          <w:lang w:val="en-IE"/>
        </w:rPr>
        <w:t xml:space="preserve"> “A multiannual framework programme, setting out all the</w:t>
      </w:r>
      <w:r w:rsidR="00C260E1">
        <w:rPr>
          <w:noProof/>
          <w:lang w:val="en-IE"/>
        </w:rPr>
        <w:t xml:space="preserve"> </w:t>
      </w:r>
      <w:r w:rsidR="1D0C1C8F" w:rsidRPr="6CD386C1">
        <w:rPr>
          <w:noProof/>
          <w:lang w:val="en-IE"/>
        </w:rPr>
        <w:t xml:space="preserve">research and technological development </w:t>
      </w:r>
      <w:r w:rsidR="4315FE1A" w:rsidRPr="6CD386C1">
        <w:rPr>
          <w:noProof/>
          <w:lang w:val="en-IE"/>
        </w:rPr>
        <w:t>activities of the Union, shall be adopted by the European Parliament and the Council, acting in accordance with the ordinary legislative procedure after consulting the Economic and Social Committee.</w:t>
      </w:r>
    </w:p>
    <w:p w14:paraId="5E89CE3C" w14:textId="77777777" w:rsidR="006B087E" w:rsidRDefault="006B087E" w:rsidP="00603157">
      <w:pPr>
        <w:pStyle w:val="Heading2"/>
        <w:rPr>
          <w:noProof/>
          <w:lang w:val="en-IE"/>
        </w:rPr>
      </w:pPr>
      <w:bookmarkStart w:id="150" w:name="_Toc195700195"/>
      <w:bookmarkStart w:id="151" w:name="_Toc203043638"/>
      <w:r w:rsidRPr="007E33D2">
        <w:rPr>
          <w:noProof/>
          <w:lang w:val="en-IE"/>
        </w:rPr>
        <w:t>Subsidiarity: Necessity of EU action</w:t>
      </w:r>
      <w:bookmarkEnd w:id="150"/>
      <w:bookmarkEnd w:id="151"/>
    </w:p>
    <w:p w14:paraId="466FF53E" w14:textId="13B8B1CE" w:rsidR="1247EEC3" w:rsidRDefault="71A2F619" w:rsidP="00603157">
      <w:pPr>
        <w:pStyle w:val="Text2"/>
        <w:ind w:left="0"/>
        <w:rPr>
          <w:noProof/>
        </w:rPr>
      </w:pPr>
      <w:r>
        <w:rPr>
          <w:noProof/>
        </w:rPr>
        <w:t xml:space="preserve">As the Problem Definition illustrates in detail, the EU is facing a </w:t>
      </w:r>
      <w:r w:rsidR="60DF7F75">
        <w:rPr>
          <w:noProof/>
        </w:rPr>
        <w:t>competitiveness</w:t>
      </w:r>
      <w:r>
        <w:rPr>
          <w:noProof/>
        </w:rPr>
        <w:t xml:space="preserve"> gap with other global players. Not only US and China are leading in critical sectors and key innovation clusters,</w:t>
      </w:r>
      <w:r w:rsidR="00D827BA">
        <w:rPr>
          <w:rStyle w:val="FootnoteReference"/>
          <w:noProof/>
        </w:rPr>
        <w:footnoteReference w:id="129"/>
      </w:r>
      <w:r w:rsidR="000F44BA">
        <w:rPr>
          <w:noProof/>
        </w:rPr>
        <w:t xml:space="preserve"> </w:t>
      </w:r>
      <w:r>
        <w:rPr>
          <w:noProof/>
        </w:rPr>
        <w:t>b</w:t>
      </w:r>
      <w:r w:rsidRPr="00202505">
        <w:rPr>
          <w:noProof/>
        </w:rPr>
        <w:t>ut the</w:t>
      </w:r>
      <w:r w:rsidR="00520E7A">
        <w:rPr>
          <w:noProof/>
        </w:rPr>
        <w:t xml:space="preserve">se economies </w:t>
      </w:r>
      <w:r w:rsidRPr="00202505">
        <w:rPr>
          <w:noProof/>
        </w:rPr>
        <w:t xml:space="preserve">also </w:t>
      </w:r>
      <w:r w:rsidR="00520E7A">
        <w:rPr>
          <w:noProof/>
        </w:rPr>
        <w:t>leverage</w:t>
      </w:r>
      <w:r w:rsidRPr="00202505">
        <w:rPr>
          <w:noProof/>
        </w:rPr>
        <w:t xml:space="preserve"> significantly greater financial support</w:t>
      </w:r>
      <w:r>
        <w:rPr>
          <w:noProof/>
        </w:rPr>
        <w:t xml:space="preserve"> for R&amp;I, deployment, and scale up. For this reason, the response to regain competitiveness needs to be coordinated at EU level to be truly effective.</w:t>
      </w:r>
      <w:r w:rsidR="6B567A34">
        <w:rPr>
          <w:noProof/>
        </w:rPr>
        <w:t xml:space="preserve"> P</w:t>
      </w:r>
      <w:r w:rsidR="6B567A34" w:rsidRPr="68AEC0ED">
        <w:rPr>
          <w:noProof/>
        </w:rPr>
        <w:t xml:space="preserve">ooling resources at the EU level can </w:t>
      </w:r>
      <w:r w:rsidR="59D06046">
        <w:rPr>
          <w:noProof/>
        </w:rPr>
        <w:t xml:space="preserve">maximise the impact </w:t>
      </w:r>
      <w:r w:rsidR="0011764B">
        <w:rPr>
          <w:noProof/>
        </w:rPr>
        <w:t xml:space="preserve">and added value </w:t>
      </w:r>
      <w:r w:rsidR="59D06046">
        <w:rPr>
          <w:noProof/>
        </w:rPr>
        <w:t xml:space="preserve">of investment on the ground, and </w:t>
      </w:r>
      <w:r w:rsidR="6B567A34" w:rsidRPr="68AEC0ED">
        <w:rPr>
          <w:noProof/>
        </w:rPr>
        <w:t>lead to economies of scale in procurement (for vaccines, medical equipment, etc.), research</w:t>
      </w:r>
      <w:r w:rsidR="48F138A8">
        <w:rPr>
          <w:noProof/>
        </w:rPr>
        <w:t xml:space="preserve"> and innovation</w:t>
      </w:r>
      <w:r w:rsidR="6B567A34" w:rsidRPr="68AEC0ED">
        <w:rPr>
          <w:noProof/>
        </w:rPr>
        <w:t xml:space="preserve">, </w:t>
      </w:r>
      <w:r w:rsidR="6D15898B">
        <w:rPr>
          <w:noProof/>
        </w:rPr>
        <w:t xml:space="preserve">space </w:t>
      </w:r>
      <w:r w:rsidR="6B567A34" w:rsidRPr="68AEC0ED">
        <w:rPr>
          <w:noProof/>
        </w:rPr>
        <w:t>and health initiatives, making them more cost-effective than if each Member State acted independently</w:t>
      </w:r>
      <w:r w:rsidR="53D50957">
        <w:rPr>
          <w:noProof/>
        </w:rPr>
        <w:t>.</w:t>
      </w:r>
    </w:p>
    <w:p w14:paraId="0BC07558" w14:textId="6214D351" w:rsidR="68A51581" w:rsidRDefault="75BA8111" w:rsidP="00603157">
      <w:pPr>
        <w:pStyle w:val="Text2"/>
        <w:ind w:left="0"/>
        <w:rPr>
          <w:noProof/>
        </w:rPr>
      </w:pPr>
      <w:r w:rsidRPr="18FC33B1">
        <w:rPr>
          <w:noProof/>
        </w:rPr>
        <w:t xml:space="preserve">Underinvestment by the private sector remains a persistent challenge in the EU, affecting a broad spectrum of investment types—including infrastructure, innovation, green and digital transitions, and industrial capacity. </w:t>
      </w:r>
      <w:r w:rsidR="2EBF3DD1">
        <w:rPr>
          <w:noProof/>
        </w:rPr>
        <w:t>T</w:t>
      </w:r>
      <w:r>
        <w:rPr>
          <w:noProof/>
        </w:rPr>
        <w:t>his</w:t>
      </w:r>
      <w:r w:rsidRPr="18FC33B1">
        <w:rPr>
          <w:noProof/>
        </w:rPr>
        <w:t xml:space="preserve"> underinvestment is exacerbated by fragmented capital markets, which hinder the efficient allocation of savings to productive investment opportunities across borders</w:t>
      </w:r>
      <w:r w:rsidR="520A55F3" w:rsidRPr="18FC33B1">
        <w:rPr>
          <w:noProof/>
        </w:rPr>
        <w:t>.</w:t>
      </w:r>
      <w:r w:rsidRPr="63E480EF">
        <w:rPr>
          <w:noProof/>
          <w:vertAlign w:val="superscript"/>
        </w:rPr>
        <w:footnoteReference w:id="130"/>
      </w:r>
      <w:r>
        <w:rPr>
          <w:noProof/>
        </w:rPr>
        <w:t xml:space="preserve"> </w:t>
      </w:r>
      <w:r w:rsidR="00A61C0A">
        <w:rPr>
          <w:noProof/>
        </w:rPr>
        <w:t>D</w:t>
      </w:r>
      <w:r>
        <w:rPr>
          <w:noProof/>
        </w:rPr>
        <w:t xml:space="preserve">espite a high level of private savings in Europe, these are not being sufficiently </w:t>
      </w:r>
      <w:r w:rsidR="004C1D52">
        <w:rPr>
          <w:noProof/>
        </w:rPr>
        <w:t>transformed</w:t>
      </w:r>
      <w:r>
        <w:rPr>
          <w:noProof/>
        </w:rPr>
        <w:t xml:space="preserve"> </w:t>
      </w:r>
      <w:r w:rsidRPr="6A48B004">
        <w:rPr>
          <w:noProof/>
          <w:vertAlign w:val="superscript"/>
        </w:rPr>
        <w:footnoteReference w:id="131"/>
      </w:r>
      <w:r w:rsidRPr="18FC33B1">
        <w:rPr>
          <w:noProof/>
        </w:rPr>
        <w:t xml:space="preserve"> into long-term investments, especially those that are critical for the twin transitions and strategic autonomy</w:t>
      </w:r>
      <w:r>
        <w:rPr>
          <w:noProof/>
        </w:rPr>
        <w:t>.</w:t>
      </w:r>
      <w:r w:rsidRPr="18FC33B1">
        <w:rPr>
          <w:noProof/>
        </w:rPr>
        <w:t xml:space="preserve"> The fragmentation of financial markets limits cross-border capital flows, reduces scale, and increases risk for investors, particularly affecting SMEs and </w:t>
      </w:r>
      <w:r w:rsidR="140D3B22">
        <w:rPr>
          <w:noProof/>
        </w:rPr>
        <w:t xml:space="preserve">strategic </w:t>
      </w:r>
      <w:r>
        <w:rPr>
          <w:noProof/>
        </w:rPr>
        <w:t>sectors.</w:t>
      </w:r>
    </w:p>
    <w:p w14:paraId="1AFB9CFE" w14:textId="49868EB9" w:rsidR="00D827BA" w:rsidRDefault="3B75760A" w:rsidP="00603157">
      <w:pPr>
        <w:pStyle w:val="Text2"/>
        <w:ind w:left="0"/>
        <w:rPr>
          <w:noProof/>
        </w:rPr>
      </w:pPr>
      <w:r>
        <w:rPr>
          <w:noProof/>
        </w:rPr>
        <w:t>As the Draghi report point</w:t>
      </w:r>
      <w:r w:rsidR="00D42E29">
        <w:rPr>
          <w:noProof/>
        </w:rPr>
        <w:t>s</w:t>
      </w:r>
      <w:r>
        <w:rPr>
          <w:noProof/>
        </w:rPr>
        <w:t xml:space="preserve"> out</w:t>
      </w:r>
      <w:r w:rsidR="0080381A" w:rsidRPr="21992D65">
        <w:rPr>
          <w:rFonts w:eastAsiaTheme="minorEastAsia"/>
          <w:noProof/>
        </w:rPr>
        <w:t xml:space="preserve"> </w:t>
      </w:r>
      <w:r w:rsidR="0080381A">
        <w:rPr>
          <w:noProof/>
        </w:rPr>
        <w:t>p</w:t>
      </w:r>
      <w:r w:rsidR="0080381A" w:rsidRPr="0080381A">
        <w:rPr>
          <w:noProof/>
        </w:rPr>
        <w:t xml:space="preserve">ublic R&amp;D spending in the EU is highly fragmented across Member States, not consistently directed towards EU-wide priorities, and often difficult to access. </w:t>
      </w:r>
      <w:r w:rsidR="0080381A">
        <w:rPr>
          <w:noProof/>
        </w:rPr>
        <w:t>Currently, only a small portion of th</w:t>
      </w:r>
      <w:r w:rsidR="002A3028">
        <w:rPr>
          <w:noProof/>
        </w:rPr>
        <w:t xml:space="preserve">is funding comes from </w:t>
      </w:r>
      <w:r w:rsidR="002A3028" w:rsidRPr="0080381A">
        <w:rPr>
          <w:noProof/>
        </w:rPr>
        <w:t>EU-level resources</w:t>
      </w:r>
      <w:r w:rsidR="002A3028">
        <w:rPr>
          <w:noProof/>
        </w:rPr>
        <w:t xml:space="preserve">, with most resources coming </w:t>
      </w:r>
      <w:r w:rsidR="0080381A" w:rsidRPr="0080381A">
        <w:rPr>
          <w:noProof/>
        </w:rPr>
        <w:t>from the budgets of the 27 Member States</w:t>
      </w:r>
      <w:r w:rsidR="002A3028">
        <w:rPr>
          <w:noProof/>
        </w:rPr>
        <w:t>.</w:t>
      </w:r>
      <w:r w:rsidR="002A3028">
        <w:rPr>
          <w:rStyle w:val="FootnoteReference"/>
          <w:noProof/>
        </w:rPr>
        <w:footnoteReference w:id="132"/>
      </w:r>
      <w:r>
        <w:rPr>
          <w:noProof/>
        </w:rPr>
        <w:t xml:space="preserve"> </w:t>
      </w:r>
      <w:r w:rsidRPr="65D94619">
        <w:rPr>
          <w:noProof/>
          <w:lang w:eastAsia="en-IE"/>
        </w:rPr>
        <w:t xml:space="preserve">EU-level action is necessary to support the type and scale of projects that would otherwise not be possible if Member States acted alone. EU support creates critical mass for large projects and partnerships to produce more </w:t>
      </w:r>
      <w:r w:rsidR="35B9775B" w:rsidRPr="238292F4">
        <w:rPr>
          <w:noProof/>
          <w:lang w:eastAsia="en-IE"/>
        </w:rPr>
        <w:t>impact</w:t>
      </w:r>
      <w:r w:rsidR="00D827BA" w:rsidRPr="65D94619">
        <w:rPr>
          <w:rStyle w:val="FootnoteReference"/>
          <w:noProof/>
          <w:lang w:eastAsia="en-IE"/>
        </w:rPr>
        <w:footnoteReference w:id="133"/>
      </w:r>
      <w:r w:rsidRPr="65D94619">
        <w:rPr>
          <w:noProof/>
          <w:lang w:eastAsia="en-IE"/>
        </w:rPr>
        <w:t xml:space="preserve"> and deliver on </w:t>
      </w:r>
      <w:r w:rsidR="20134689" w:rsidRPr="2A1AD167">
        <w:rPr>
          <w:noProof/>
          <w:lang w:eastAsia="en-IE"/>
        </w:rPr>
        <w:t xml:space="preserve">pan-European </w:t>
      </w:r>
      <w:r w:rsidRPr="65D94619">
        <w:rPr>
          <w:noProof/>
          <w:lang w:eastAsia="en-IE"/>
        </w:rPr>
        <w:t>societal needs, whilst leveraging more private and public investment.</w:t>
      </w:r>
      <w:r w:rsidR="00D827BA" w:rsidRPr="65D94619">
        <w:rPr>
          <w:rStyle w:val="FootnoteReference"/>
          <w:noProof/>
          <w:lang w:eastAsia="en-IE"/>
        </w:rPr>
        <w:footnoteReference w:id="134"/>
      </w:r>
      <w:r w:rsidR="4B135B52" w:rsidRPr="2A1AD167">
        <w:rPr>
          <w:rStyle w:val="FootnoteReference"/>
          <w:noProof/>
          <w:lang w:eastAsia="en-IE"/>
        </w:rPr>
        <w:t xml:space="preserve"> </w:t>
      </w:r>
      <w:r w:rsidR="4B6EF025">
        <w:rPr>
          <w:noProof/>
        </w:rPr>
        <w:t xml:space="preserve">Lastly, collaboration </w:t>
      </w:r>
      <w:r w:rsidR="0086218E">
        <w:rPr>
          <w:noProof/>
        </w:rPr>
        <w:t>- fos</w:t>
      </w:r>
      <w:r w:rsidR="0082268A">
        <w:rPr>
          <w:noProof/>
        </w:rPr>
        <w:t>tering</w:t>
      </w:r>
      <w:r w:rsidR="0086218E">
        <w:rPr>
          <w:noProof/>
        </w:rPr>
        <w:t xml:space="preserve"> knowledge spillovers </w:t>
      </w:r>
      <w:r w:rsidR="0082268A">
        <w:rPr>
          <w:noProof/>
        </w:rPr>
        <w:t xml:space="preserve">and risk-sharing opportunities </w:t>
      </w:r>
      <w:r w:rsidR="0086218E">
        <w:rPr>
          <w:noProof/>
        </w:rPr>
        <w:t xml:space="preserve">- </w:t>
      </w:r>
      <w:r w:rsidR="4B6EF025">
        <w:rPr>
          <w:noProof/>
        </w:rPr>
        <w:t>is an important element in advancing competitiveness. An EU-wide solution would foster economies of scale and cooperation across stakeholders,</w:t>
      </w:r>
      <w:r w:rsidR="00D827BA">
        <w:rPr>
          <w:rStyle w:val="FootnoteReference"/>
          <w:noProof/>
        </w:rPr>
        <w:footnoteReference w:id="135"/>
      </w:r>
      <w:r w:rsidR="4B6EF025">
        <w:rPr>
          <w:noProof/>
        </w:rPr>
        <w:t xml:space="preserve"> which are vital to enhance knowledge valorisation and improve organisational and technical capacities. </w:t>
      </w:r>
    </w:p>
    <w:p w14:paraId="00BCED12" w14:textId="0126E8EA" w:rsidR="0067220B" w:rsidRPr="007E33D2" w:rsidRDefault="0067220B" w:rsidP="00603157">
      <w:pPr>
        <w:pStyle w:val="Heading2"/>
        <w:rPr>
          <w:noProof/>
          <w:lang w:val="en-IE"/>
        </w:rPr>
      </w:pPr>
      <w:bookmarkStart w:id="152" w:name="_Toc195700196"/>
      <w:bookmarkStart w:id="153" w:name="_Toc203043639"/>
      <w:r w:rsidRPr="007E33D2">
        <w:rPr>
          <w:noProof/>
          <w:lang w:val="en-IE"/>
        </w:rPr>
        <w:t>Subsidiarity: Added value of EU action</w:t>
      </w:r>
      <w:bookmarkEnd w:id="152"/>
      <w:bookmarkEnd w:id="153"/>
    </w:p>
    <w:p w14:paraId="17AD596C" w14:textId="70626B92" w:rsidR="008A5C2E" w:rsidRPr="007E33D2" w:rsidRDefault="00D46D93" w:rsidP="008C51EB">
      <w:pPr>
        <w:pStyle w:val="Heading3"/>
        <w:numPr>
          <w:ilvl w:val="0"/>
          <w:numId w:val="20"/>
        </w:numPr>
        <w:rPr>
          <w:noProof/>
          <w:lang w:val="en-IE"/>
        </w:rPr>
      </w:pPr>
      <w:bookmarkStart w:id="154" w:name="_Toc193448891"/>
      <w:bookmarkStart w:id="155" w:name="_Toc195700197"/>
      <w:r>
        <w:rPr>
          <w:noProof/>
          <w:lang w:val="en-IE"/>
        </w:rPr>
        <w:t>Enhancing collaboration and i</w:t>
      </w:r>
      <w:r w:rsidR="004848D1">
        <w:rPr>
          <w:noProof/>
          <w:lang w:val="en-IE"/>
        </w:rPr>
        <w:t xml:space="preserve">ntegration </w:t>
      </w:r>
      <w:r w:rsidR="008A5C2E" w:rsidRPr="007E33D2">
        <w:rPr>
          <w:noProof/>
          <w:lang w:val="en-IE"/>
        </w:rPr>
        <w:t>across stakeholders and borders</w:t>
      </w:r>
      <w:bookmarkEnd w:id="154"/>
      <w:bookmarkEnd w:id="155"/>
    </w:p>
    <w:p w14:paraId="6B00D26D" w14:textId="71C0B357" w:rsidR="00B7748C" w:rsidRDefault="705D781D" w:rsidP="00603157">
      <w:pPr>
        <w:rPr>
          <w:rStyle w:val="FootnoteReference"/>
          <w:noProof/>
          <w:lang w:val="en-IE"/>
        </w:rPr>
      </w:pPr>
      <w:r w:rsidRPr="007E33D2">
        <w:rPr>
          <w:noProof/>
          <w:lang w:val="en-IE"/>
        </w:rPr>
        <w:t xml:space="preserve">EU funding </w:t>
      </w:r>
      <w:r w:rsidR="7D36F038" w:rsidRPr="238292F4">
        <w:rPr>
          <w:noProof/>
          <w:lang w:val="en-IE"/>
        </w:rPr>
        <w:t xml:space="preserve">fosters </w:t>
      </w:r>
      <w:r w:rsidRPr="007E33D2">
        <w:rPr>
          <w:noProof/>
          <w:lang w:val="en-IE"/>
        </w:rPr>
        <w:t xml:space="preserve">extensive collaboration across stakeholders and borders, </w:t>
      </w:r>
      <w:r w:rsidR="60D6D736" w:rsidRPr="238292F4">
        <w:rPr>
          <w:noProof/>
          <w:lang w:val="en-IE"/>
        </w:rPr>
        <w:t xml:space="preserve">reducing </w:t>
      </w:r>
      <w:r w:rsidRPr="007E33D2">
        <w:rPr>
          <w:noProof/>
          <w:lang w:val="en-IE"/>
        </w:rPr>
        <w:t xml:space="preserve">fragmentation </w:t>
      </w:r>
      <w:r w:rsidR="38D9F5D7" w:rsidRPr="68AEC0ED">
        <w:rPr>
          <w:noProof/>
          <w:lang w:val="en-IE"/>
        </w:rPr>
        <w:t xml:space="preserve">of resources and efforts </w:t>
      </w:r>
      <w:r w:rsidRPr="007E33D2">
        <w:rPr>
          <w:noProof/>
          <w:lang w:val="en-IE"/>
        </w:rPr>
        <w:t xml:space="preserve">and </w:t>
      </w:r>
      <w:r w:rsidR="364627FE" w:rsidRPr="238292F4">
        <w:rPr>
          <w:noProof/>
          <w:lang w:val="en-IE"/>
        </w:rPr>
        <w:t xml:space="preserve">facilitating knowledge transfer </w:t>
      </w:r>
      <w:r w:rsidR="0005677F">
        <w:rPr>
          <w:noProof/>
          <w:lang w:val="en-IE"/>
        </w:rPr>
        <w:t xml:space="preserve">between </w:t>
      </w:r>
      <w:r w:rsidR="009A7288">
        <w:rPr>
          <w:noProof/>
          <w:lang w:val="en-IE"/>
        </w:rPr>
        <w:t>stakeholders and sectors,</w:t>
      </w:r>
      <w:r w:rsidR="364627FE" w:rsidRPr="238292F4">
        <w:rPr>
          <w:noProof/>
          <w:lang w:val="en-IE"/>
        </w:rPr>
        <w:t xml:space="preserve"> </w:t>
      </w:r>
      <w:r w:rsidRPr="007E33D2">
        <w:rPr>
          <w:noProof/>
          <w:lang w:val="en-IE"/>
        </w:rPr>
        <w:t xml:space="preserve">from </w:t>
      </w:r>
      <w:r w:rsidR="0B946D86" w:rsidRPr="68AEC0ED">
        <w:rPr>
          <w:noProof/>
          <w:lang w:val="en-IE"/>
        </w:rPr>
        <w:t xml:space="preserve">fundamental </w:t>
      </w:r>
      <w:r w:rsidRPr="007E33D2">
        <w:rPr>
          <w:noProof/>
          <w:lang w:val="en-IE"/>
        </w:rPr>
        <w:t>research to businesses.</w:t>
      </w:r>
      <w:r w:rsidR="008A5C2E" w:rsidRPr="00657196">
        <w:rPr>
          <w:rStyle w:val="FootnoteReference"/>
          <w:noProof/>
          <w:lang w:val="en-IE"/>
        </w:rPr>
        <w:footnoteReference w:id="136"/>
      </w:r>
      <w:r w:rsidRPr="01161804">
        <w:rPr>
          <w:rStyle w:val="FootnoteReference"/>
          <w:rFonts w:asciiTheme="minorHAnsi" w:hAnsiTheme="minorHAnsi"/>
          <w:noProof/>
        </w:rPr>
        <w:t xml:space="preserve"> </w:t>
      </w:r>
      <w:r w:rsidR="753010AE" w:rsidRPr="238292F4">
        <w:rPr>
          <w:noProof/>
          <w:lang w:val="en-US"/>
        </w:rPr>
        <w:t xml:space="preserve">This collaboration is vital for developing competitive products and services and is crucial in technological fields that require a strong European </w:t>
      </w:r>
      <w:r w:rsidR="6918AB4A">
        <w:rPr>
          <w:noProof/>
          <w:lang w:val="en-US"/>
        </w:rPr>
        <w:t>presence</w:t>
      </w:r>
      <w:r w:rsidR="753010AE" w:rsidRPr="68AEC0ED">
        <w:rPr>
          <w:noProof/>
          <w:lang w:val="en-US"/>
        </w:rPr>
        <w:t>.</w:t>
      </w:r>
      <w:r w:rsidR="753010AE" w:rsidRPr="238292F4">
        <w:rPr>
          <w:noProof/>
          <w:lang w:val="en-US"/>
        </w:rPr>
        <w:t xml:space="preserve"> EU funding breaks down national barriers and forms networks creating critical mass to address challenges like climate neutrality</w:t>
      </w:r>
      <w:r w:rsidR="6CB96C17" w:rsidRPr="68AEC0ED">
        <w:rPr>
          <w:noProof/>
          <w:lang w:val="en-US"/>
        </w:rPr>
        <w:t>,</w:t>
      </w:r>
      <w:r w:rsidR="5FE6344F">
        <w:rPr>
          <w:noProof/>
          <w:lang w:val="en-US"/>
        </w:rPr>
        <w:t xml:space="preserve"> </w:t>
      </w:r>
      <w:r w:rsidR="548BF5E7" w:rsidRPr="01161804">
        <w:rPr>
          <w:noProof/>
          <w:lang w:val="en-US"/>
        </w:rPr>
        <w:t xml:space="preserve">biodiversity loss, pollution, </w:t>
      </w:r>
      <w:r w:rsidR="753010AE" w:rsidRPr="238292F4">
        <w:rPr>
          <w:noProof/>
          <w:lang w:val="en-US"/>
        </w:rPr>
        <w:t>digital transformation</w:t>
      </w:r>
      <w:r w:rsidR="07B5207B" w:rsidRPr="238292F4">
        <w:rPr>
          <w:noProof/>
          <w:lang w:val="en-US"/>
        </w:rPr>
        <w:t>,</w:t>
      </w:r>
      <w:r w:rsidR="5C7E84A3" w:rsidRPr="68AEC0ED">
        <w:rPr>
          <w:noProof/>
          <w:lang w:val="en-US"/>
        </w:rPr>
        <w:t xml:space="preserve"> security</w:t>
      </w:r>
      <w:r w:rsidR="50BDFA9A" w:rsidRPr="68AEC0ED">
        <w:rPr>
          <w:noProof/>
          <w:lang w:val="en-US"/>
        </w:rPr>
        <w:t xml:space="preserve">, </w:t>
      </w:r>
      <w:r w:rsidR="0011426C">
        <w:rPr>
          <w:noProof/>
          <w:lang w:val="en-US"/>
        </w:rPr>
        <w:t xml:space="preserve">competitiveness </w:t>
      </w:r>
      <w:r w:rsidR="50BDFA9A" w:rsidRPr="68AEC0ED">
        <w:rPr>
          <w:noProof/>
          <w:lang w:val="en-US"/>
        </w:rPr>
        <w:t>or preparedness</w:t>
      </w:r>
      <w:r w:rsidR="5C7E84A3" w:rsidRPr="68AEC0ED">
        <w:rPr>
          <w:noProof/>
          <w:lang w:val="en-US"/>
        </w:rPr>
        <w:t xml:space="preserve"> </w:t>
      </w:r>
      <w:r w:rsidR="753010AE" w:rsidRPr="238292F4">
        <w:rPr>
          <w:noProof/>
          <w:lang w:val="en-US"/>
        </w:rPr>
        <w:t>that single Member States cannot tackle alone.</w:t>
      </w:r>
      <w:r w:rsidR="753010AE" w:rsidRPr="238292F4">
        <w:rPr>
          <w:rStyle w:val="FootnoteReference"/>
          <w:noProof/>
          <w:lang w:val="en-IE"/>
        </w:rPr>
        <w:t xml:space="preserve"> </w:t>
      </w:r>
      <w:r w:rsidR="00B7748C" w:rsidRPr="00B12FDC">
        <w:rPr>
          <w:rStyle w:val="FootnoteReference"/>
          <w:noProof/>
          <w:lang w:val="en-IE"/>
        </w:rPr>
        <w:footnoteReference w:id="137"/>
      </w:r>
      <w:r w:rsidR="00657196" w:rsidRPr="00657196">
        <w:rPr>
          <w:noProof/>
          <w:vertAlign w:val="superscript"/>
          <w:lang w:val="en-IE"/>
        </w:rPr>
        <w:t>,</w:t>
      </w:r>
      <w:r w:rsidR="00B7748C" w:rsidRPr="00B12FDC">
        <w:rPr>
          <w:rStyle w:val="FootnoteReference"/>
          <w:noProof/>
          <w:lang w:val="en-IE"/>
        </w:rPr>
        <w:footnoteReference w:id="138"/>
      </w:r>
      <w:r w:rsidR="68738DDD" w:rsidRPr="68AEC0ED">
        <w:rPr>
          <w:noProof/>
          <w:lang w:val="en-IE"/>
        </w:rPr>
        <w:t xml:space="preserve"> </w:t>
      </w:r>
    </w:p>
    <w:p w14:paraId="669E1438" w14:textId="3D3925BB" w:rsidR="008A5C2E" w:rsidRPr="007E33D2" w:rsidRDefault="008A5C2E" w:rsidP="008C51EB">
      <w:pPr>
        <w:pStyle w:val="Heading3"/>
        <w:numPr>
          <w:ilvl w:val="0"/>
          <w:numId w:val="20"/>
        </w:numPr>
        <w:rPr>
          <w:noProof/>
          <w:lang w:val="en-IE"/>
        </w:rPr>
      </w:pPr>
      <w:bookmarkStart w:id="156" w:name="_Toc193448892"/>
      <w:bookmarkStart w:id="157" w:name="_Toc195700198"/>
      <w:r w:rsidRPr="007E33D2">
        <w:rPr>
          <w:noProof/>
          <w:lang w:val="en-IE"/>
        </w:rPr>
        <w:t>Address</w:t>
      </w:r>
      <w:r w:rsidR="00B67702">
        <w:rPr>
          <w:noProof/>
          <w:lang w:val="en-IE"/>
        </w:rPr>
        <w:t>ing</w:t>
      </w:r>
      <w:r w:rsidRPr="007E33D2">
        <w:rPr>
          <w:noProof/>
          <w:lang w:val="en-IE"/>
        </w:rPr>
        <w:t xml:space="preserve"> market failures</w:t>
      </w:r>
      <w:r w:rsidR="00C81D7F">
        <w:rPr>
          <w:noProof/>
          <w:lang w:val="en-IE"/>
        </w:rPr>
        <w:t xml:space="preserve"> and</w:t>
      </w:r>
      <w:r w:rsidRPr="007E33D2">
        <w:rPr>
          <w:noProof/>
          <w:lang w:val="en-IE"/>
        </w:rPr>
        <w:t xml:space="preserve"> suboptimal investment conditions</w:t>
      </w:r>
      <w:r w:rsidR="00C81D7F">
        <w:rPr>
          <w:noProof/>
          <w:lang w:val="en-IE"/>
        </w:rPr>
        <w:t>,</w:t>
      </w:r>
      <w:r w:rsidRPr="007E33D2">
        <w:rPr>
          <w:noProof/>
          <w:lang w:val="en-IE"/>
        </w:rPr>
        <w:t xml:space="preserve"> and generat</w:t>
      </w:r>
      <w:r w:rsidR="009D501E">
        <w:rPr>
          <w:noProof/>
          <w:lang w:val="en-IE"/>
        </w:rPr>
        <w:t>ing</w:t>
      </w:r>
      <w:r w:rsidRPr="007E33D2">
        <w:rPr>
          <w:noProof/>
          <w:lang w:val="en-IE"/>
        </w:rPr>
        <w:t xml:space="preserve"> economic impact</w:t>
      </w:r>
      <w:bookmarkEnd w:id="156"/>
      <w:bookmarkEnd w:id="157"/>
    </w:p>
    <w:p w14:paraId="5454F478" w14:textId="53FBC023" w:rsidR="00A478A3" w:rsidRDefault="005C35F3" w:rsidP="00603157">
      <w:pPr>
        <w:rPr>
          <w:noProof/>
          <w:lang w:val="en-IE"/>
        </w:rPr>
      </w:pPr>
      <w:r w:rsidRPr="00AA7863">
        <w:rPr>
          <w:rFonts w:eastAsia="Times New Roman"/>
          <w:noProof/>
          <w:lang w:val="en-US"/>
        </w:rPr>
        <w:t>EU funding addresses market failures and suboptimal investment conditions, such as green-premium investments and large infrastructure projects where social returns outweigh private returns. By mitigating investment risks and incentivi</w:t>
      </w:r>
      <w:r w:rsidR="00763800">
        <w:rPr>
          <w:rFonts w:eastAsia="Times New Roman"/>
          <w:noProof/>
          <w:lang w:val="en-US"/>
        </w:rPr>
        <w:t>s</w:t>
      </w:r>
      <w:r w:rsidRPr="00AA7863">
        <w:rPr>
          <w:rFonts w:eastAsia="Times New Roman"/>
          <w:noProof/>
          <w:lang w:val="en-US"/>
        </w:rPr>
        <w:t>ing stakeholder engagement, EU funding supports economically beneficial projects that might not succeed otherwise. It enhances economic resilience, leverages private funds, attracts capital, and boosts productivity across the EU, driving GDP growth and fostering long-term stability.</w:t>
      </w:r>
      <w:r>
        <w:rPr>
          <w:rFonts w:eastAsia="Times New Roman"/>
          <w:noProof/>
          <w:lang w:val="en-US"/>
        </w:rPr>
        <w:t xml:space="preserve"> For example, </w:t>
      </w:r>
      <w:r w:rsidR="00FF709E" w:rsidRPr="00FF709E">
        <w:rPr>
          <w:rFonts w:eastAsia="Times New Roman"/>
          <w:noProof/>
        </w:rPr>
        <w:t>more tha</w:t>
      </w:r>
      <w:r w:rsidR="00C6558F">
        <w:rPr>
          <w:rFonts w:eastAsia="Times New Roman"/>
          <w:noProof/>
        </w:rPr>
        <w:t>n</w:t>
      </w:r>
      <w:r w:rsidR="00FF709E" w:rsidRPr="00FF709E">
        <w:rPr>
          <w:rFonts w:eastAsia="Times New Roman"/>
          <w:noProof/>
        </w:rPr>
        <w:t xml:space="preserve"> 370 </w:t>
      </w:r>
      <w:r w:rsidR="00FF709E">
        <w:rPr>
          <w:rFonts w:eastAsia="Times New Roman"/>
          <w:noProof/>
        </w:rPr>
        <w:t xml:space="preserve">billion </w:t>
      </w:r>
      <w:r w:rsidR="00FF709E" w:rsidRPr="00FF709E">
        <w:rPr>
          <w:rFonts w:eastAsia="Times New Roman"/>
          <w:noProof/>
        </w:rPr>
        <w:t xml:space="preserve">EUR </w:t>
      </w:r>
      <w:r w:rsidR="00FF709E">
        <w:rPr>
          <w:rFonts w:eastAsia="Times New Roman"/>
          <w:noProof/>
        </w:rPr>
        <w:t xml:space="preserve">of </w:t>
      </w:r>
      <w:r w:rsidR="00FF709E" w:rsidRPr="00FF709E">
        <w:rPr>
          <w:rFonts w:eastAsia="Times New Roman"/>
          <w:noProof/>
        </w:rPr>
        <w:t>additional investment ha</w:t>
      </w:r>
      <w:r w:rsidR="3A9D9C83" w:rsidRPr="141F1A79">
        <w:rPr>
          <w:rFonts w:eastAsia="Times New Roman"/>
          <w:noProof/>
        </w:rPr>
        <w:t>d</w:t>
      </w:r>
      <w:r w:rsidR="00FF709E" w:rsidRPr="00FF709E">
        <w:rPr>
          <w:rFonts w:eastAsia="Times New Roman"/>
          <w:noProof/>
        </w:rPr>
        <w:t xml:space="preserve"> been mobilised b</w:t>
      </w:r>
      <w:r w:rsidR="00FF709E">
        <w:rPr>
          <w:rFonts w:eastAsia="Times New Roman"/>
          <w:noProof/>
        </w:rPr>
        <w:t>y</w:t>
      </w:r>
      <w:r w:rsidR="00FF709E" w:rsidRPr="00FF709E">
        <w:rPr>
          <w:rFonts w:eastAsia="Times New Roman"/>
          <w:noProof/>
        </w:rPr>
        <w:t xml:space="preserve"> EFSI </w:t>
      </w:r>
      <w:r w:rsidR="00FF709E" w:rsidRPr="00466E1A">
        <w:rPr>
          <w:noProof/>
          <w:lang w:val="en-IE"/>
        </w:rPr>
        <w:t>(the European Fund for Strategic Investments – the predecessor of InvestEU)</w:t>
      </w:r>
      <w:r w:rsidR="00FF709E">
        <w:rPr>
          <w:noProof/>
          <w:lang w:val="en-IE"/>
        </w:rPr>
        <w:t xml:space="preserve"> </w:t>
      </w:r>
      <w:r w:rsidR="00FF709E" w:rsidRPr="00FF709E">
        <w:rPr>
          <w:rFonts w:eastAsia="Times New Roman"/>
          <w:noProof/>
        </w:rPr>
        <w:t>by the end of 2022</w:t>
      </w:r>
      <w:r w:rsidR="00FF709E">
        <w:rPr>
          <w:rStyle w:val="FootnoteReference"/>
          <w:rFonts w:eastAsia="Times New Roman"/>
          <w:noProof/>
        </w:rPr>
        <w:footnoteReference w:id="139"/>
      </w:r>
      <w:r w:rsidR="00FF709E" w:rsidRPr="00FF709E">
        <w:rPr>
          <w:rFonts w:eastAsia="Times New Roman"/>
          <w:noProof/>
        </w:rPr>
        <w:t>.</w:t>
      </w:r>
      <w:r w:rsidR="008C3079" w:rsidRPr="00466E1A">
        <w:rPr>
          <w:noProof/>
          <w:lang w:val="en-IE"/>
        </w:rPr>
        <w:t xml:space="preserve"> According to the RHOMOLO-EIB model, the EFSI-supported investments </w:t>
      </w:r>
      <w:r w:rsidR="00AA2B6B" w:rsidRPr="00466E1A">
        <w:rPr>
          <w:noProof/>
          <w:lang w:val="en-IE"/>
        </w:rPr>
        <w:t xml:space="preserve">addressing market failure and suboptimal investment situations and </w:t>
      </w:r>
      <w:r w:rsidR="00561920" w:rsidRPr="00466E1A">
        <w:rPr>
          <w:noProof/>
          <w:lang w:val="en-IE"/>
        </w:rPr>
        <w:t>leveraging</w:t>
      </w:r>
      <w:r w:rsidR="00AA2B6B" w:rsidRPr="00466E1A">
        <w:rPr>
          <w:noProof/>
          <w:lang w:val="en-IE"/>
        </w:rPr>
        <w:t xml:space="preserve"> private investment</w:t>
      </w:r>
      <w:r w:rsidR="00561920" w:rsidRPr="00466E1A">
        <w:rPr>
          <w:noProof/>
          <w:lang w:val="en-IE"/>
        </w:rPr>
        <w:t xml:space="preserve"> </w:t>
      </w:r>
      <w:r w:rsidR="008C3079" w:rsidRPr="00466E1A">
        <w:rPr>
          <w:noProof/>
          <w:lang w:val="en-IE"/>
        </w:rPr>
        <w:t>will help generate a 2.4% increase in GDP and 2.1 million jobs by 2025.</w:t>
      </w:r>
    </w:p>
    <w:p w14:paraId="1084FA15" w14:textId="05275FDC" w:rsidR="00940015" w:rsidRPr="00920692" w:rsidRDefault="4105DD4C" w:rsidP="00603157">
      <w:pPr>
        <w:rPr>
          <w:rFonts w:eastAsia="Times New Roman"/>
          <w:noProof/>
          <w:lang w:val="en-IE"/>
        </w:rPr>
      </w:pPr>
      <w:r w:rsidRPr="11D783A4">
        <w:rPr>
          <w:noProof/>
        </w:rPr>
        <w:t>T</w:t>
      </w:r>
      <w:r w:rsidR="705D781D" w:rsidRPr="11D783A4">
        <w:rPr>
          <w:noProof/>
        </w:rPr>
        <w:t xml:space="preserve">he </w:t>
      </w:r>
      <w:r w:rsidR="22656E1A" w:rsidRPr="11D783A4">
        <w:rPr>
          <w:noProof/>
        </w:rPr>
        <w:t xml:space="preserve">R&amp;I </w:t>
      </w:r>
      <w:r w:rsidR="7ABCD290">
        <w:rPr>
          <w:noProof/>
        </w:rPr>
        <w:t>F</w:t>
      </w:r>
      <w:r w:rsidR="008742EE">
        <w:rPr>
          <w:noProof/>
        </w:rPr>
        <w:t>ramewo</w:t>
      </w:r>
      <w:r w:rsidR="007E4B56">
        <w:rPr>
          <w:noProof/>
        </w:rPr>
        <w:t>r</w:t>
      </w:r>
      <w:r w:rsidR="008742EE">
        <w:rPr>
          <w:noProof/>
        </w:rPr>
        <w:t xml:space="preserve">k </w:t>
      </w:r>
      <w:r w:rsidR="7ABCD290">
        <w:rPr>
          <w:noProof/>
        </w:rPr>
        <w:t>P</w:t>
      </w:r>
      <w:r w:rsidR="008742EE">
        <w:rPr>
          <w:noProof/>
        </w:rPr>
        <w:t>rogramme</w:t>
      </w:r>
      <w:r w:rsidR="7ABCD290">
        <w:rPr>
          <w:noProof/>
        </w:rPr>
        <w:t xml:space="preserve"> </w:t>
      </w:r>
      <w:r w:rsidR="705D781D" w:rsidRPr="11D783A4">
        <w:rPr>
          <w:noProof/>
        </w:rPr>
        <w:t xml:space="preserve">Horizon </w:t>
      </w:r>
      <w:r w:rsidR="00EF1607">
        <w:rPr>
          <w:noProof/>
        </w:rPr>
        <w:t>Europe</w:t>
      </w:r>
      <w:r w:rsidR="00EF1607" w:rsidRPr="11D783A4">
        <w:rPr>
          <w:noProof/>
        </w:rPr>
        <w:t xml:space="preserve"> </w:t>
      </w:r>
      <w:r w:rsidR="705D781D" w:rsidRPr="11D783A4">
        <w:rPr>
          <w:noProof/>
        </w:rPr>
        <w:t xml:space="preserve">is expected to make a contribution to the EU’s GDP of EUR </w:t>
      </w:r>
      <w:r w:rsidR="00B54688">
        <w:rPr>
          <w:noProof/>
        </w:rPr>
        <w:t>720 to 975</w:t>
      </w:r>
      <w:r w:rsidR="00B54688" w:rsidRPr="11D783A4">
        <w:rPr>
          <w:noProof/>
        </w:rPr>
        <w:t xml:space="preserve"> </w:t>
      </w:r>
      <w:r w:rsidR="705D781D" w:rsidRPr="11D783A4">
        <w:rPr>
          <w:noProof/>
        </w:rPr>
        <w:t xml:space="preserve">billion </w:t>
      </w:r>
      <w:r w:rsidR="00B54688">
        <w:rPr>
          <w:noProof/>
        </w:rPr>
        <w:t xml:space="preserve">over </w:t>
      </w:r>
      <w:r w:rsidR="00CE2B39">
        <w:rPr>
          <w:noProof/>
        </w:rPr>
        <w:t>a</w:t>
      </w:r>
      <w:r w:rsidR="00B54688">
        <w:rPr>
          <w:noProof/>
        </w:rPr>
        <w:t xml:space="preserve"> </w:t>
      </w:r>
      <w:r w:rsidR="008742EE">
        <w:rPr>
          <w:noProof/>
        </w:rPr>
        <w:t>25-year</w:t>
      </w:r>
      <w:r w:rsidR="00CE2B39">
        <w:rPr>
          <w:noProof/>
        </w:rPr>
        <w:t xml:space="preserve"> </w:t>
      </w:r>
      <w:r w:rsidR="00A6606F">
        <w:rPr>
          <w:noProof/>
        </w:rPr>
        <w:t>period</w:t>
      </w:r>
      <w:r w:rsidR="705D781D" w:rsidRPr="11D783A4">
        <w:rPr>
          <w:noProof/>
        </w:rPr>
        <w:t>.</w:t>
      </w:r>
      <w:r w:rsidR="008A5C2E" w:rsidRPr="11D783A4">
        <w:rPr>
          <w:rStyle w:val="FootnoteReference"/>
          <w:noProof/>
        </w:rPr>
        <w:footnoteReference w:id="140"/>
      </w:r>
      <w:r w:rsidR="705D781D" w:rsidRPr="11D783A4">
        <w:rPr>
          <w:noProof/>
        </w:rPr>
        <w:t>Along with impacts on GDP, there is evidence that EU R&amp;I funding generates considerable added value at firm-level, while not displacing or replacing national funding.</w:t>
      </w:r>
      <w:r w:rsidR="6690E072">
        <w:rPr>
          <w:noProof/>
        </w:rPr>
        <w:t xml:space="preserve"> Similarly, it is estimated that every euro invested into the European Defence Fund will generate </w:t>
      </w:r>
      <w:r w:rsidR="243847BD">
        <w:rPr>
          <w:noProof/>
        </w:rPr>
        <w:t xml:space="preserve">EUR </w:t>
      </w:r>
      <w:r w:rsidR="6690E072">
        <w:rPr>
          <w:noProof/>
        </w:rPr>
        <w:t>4.5 of benefits by 2040.</w:t>
      </w:r>
      <w:r w:rsidR="3EFDC3C9">
        <w:rPr>
          <w:noProof/>
        </w:rPr>
        <w:t xml:space="preserve"> </w:t>
      </w:r>
      <w:r w:rsidR="406A9D3E" w:rsidRPr="68AEC0ED">
        <w:rPr>
          <w:rFonts w:eastAsia="Times New Roman"/>
          <w:noProof/>
          <w:lang w:val="en-US"/>
        </w:rPr>
        <w:t>EU funding</w:t>
      </w:r>
      <w:r w:rsidR="406A9D3E" w:rsidRPr="68AEC0ED">
        <w:rPr>
          <w:noProof/>
          <w:lang w:val="en-IE"/>
        </w:rPr>
        <w:t xml:space="preserve"> can also support cross</w:t>
      </w:r>
      <w:r w:rsidR="08C0A0B5" w:rsidRPr="68AEC0ED">
        <w:rPr>
          <w:noProof/>
          <w:lang w:val="en-IE"/>
        </w:rPr>
        <w:t>-</w:t>
      </w:r>
      <w:r w:rsidR="406A9D3E" w:rsidRPr="68AEC0ED">
        <w:rPr>
          <w:noProof/>
          <w:lang w:val="en-IE"/>
        </w:rPr>
        <w:t xml:space="preserve">border </w:t>
      </w:r>
      <w:r w:rsidR="7A47BE3C" w:rsidRPr="68AEC0ED">
        <w:rPr>
          <w:noProof/>
          <w:lang w:val="en-IE"/>
        </w:rPr>
        <w:t>projects that do not attract public and private investments due to complex regulatory environments</w:t>
      </w:r>
      <w:r w:rsidR="5902B174" w:rsidRPr="68AEC0ED">
        <w:rPr>
          <w:noProof/>
          <w:lang w:val="en-IE"/>
        </w:rPr>
        <w:t xml:space="preserve"> which impacts profitability and risk</w:t>
      </w:r>
      <w:r w:rsidR="3BE007EA">
        <w:rPr>
          <w:rFonts w:eastAsia="Times New Roman"/>
          <w:noProof/>
        </w:rPr>
        <w:t>.</w:t>
      </w:r>
      <w:r w:rsidR="32BC2F9B" w:rsidRPr="68AEC0ED">
        <w:rPr>
          <w:rFonts w:eastAsia="Times New Roman"/>
          <w:noProof/>
        </w:rPr>
        <w:t xml:space="preserve"> </w:t>
      </w:r>
      <w:r w:rsidR="00B14178">
        <w:rPr>
          <w:noProof/>
        </w:rPr>
        <w:t xml:space="preserve">This is also thanks to ensuring </w:t>
      </w:r>
      <w:r w:rsidR="00B14178" w:rsidRPr="009E5374">
        <w:rPr>
          <w:noProof/>
        </w:rPr>
        <w:t>EU-wide competition</w:t>
      </w:r>
      <w:r w:rsidR="00B14178">
        <w:rPr>
          <w:noProof/>
        </w:rPr>
        <w:t xml:space="preserve"> which</w:t>
      </w:r>
      <w:r w:rsidR="00B14178" w:rsidRPr="009E5374">
        <w:rPr>
          <w:noProof/>
        </w:rPr>
        <w:t xml:space="preserve"> allows to select the </w:t>
      </w:r>
      <w:r w:rsidR="00B07A1B">
        <w:rPr>
          <w:noProof/>
        </w:rPr>
        <w:t>best (</w:t>
      </w:r>
      <w:r w:rsidR="007E568B">
        <w:rPr>
          <w:noProof/>
        </w:rPr>
        <w:t>most</w:t>
      </w:r>
      <w:r w:rsidR="00B14178" w:rsidRPr="009E5374">
        <w:rPr>
          <w:noProof/>
        </w:rPr>
        <w:t xml:space="preserve"> </w:t>
      </w:r>
      <w:r w:rsidR="00B14178">
        <w:rPr>
          <w:noProof/>
        </w:rPr>
        <w:t xml:space="preserve">scientific and innovative </w:t>
      </w:r>
      <w:r w:rsidR="00B14178" w:rsidRPr="009E5374">
        <w:rPr>
          <w:noProof/>
        </w:rPr>
        <w:t>ideas</w:t>
      </w:r>
      <w:r w:rsidR="00B07A1B">
        <w:rPr>
          <w:noProof/>
        </w:rPr>
        <w:t>)</w:t>
      </w:r>
      <w:r w:rsidR="00B14178" w:rsidRPr="009E5374">
        <w:rPr>
          <w:noProof/>
        </w:rPr>
        <w:t xml:space="preserve"> from across the EU</w:t>
      </w:r>
      <w:r w:rsidR="00B07A1B">
        <w:rPr>
          <w:noProof/>
        </w:rPr>
        <w:t xml:space="preserve">. </w:t>
      </w:r>
      <w:r w:rsidR="006D5EFD">
        <w:rPr>
          <w:noProof/>
        </w:rPr>
        <w:t>Furthermore,</w:t>
      </w:r>
      <w:r w:rsidR="00B07A1B">
        <w:rPr>
          <w:noProof/>
        </w:rPr>
        <w:t xml:space="preserve"> EU action helps in</w:t>
      </w:r>
      <w:r w:rsidR="00B14178">
        <w:rPr>
          <w:noProof/>
        </w:rPr>
        <w:t xml:space="preserve"> limiting </w:t>
      </w:r>
      <w:r w:rsidR="00B14178" w:rsidRPr="00E17523">
        <w:rPr>
          <w:noProof/>
        </w:rPr>
        <w:t>duplication</w:t>
      </w:r>
      <w:r w:rsidR="00B14178">
        <w:rPr>
          <w:noProof/>
        </w:rPr>
        <w:t xml:space="preserve"> and i</w:t>
      </w:r>
      <w:r w:rsidR="00B14178" w:rsidRPr="00E17523">
        <w:rPr>
          <w:noProof/>
        </w:rPr>
        <w:t xml:space="preserve">nefficiencies </w:t>
      </w:r>
      <w:r w:rsidR="00B14178">
        <w:rPr>
          <w:noProof/>
        </w:rPr>
        <w:t xml:space="preserve">that can be </w:t>
      </w:r>
      <w:r w:rsidR="00B14178" w:rsidRPr="00E17523">
        <w:rPr>
          <w:noProof/>
        </w:rPr>
        <w:t xml:space="preserve">caused by </w:t>
      </w:r>
      <w:r w:rsidR="00B14178">
        <w:rPr>
          <w:noProof/>
        </w:rPr>
        <w:t>financing overlapping</w:t>
      </w:r>
      <w:r w:rsidR="00B14178" w:rsidRPr="00E17523">
        <w:rPr>
          <w:noProof/>
        </w:rPr>
        <w:t xml:space="preserve"> projects conducted in various countries</w:t>
      </w:r>
      <w:r w:rsidR="00B14178">
        <w:rPr>
          <w:noProof/>
        </w:rPr>
        <w:t>.</w:t>
      </w:r>
    </w:p>
    <w:p w14:paraId="208ACFB4" w14:textId="433715E2" w:rsidR="00A32F5F" w:rsidRDefault="008A5C2E" w:rsidP="008C51EB">
      <w:pPr>
        <w:pStyle w:val="Heading3"/>
        <w:numPr>
          <w:ilvl w:val="0"/>
          <w:numId w:val="20"/>
        </w:numPr>
        <w:rPr>
          <w:noProof/>
          <w:lang w:val="en-IE"/>
        </w:rPr>
      </w:pPr>
      <w:bookmarkStart w:id="158" w:name="_Toc193448893"/>
      <w:bookmarkStart w:id="159" w:name="_Toc195700199"/>
      <w:r w:rsidRPr="007E33D2">
        <w:rPr>
          <w:noProof/>
          <w:lang w:val="en-IE"/>
        </w:rPr>
        <w:t>Strengthen</w:t>
      </w:r>
      <w:r w:rsidR="00FA1CE9">
        <w:rPr>
          <w:noProof/>
          <w:lang w:val="en-IE"/>
        </w:rPr>
        <w:t>ing</w:t>
      </w:r>
      <w:r w:rsidRPr="007E33D2">
        <w:rPr>
          <w:noProof/>
          <w:lang w:val="en-IE"/>
        </w:rPr>
        <w:t xml:space="preserve"> investment directionality</w:t>
      </w:r>
      <w:bookmarkEnd w:id="158"/>
      <w:bookmarkEnd w:id="159"/>
    </w:p>
    <w:p w14:paraId="3B85BE6E" w14:textId="7C06E643" w:rsidR="00BC6E62" w:rsidRPr="00920692" w:rsidRDefault="24CF4EB0" w:rsidP="00603157">
      <w:pPr>
        <w:spacing w:before="0" w:after="0"/>
        <w:rPr>
          <w:noProof/>
          <w:lang w:val="en-IE"/>
        </w:rPr>
      </w:pPr>
      <w:r w:rsidRPr="238292F4">
        <w:rPr>
          <w:rFonts w:eastAsia="Times New Roman"/>
          <w:noProof/>
          <w:lang w:val="en-US"/>
        </w:rPr>
        <w:t xml:space="preserve">Pooling funding at EU level </w:t>
      </w:r>
      <w:r w:rsidR="0D1B493D" w:rsidRPr="238292F4">
        <w:rPr>
          <w:rFonts w:eastAsia="Times New Roman"/>
          <w:noProof/>
          <w:lang w:val="en-US"/>
        </w:rPr>
        <w:t>can ensure higher added value</w:t>
      </w:r>
      <w:r w:rsidR="15C3A803" w:rsidRPr="238292F4">
        <w:rPr>
          <w:rFonts w:eastAsia="Times New Roman"/>
          <w:noProof/>
          <w:lang w:val="en-US"/>
        </w:rPr>
        <w:t xml:space="preserve">, </w:t>
      </w:r>
      <w:r w:rsidR="00DF44F0">
        <w:rPr>
          <w:rFonts w:eastAsia="Times New Roman"/>
          <w:noProof/>
          <w:lang w:val="en-US"/>
        </w:rPr>
        <w:t xml:space="preserve">by </w:t>
      </w:r>
      <w:r w:rsidR="00DF44F0">
        <w:rPr>
          <w:rFonts w:eastAsia="Times New Roman"/>
          <w:noProof/>
        </w:rPr>
        <w:t>a</w:t>
      </w:r>
      <w:r w:rsidR="00DF44F0" w:rsidRPr="00DF44F0">
        <w:rPr>
          <w:rFonts w:eastAsia="Times New Roman"/>
          <w:noProof/>
        </w:rPr>
        <w:t>ddressing EU-wide challenges</w:t>
      </w:r>
      <w:r w:rsidR="00DF44F0">
        <w:rPr>
          <w:rFonts w:eastAsia="Times New Roman"/>
          <w:noProof/>
        </w:rPr>
        <w:t xml:space="preserve"> and </w:t>
      </w:r>
      <w:r w:rsidR="15C3A803">
        <w:rPr>
          <w:rFonts w:eastAsia="Times New Roman"/>
          <w:noProof/>
        </w:rPr>
        <w:t xml:space="preserve">promoting </w:t>
      </w:r>
      <w:r w:rsidR="15C3A803" w:rsidRPr="238292F4">
        <w:rPr>
          <w:rFonts w:eastAsia="Times New Roman"/>
          <w:noProof/>
          <w:lang w:val="en-US"/>
        </w:rPr>
        <w:t>shared priorities like digital and green transitions</w:t>
      </w:r>
      <w:r w:rsidR="000456C4">
        <w:rPr>
          <w:rFonts w:eastAsia="Times New Roman"/>
          <w:noProof/>
          <w:lang w:val="en-US"/>
        </w:rPr>
        <w:t>.</w:t>
      </w:r>
      <w:r w:rsidR="00DF44F0">
        <w:rPr>
          <w:rFonts w:eastAsia="Times New Roman"/>
          <w:noProof/>
          <w:lang w:val="en-IE"/>
        </w:rPr>
        <w:t xml:space="preserve"> </w:t>
      </w:r>
      <w:r w:rsidR="00B41E07" w:rsidRPr="008934F2">
        <w:rPr>
          <w:rStyle w:val="FootnoteReference"/>
          <w:rFonts w:eastAsia="Times New Roman"/>
          <w:noProof/>
          <w:lang w:val="en-IE"/>
        </w:rPr>
        <w:footnoteReference w:id="141"/>
      </w:r>
      <w:r w:rsidR="334C5732" w:rsidRPr="01161804">
        <w:rPr>
          <w:rFonts w:eastAsia="Times New Roman"/>
          <w:noProof/>
          <w:lang w:val="en-US"/>
        </w:rPr>
        <w:t xml:space="preserve"> </w:t>
      </w:r>
      <w:r w:rsidR="00B41E07" w:rsidRPr="008934F2">
        <w:rPr>
          <w:rStyle w:val="FootnoteReference"/>
          <w:rFonts w:eastAsia="Times New Roman"/>
          <w:noProof/>
          <w:lang w:val="en-IE"/>
        </w:rPr>
        <w:footnoteReference w:id="142"/>
      </w:r>
      <w:r w:rsidR="00DF44F0">
        <w:rPr>
          <w:rFonts w:eastAsia="Times New Roman"/>
          <w:noProof/>
          <w:lang w:val="en-US"/>
        </w:rPr>
        <w:t xml:space="preserve"> </w:t>
      </w:r>
      <w:r w:rsidR="15C3A803" w:rsidRPr="00417B63">
        <w:rPr>
          <w:rFonts w:eastAsia="Times New Roman"/>
          <w:noProof/>
          <w:lang w:val="en-US"/>
        </w:rPr>
        <w:t xml:space="preserve">Coordinated </w:t>
      </w:r>
      <w:r w:rsidR="15C3A803" w:rsidRPr="238292F4">
        <w:rPr>
          <w:rFonts w:eastAsia="Times New Roman"/>
          <w:noProof/>
          <w:lang w:val="en-US"/>
        </w:rPr>
        <w:t xml:space="preserve">funding ensures </w:t>
      </w:r>
      <w:r w:rsidR="00DF44F0">
        <w:rPr>
          <w:rFonts w:eastAsia="Times New Roman"/>
          <w:noProof/>
          <w:lang w:val="en-US"/>
        </w:rPr>
        <w:t>that</w:t>
      </w:r>
      <w:r w:rsidR="15C3A803" w:rsidRPr="238292F4">
        <w:rPr>
          <w:rFonts w:eastAsia="Times New Roman"/>
          <w:noProof/>
          <w:lang w:val="en-US"/>
        </w:rPr>
        <w:t xml:space="preserve"> resources address </w:t>
      </w:r>
      <w:r w:rsidR="00DF44F0">
        <w:rPr>
          <w:rFonts w:eastAsia="Times New Roman"/>
          <w:noProof/>
          <w:lang w:val="en-US"/>
        </w:rPr>
        <w:t>shared</w:t>
      </w:r>
      <w:r w:rsidR="00DF44F0" w:rsidRPr="238292F4">
        <w:rPr>
          <w:rFonts w:eastAsia="Times New Roman"/>
          <w:noProof/>
          <w:lang w:val="en-US"/>
        </w:rPr>
        <w:t xml:space="preserve"> </w:t>
      </w:r>
      <w:r w:rsidR="15C3A803" w:rsidRPr="238292F4">
        <w:rPr>
          <w:rFonts w:eastAsia="Times New Roman"/>
          <w:noProof/>
          <w:lang w:val="en-US"/>
        </w:rPr>
        <w:t xml:space="preserve">challenges and </w:t>
      </w:r>
      <w:r w:rsidR="00DF44F0">
        <w:rPr>
          <w:rFonts w:eastAsia="Times New Roman"/>
          <w:noProof/>
          <w:lang w:val="en-US"/>
        </w:rPr>
        <w:t xml:space="preserve">helps in </w:t>
      </w:r>
      <w:r w:rsidR="15C3A803" w:rsidRPr="238292F4">
        <w:rPr>
          <w:rFonts w:eastAsia="Times New Roman"/>
          <w:noProof/>
          <w:lang w:val="en-US"/>
        </w:rPr>
        <w:t>foster</w:t>
      </w:r>
      <w:r w:rsidR="00DF44F0">
        <w:rPr>
          <w:rFonts w:eastAsia="Times New Roman"/>
          <w:noProof/>
          <w:lang w:val="en-US"/>
        </w:rPr>
        <w:t>ing</w:t>
      </w:r>
      <w:r w:rsidR="15C3A803" w:rsidRPr="238292F4">
        <w:rPr>
          <w:rFonts w:eastAsia="Times New Roman"/>
          <w:noProof/>
          <w:lang w:val="en-US"/>
        </w:rPr>
        <w:t xml:space="preserve"> partnerships with the private sector, aligning political and industrial priorities.</w:t>
      </w:r>
      <w:r w:rsidR="00B41E07" w:rsidRPr="008934F2">
        <w:rPr>
          <w:rStyle w:val="FootnoteReference"/>
          <w:noProof/>
          <w:lang w:val="en-IE"/>
        </w:rPr>
        <w:footnoteReference w:id="143"/>
      </w:r>
      <w:r w:rsidR="15C3A803" w:rsidRPr="238292F4">
        <w:rPr>
          <w:rFonts w:eastAsia="Times New Roman"/>
          <w:noProof/>
          <w:lang w:val="en-US"/>
        </w:rPr>
        <w:t xml:space="preserve"> This collective approach supports breakthrough innovations and strategic goals, overcoming coordination limitations among Member States.</w:t>
      </w:r>
      <w:r w:rsidR="30E47941">
        <w:rPr>
          <w:rFonts w:eastAsia="Times New Roman"/>
          <w:noProof/>
          <w:lang w:val="en-US"/>
        </w:rPr>
        <w:t xml:space="preserve"> </w:t>
      </w:r>
      <w:r w:rsidR="13311B57" w:rsidRPr="4947ADCE">
        <w:rPr>
          <w:noProof/>
          <w:lang w:val="en-IE"/>
        </w:rPr>
        <w:t>For example</w:t>
      </w:r>
      <w:r w:rsidR="08A14547" w:rsidRPr="4947ADCE">
        <w:rPr>
          <w:noProof/>
          <w:lang w:val="en-IE"/>
        </w:rPr>
        <w:t>,</w:t>
      </w:r>
      <w:r w:rsidR="6D90F4DC" w:rsidRPr="4947ADCE">
        <w:rPr>
          <w:noProof/>
          <w:lang w:val="en-IE"/>
        </w:rPr>
        <w:t xml:space="preserve"> </w:t>
      </w:r>
      <w:r w:rsidR="0B390D7D" w:rsidRPr="4947ADCE">
        <w:rPr>
          <w:noProof/>
          <w:lang w:val="en-IE"/>
        </w:rPr>
        <w:t>e</w:t>
      </w:r>
      <w:r w:rsidR="73BFF4A2" w:rsidRPr="4947ADCE">
        <w:rPr>
          <w:noProof/>
          <w:lang w:val="en-IE"/>
        </w:rPr>
        <w:t xml:space="preserve">x-post simulations estimate that, without </w:t>
      </w:r>
      <w:r w:rsidR="0D32B9C7" w:rsidRPr="4947ADCE">
        <w:rPr>
          <w:noProof/>
          <w:lang w:val="en-IE"/>
        </w:rPr>
        <w:t xml:space="preserve">EU </w:t>
      </w:r>
      <w:r w:rsidR="0D32B9C7" w:rsidRPr="00920692">
        <w:rPr>
          <w:noProof/>
          <w:lang w:val="en-IE"/>
        </w:rPr>
        <w:t>funding</w:t>
      </w:r>
      <w:r w:rsidR="73BFF4A2" w:rsidRPr="00920692">
        <w:rPr>
          <w:noProof/>
          <w:lang w:val="en-IE"/>
        </w:rPr>
        <w:t xml:space="preserve"> </w:t>
      </w:r>
      <w:r w:rsidR="464DE1E8">
        <w:rPr>
          <w:noProof/>
          <w:lang w:val="en-IE"/>
        </w:rPr>
        <w:t>for</w:t>
      </w:r>
      <w:r w:rsidR="39846DFB" w:rsidRPr="00920692">
        <w:rPr>
          <w:noProof/>
          <w:lang w:val="en-IE"/>
        </w:rPr>
        <w:t xml:space="preserve"> research and infrastructures over decades</w:t>
      </w:r>
      <w:r w:rsidR="73BFF4A2" w:rsidRPr="00920692">
        <w:rPr>
          <w:noProof/>
          <w:lang w:val="en-IE"/>
        </w:rPr>
        <w:t>, essential innovations—like mRNA-based COVID-19 treatments</w:t>
      </w:r>
      <w:r w:rsidR="73BFF4A2" w:rsidRPr="4947ADCE">
        <w:rPr>
          <w:noProof/>
          <w:lang w:val="en-IE"/>
        </w:rPr>
        <w:t xml:space="preserve">—would have been </w:t>
      </w:r>
      <w:r w:rsidR="73BFF4A2" w:rsidRPr="00920692">
        <w:rPr>
          <w:noProof/>
          <w:lang w:val="en-IE"/>
        </w:rPr>
        <w:t xml:space="preserve">delayed by months, hindering </w:t>
      </w:r>
      <w:r w:rsidR="00222598">
        <w:rPr>
          <w:noProof/>
          <w:lang w:val="en-IE"/>
        </w:rPr>
        <w:t>critical</w:t>
      </w:r>
      <w:r w:rsidR="73BFF4A2" w:rsidRPr="00920692">
        <w:rPr>
          <w:noProof/>
          <w:lang w:val="en-IE"/>
        </w:rPr>
        <w:t xml:space="preserve"> rapid market release and </w:t>
      </w:r>
      <w:r w:rsidR="00222598">
        <w:rPr>
          <w:noProof/>
          <w:lang w:val="en-IE"/>
        </w:rPr>
        <w:t>subsequently</w:t>
      </w:r>
      <w:r w:rsidR="73BFF4A2" w:rsidRPr="00920692">
        <w:rPr>
          <w:noProof/>
          <w:lang w:val="en-IE"/>
        </w:rPr>
        <w:t xml:space="preserve"> societal benefits. </w:t>
      </w:r>
    </w:p>
    <w:p w14:paraId="1A4365F4" w14:textId="6F3FE40E" w:rsidR="000E0AD9" w:rsidRPr="00E33A52" w:rsidRDefault="000E0AD9" w:rsidP="00603157">
      <w:pPr>
        <w:pStyle w:val="Heading1"/>
        <w:rPr>
          <w:rStyle w:val="Heading2Char"/>
          <w:rFonts w:eastAsiaTheme="minorHAnsi"/>
          <w:b/>
          <w:bCs/>
          <w:noProof/>
          <w:lang w:val="en-IE"/>
        </w:rPr>
      </w:pPr>
      <w:bookmarkStart w:id="160" w:name="_Toc195700201"/>
      <w:bookmarkStart w:id="161" w:name="_Toc203043640"/>
      <w:r w:rsidRPr="00E33A52">
        <w:rPr>
          <w:rStyle w:val="Heading2Char"/>
          <w:rFonts w:eastAsiaTheme="minorHAnsi"/>
          <w:b/>
          <w:bCs/>
          <w:noProof/>
          <w:lang w:val="en-IE"/>
        </w:rPr>
        <w:t>Objectives: What is to be achieved?</w:t>
      </w:r>
      <w:bookmarkEnd w:id="160"/>
      <w:bookmarkEnd w:id="161"/>
      <w:r w:rsidRPr="00E33A52">
        <w:rPr>
          <w:rStyle w:val="Heading2Char"/>
          <w:rFonts w:eastAsiaTheme="minorHAnsi"/>
          <w:b/>
          <w:bCs/>
          <w:noProof/>
          <w:lang w:val="en-IE"/>
        </w:rPr>
        <w:t xml:space="preserve"> </w:t>
      </w:r>
    </w:p>
    <w:p w14:paraId="2A767C87" w14:textId="68120CA5" w:rsidR="007739D1" w:rsidRDefault="004A6AA3" w:rsidP="00603157">
      <w:pPr>
        <w:pStyle w:val="Heading2"/>
        <w:rPr>
          <w:noProof/>
          <w:lang w:val="en-IE"/>
        </w:rPr>
      </w:pPr>
      <w:bookmarkStart w:id="162" w:name="_Toc195700202"/>
      <w:bookmarkStart w:id="163" w:name="_Toc203043641"/>
      <w:r w:rsidRPr="0009215C">
        <w:rPr>
          <w:noProof/>
          <w:lang w:val="en-IE"/>
        </w:rPr>
        <w:t>General objectives</w:t>
      </w:r>
      <w:bookmarkEnd w:id="162"/>
      <w:bookmarkEnd w:id="163"/>
    </w:p>
    <w:p w14:paraId="1E941904" w14:textId="1C189B5A" w:rsidR="004A6AA3" w:rsidRDefault="2E1351EF" w:rsidP="00603157">
      <w:pPr>
        <w:pStyle w:val="Heading4"/>
        <w:ind w:left="0"/>
        <w:rPr>
          <w:noProof/>
        </w:rPr>
      </w:pPr>
      <w:r w:rsidRPr="3EA7425B">
        <w:rPr>
          <w:b/>
          <w:bCs/>
          <w:noProof/>
        </w:rPr>
        <w:t>G</w:t>
      </w:r>
      <w:r w:rsidR="1C845455" w:rsidRPr="3EA7425B">
        <w:rPr>
          <w:b/>
          <w:bCs/>
          <w:noProof/>
        </w:rPr>
        <w:t xml:space="preserve">eneral </w:t>
      </w:r>
      <w:r w:rsidRPr="3EA7425B">
        <w:rPr>
          <w:b/>
          <w:bCs/>
          <w:noProof/>
        </w:rPr>
        <w:t>O</w:t>
      </w:r>
      <w:r w:rsidR="1C845455" w:rsidRPr="3EA7425B">
        <w:rPr>
          <w:b/>
          <w:bCs/>
          <w:noProof/>
        </w:rPr>
        <w:t xml:space="preserve">bjective </w:t>
      </w:r>
      <w:r w:rsidRPr="3EA7425B">
        <w:rPr>
          <w:b/>
          <w:bCs/>
          <w:noProof/>
        </w:rPr>
        <w:t>1</w:t>
      </w:r>
      <w:r>
        <w:rPr>
          <w:noProof/>
        </w:rPr>
        <w:t xml:space="preserve"> - </w:t>
      </w:r>
      <w:r w:rsidR="6991DE05">
        <w:rPr>
          <w:noProof/>
        </w:rPr>
        <w:t xml:space="preserve">Establish an investment capacity to support </w:t>
      </w:r>
      <w:r w:rsidR="54DF8388">
        <w:rPr>
          <w:noProof/>
        </w:rPr>
        <w:t>European competitiveness</w:t>
      </w:r>
      <w:r w:rsidR="04303E7E">
        <w:rPr>
          <w:noProof/>
        </w:rPr>
        <w:t xml:space="preserve"> </w:t>
      </w:r>
      <w:r w:rsidR="54DF8388">
        <w:rPr>
          <w:noProof/>
        </w:rPr>
        <w:t xml:space="preserve">in strategic </w:t>
      </w:r>
      <w:r w:rsidR="45AD33D0">
        <w:rPr>
          <w:noProof/>
        </w:rPr>
        <w:t xml:space="preserve">technologies and </w:t>
      </w:r>
      <w:r w:rsidR="54DF8388">
        <w:rPr>
          <w:noProof/>
        </w:rPr>
        <w:t xml:space="preserve">sectors, </w:t>
      </w:r>
      <w:r w:rsidR="36637354">
        <w:rPr>
          <w:noProof/>
        </w:rPr>
        <w:t>including disruptive innovation, decarbonisation</w:t>
      </w:r>
      <w:r w:rsidR="2EAD3234">
        <w:rPr>
          <w:noProof/>
        </w:rPr>
        <w:t xml:space="preserve">, </w:t>
      </w:r>
      <w:r w:rsidR="36637354">
        <w:rPr>
          <w:noProof/>
        </w:rPr>
        <w:t>and resilience</w:t>
      </w:r>
      <w:r w:rsidR="54DF8388">
        <w:rPr>
          <w:noProof/>
        </w:rPr>
        <w:t xml:space="preserve">, through a more seamless investment journey from fundamental research, applied research to deployment </w:t>
      </w:r>
      <w:r w:rsidR="36637354">
        <w:rPr>
          <w:noProof/>
        </w:rPr>
        <w:t>and manufacturing</w:t>
      </w:r>
      <w:r w:rsidR="7E3BE05B">
        <w:rPr>
          <w:noProof/>
        </w:rPr>
        <w:t>.</w:t>
      </w:r>
      <w:r w:rsidR="460ABA11">
        <w:rPr>
          <w:noProof/>
        </w:rPr>
        <w:t xml:space="preserve"> </w:t>
      </w:r>
    </w:p>
    <w:p w14:paraId="209E8E61" w14:textId="0AFFE3C5" w:rsidR="38A524EA" w:rsidRPr="00BB184A" w:rsidRDefault="4AAAB7D3" w:rsidP="00603157">
      <w:pPr>
        <w:pStyle w:val="Heading4"/>
        <w:ind w:left="0"/>
        <w:rPr>
          <w:noProof/>
        </w:rPr>
      </w:pPr>
      <w:r w:rsidRPr="00BB184A">
        <w:rPr>
          <w:b/>
          <w:noProof/>
        </w:rPr>
        <w:t>G</w:t>
      </w:r>
      <w:r w:rsidR="4D5C2A57" w:rsidRPr="00BB184A">
        <w:rPr>
          <w:b/>
          <w:noProof/>
        </w:rPr>
        <w:t xml:space="preserve">eneral </w:t>
      </w:r>
      <w:r w:rsidRPr="00BB184A">
        <w:rPr>
          <w:b/>
          <w:noProof/>
        </w:rPr>
        <w:t>O</w:t>
      </w:r>
      <w:r w:rsidR="4D5C2A57" w:rsidRPr="00BB184A">
        <w:rPr>
          <w:b/>
          <w:noProof/>
        </w:rPr>
        <w:t xml:space="preserve">bjective </w:t>
      </w:r>
      <w:r w:rsidRPr="00BB184A">
        <w:rPr>
          <w:b/>
          <w:noProof/>
        </w:rPr>
        <w:t>2</w:t>
      </w:r>
      <w:r>
        <w:rPr>
          <w:noProof/>
        </w:rPr>
        <w:t xml:space="preserve"> - </w:t>
      </w:r>
      <w:r w:rsidR="00376693" w:rsidRPr="00BB184A">
        <w:rPr>
          <w:noProof/>
        </w:rPr>
        <w:t xml:space="preserve">Leverage </w:t>
      </w:r>
      <w:r w:rsidR="266251EA" w:rsidRPr="00BB184A">
        <w:rPr>
          <w:noProof/>
        </w:rPr>
        <w:t xml:space="preserve">the funding tools of the EU Budget to </w:t>
      </w:r>
      <w:r w:rsidR="00376693" w:rsidRPr="00BB184A">
        <w:rPr>
          <w:noProof/>
        </w:rPr>
        <w:t xml:space="preserve">unlock </w:t>
      </w:r>
      <w:r w:rsidR="266251EA" w:rsidRPr="00BB184A">
        <w:rPr>
          <w:noProof/>
        </w:rPr>
        <w:t xml:space="preserve">private, </w:t>
      </w:r>
      <w:r w:rsidR="00376693" w:rsidRPr="00BB184A">
        <w:rPr>
          <w:noProof/>
        </w:rPr>
        <w:t>institutional</w:t>
      </w:r>
      <w:r w:rsidR="5FD62E1B" w:rsidRPr="00BB184A">
        <w:rPr>
          <w:noProof/>
        </w:rPr>
        <w:t xml:space="preserve"> </w:t>
      </w:r>
      <w:r w:rsidR="266251EA" w:rsidRPr="00BB184A">
        <w:rPr>
          <w:noProof/>
        </w:rPr>
        <w:t xml:space="preserve">and </w:t>
      </w:r>
      <w:r w:rsidR="00376693" w:rsidRPr="00BB184A">
        <w:rPr>
          <w:noProof/>
        </w:rPr>
        <w:t xml:space="preserve">national </w:t>
      </w:r>
      <w:r w:rsidR="266251EA" w:rsidRPr="00BB184A">
        <w:rPr>
          <w:noProof/>
        </w:rPr>
        <w:t xml:space="preserve">investment in support of strategic </w:t>
      </w:r>
      <w:r w:rsidR="347C817E" w:rsidRPr="00BB184A">
        <w:rPr>
          <w:noProof/>
        </w:rPr>
        <w:t xml:space="preserve">technologies and </w:t>
      </w:r>
      <w:r w:rsidR="266251EA" w:rsidRPr="00BB184A">
        <w:rPr>
          <w:noProof/>
        </w:rPr>
        <w:t>sectors</w:t>
      </w:r>
      <w:r w:rsidR="00376693" w:rsidRPr="00BB184A">
        <w:rPr>
          <w:noProof/>
        </w:rPr>
        <w:t>, including for research and innovation</w:t>
      </w:r>
      <w:r w:rsidR="266251EA" w:rsidRPr="00BB184A">
        <w:rPr>
          <w:noProof/>
        </w:rPr>
        <w:t>, in the EU.</w:t>
      </w:r>
    </w:p>
    <w:p w14:paraId="35C5BF89" w14:textId="2860B621" w:rsidR="004A6AA3" w:rsidRPr="0009215C" w:rsidRDefault="004A6AA3" w:rsidP="00603157">
      <w:pPr>
        <w:pStyle w:val="Heading2"/>
        <w:rPr>
          <w:noProof/>
          <w:lang w:val="en-IE"/>
        </w:rPr>
      </w:pPr>
      <w:bookmarkStart w:id="164" w:name="_Toc197111327"/>
      <w:bookmarkStart w:id="165" w:name="_Toc197111694"/>
      <w:bookmarkStart w:id="166" w:name="_Toc197111902"/>
      <w:bookmarkStart w:id="167" w:name="_Toc197111972"/>
      <w:bookmarkStart w:id="168" w:name="_Toc195700203"/>
      <w:bookmarkStart w:id="169" w:name="_Toc203043642"/>
      <w:bookmarkEnd w:id="164"/>
      <w:bookmarkEnd w:id="165"/>
      <w:bookmarkEnd w:id="166"/>
      <w:bookmarkEnd w:id="167"/>
      <w:r w:rsidRPr="00BB184A">
        <w:rPr>
          <w:noProof/>
          <w:lang w:val="en-IE"/>
        </w:rPr>
        <w:t>Specific objectives</w:t>
      </w:r>
      <w:bookmarkEnd w:id="168"/>
      <w:bookmarkEnd w:id="169"/>
    </w:p>
    <w:p w14:paraId="7E51CCEC" w14:textId="109B8504" w:rsidR="004A6AA3" w:rsidRPr="00BB184A" w:rsidRDefault="43D815A5" w:rsidP="00603157">
      <w:pPr>
        <w:rPr>
          <w:rFonts w:ascii="Calibri" w:hAnsi="Calibri"/>
          <w:noProof/>
          <w:color w:val="1F497D" w:themeColor="text2"/>
          <w:sz w:val="22"/>
        </w:rPr>
      </w:pPr>
      <w:r w:rsidRPr="00BB184A">
        <w:rPr>
          <w:b/>
          <w:noProof/>
          <w:lang w:val="en-IE"/>
        </w:rPr>
        <w:t>Specifi</w:t>
      </w:r>
      <w:r w:rsidR="008A15AF" w:rsidRPr="00BB184A">
        <w:rPr>
          <w:b/>
          <w:noProof/>
          <w:lang w:val="en-IE"/>
        </w:rPr>
        <w:t>c</w:t>
      </w:r>
      <w:r w:rsidRPr="00BB184A">
        <w:rPr>
          <w:b/>
          <w:noProof/>
          <w:lang w:val="en-IE"/>
        </w:rPr>
        <w:t xml:space="preserve"> </w:t>
      </w:r>
      <w:r w:rsidR="5C4C0F55" w:rsidRPr="00BB184A">
        <w:rPr>
          <w:b/>
          <w:noProof/>
          <w:lang w:val="en-IE"/>
        </w:rPr>
        <w:t>O</w:t>
      </w:r>
      <w:r w:rsidR="455272B2" w:rsidRPr="00BB184A">
        <w:rPr>
          <w:b/>
          <w:noProof/>
          <w:lang w:val="en-IE"/>
        </w:rPr>
        <w:t xml:space="preserve">bjective </w:t>
      </w:r>
      <w:r w:rsidR="5C4C0F55" w:rsidRPr="00BB184A">
        <w:rPr>
          <w:b/>
          <w:noProof/>
          <w:lang w:val="en-IE"/>
        </w:rPr>
        <w:t>1</w:t>
      </w:r>
      <w:r w:rsidR="52425529" w:rsidRPr="4947ADCE">
        <w:rPr>
          <w:noProof/>
          <w:lang w:val="en-IE"/>
        </w:rPr>
        <w:t xml:space="preserve"> -</w:t>
      </w:r>
      <w:r w:rsidR="5C4C0F55" w:rsidRPr="4947ADCE">
        <w:rPr>
          <w:noProof/>
          <w:lang w:val="en-IE"/>
        </w:rPr>
        <w:t xml:space="preserve"> </w:t>
      </w:r>
      <w:r w:rsidR="743D546D" w:rsidRPr="00BB184A">
        <w:rPr>
          <w:noProof/>
          <w:lang w:val="en-IE"/>
        </w:rPr>
        <w:t xml:space="preserve">Promote public and private investments throughout the whole investment journey, </w:t>
      </w:r>
      <w:r w:rsidR="5C955822" w:rsidRPr="00BB184A">
        <w:rPr>
          <w:noProof/>
          <w:lang w:val="en-IE"/>
        </w:rPr>
        <w:t>notably R&amp;I, and better leverage the de-risking potential of the EU budget to maximise its EU added value</w:t>
      </w:r>
    </w:p>
    <w:p w14:paraId="69A83E3C" w14:textId="27A98C69" w:rsidR="00534C73" w:rsidRPr="00BB184A" w:rsidRDefault="2B59BD3C" w:rsidP="00603157">
      <w:pPr>
        <w:rPr>
          <w:noProof/>
          <w:lang w:val="en-IE"/>
        </w:rPr>
      </w:pPr>
      <w:r w:rsidRPr="3EA7425B">
        <w:rPr>
          <w:b/>
          <w:bCs/>
          <w:noProof/>
          <w:lang w:val="en-IE"/>
        </w:rPr>
        <w:t>Specific Objective 2</w:t>
      </w:r>
      <w:r w:rsidRPr="3EA7425B">
        <w:rPr>
          <w:noProof/>
          <w:lang w:val="en-IE"/>
        </w:rPr>
        <w:t xml:space="preserve"> - Facilitate access to funding </w:t>
      </w:r>
      <w:r w:rsidR="5AF79497" w:rsidRPr="3EA7425B">
        <w:rPr>
          <w:noProof/>
          <w:lang w:val="en-IE"/>
        </w:rPr>
        <w:t xml:space="preserve">from </w:t>
      </w:r>
      <w:r w:rsidRPr="3EA7425B">
        <w:rPr>
          <w:noProof/>
          <w:lang w:val="en-IE"/>
        </w:rPr>
        <w:t>EU programmes through user-centric, faster, simplified and harmonised procedures and improve coherence among EU instruments and with Member States investments</w:t>
      </w:r>
    </w:p>
    <w:p w14:paraId="232F8374" w14:textId="05A5D632" w:rsidR="004A6AA3" w:rsidRDefault="7252069B" w:rsidP="00603157">
      <w:pPr>
        <w:rPr>
          <w:noProof/>
        </w:rPr>
      </w:pPr>
      <w:r w:rsidRPr="238D8D6C">
        <w:rPr>
          <w:b/>
          <w:bCs/>
          <w:noProof/>
        </w:rPr>
        <w:t>S</w:t>
      </w:r>
      <w:r w:rsidR="16026D49" w:rsidRPr="238D8D6C">
        <w:rPr>
          <w:b/>
          <w:bCs/>
          <w:noProof/>
        </w:rPr>
        <w:t xml:space="preserve">pecific </w:t>
      </w:r>
      <w:r w:rsidRPr="238D8D6C">
        <w:rPr>
          <w:b/>
          <w:bCs/>
          <w:noProof/>
        </w:rPr>
        <w:t>O</w:t>
      </w:r>
      <w:r w:rsidR="114B96BB" w:rsidRPr="238D8D6C">
        <w:rPr>
          <w:b/>
          <w:bCs/>
          <w:noProof/>
        </w:rPr>
        <w:t xml:space="preserve">bjective </w:t>
      </w:r>
      <w:r w:rsidR="64C0D13E" w:rsidRPr="238D8D6C">
        <w:rPr>
          <w:b/>
          <w:bCs/>
          <w:noProof/>
        </w:rPr>
        <w:t>3</w:t>
      </w:r>
      <w:r>
        <w:rPr>
          <w:noProof/>
        </w:rPr>
        <w:t xml:space="preserve"> </w:t>
      </w:r>
      <w:r w:rsidR="3646CED0">
        <w:rPr>
          <w:noProof/>
        </w:rPr>
        <w:t>-</w:t>
      </w:r>
      <w:r>
        <w:rPr>
          <w:noProof/>
        </w:rPr>
        <w:t xml:space="preserve"> </w:t>
      </w:r>
      <w:r w:rsidR="17CBA79B">
        <w:rPr>
          <w:noProof/>
        </w:rPr>
        <w:t xml:space="preserve">Steer and focus investments towards EU strategic sectors and technologies, including underlying value chains, critical </w:t>
      </w:r>
      <w:r w:rsidR="16538C17">
        <w:rPr>
          <w:noProof/>
        </w:rPr>
        <w:t>infrastructures,capabilities</w:t>
      </w:r>
      <w:r w:rsidR="17CBA79B">
        <w:rPr>
          <w:noProof/>
        </w:rPr>
        <w:t xml:space="preserve"> and skills, and in support of decarbonisation, security and resilience.</w:t>
      </w:r>
    </w:p>
    <w:p w14:paraId="082C4513" w14:textId="3D59CA3C" w:rsidR="00DF5A85" w:rsidRPr="00DF5A85" w:rsidRDefault="00DF5A85" w:rsidP="00DF5A85">
      <w:pPr>
        <w:rPr>
          <w:rFonts w:eastAsia="Times New Roman"/>
          <w:noProof/>
          <w:color w:val="000000" w:themeColor="text1"/>
          <w:sz w:val="22"/>
          <w:szCs w:val="22"/>
          <w:lang w:val="en-US"/>
        </w:rPr>
      </w:pPr>
      <w:r w:rsidRPr="00DF5A85">
        <w:rPr>
          <w:rFonts w:eastAsia="Times New Roman"/>
          <w:noProof/>
          <w:color w:val="000000" w:themeColor="text1"/>
          <w:sz w:val="22"/>
          <w:szCs w:val="22"/>
          <w:lang w:val="en-US"/>
        </w:rPr>
        <w:t>Both the general and specific objectives are: 1)</w:t>
      </w:r>
      <w:r>
        <w:rPr>
          <w:rFonts w:eastAsia="Times New Roman"/>
          <w:noProof/>
          <w:color w:val="000000" w:themeColor="text1"/>
          <w:sz w:val="22"/>
          <w:szCs w:val="22"/>
          <w:lang w:val="en-US"/>
        </w:rPr>
        <w:t xml:space="preserve"> </w:t>
      </w:r>
      <w:r w:rsidRPr="00DF5A85">
        <w:rPr>
          <w:rFonts w:eastAsia="Times New Roman"/>
          <w:noProof/>
          <w:color w:val="000000" w:themeColor="text1"/>
          <w:sz w:val="22"/>
          <w:szCs w:val="22"/>
          <w:lang w:val="en-US"/>
        </w:rPr>
        <w:t>achievable through the set-up and implementation of the programme, with continuous progress monitoring to address potential challenges; 2) relevant, as they align the investment goals with the EU's strategic priorities, ensuring they contribute to overall EU competitiveness; and 3) time-bound, corresponding to the duration of the next Multiannual Financial Framework (MFF).</w:t>
      </w:r>
      <w:r w:rsidRPr="00DF5A85">
        <w:rPr>
          <w:rFonts w:eastAsia="Times New Roman"/>
          <w:noProof/>
          <w:color w:val="000000" w:themeColor="text1"/>
          <w:sz w:val="22"/>
          <w:szCs w:val="22"/>
          <w:lang w:val="en-US"/>
        </w:rPr>
        <w:br/>
      </w:r>
    </w:p>
    <w:p w14:paraId="75C27D16" w14:textId="59FB9DD1" w:rsidR="00623A54" w:rsidRPr="00E31FFC" w:rsidRDefault="00E54D2D" w:rsidP="00603157">
      <w:pPr>
        <w:pStyle w:val="Heading2"/>
        <w:rPr>
          <w:noProof/>
          <w:lang w:val="en-IE"/>
        </w:rPr>
      </w:pPr>
      <w:bookmarkStart w:id="170" w:name="_Toc201665894"/>
      <w:bookmarkStart w:id="171" w:name="_Toc201738538"/>
      <w:bookmarkStart w:id="172" w:name="_Toc195700204"/>
      <w:bookmarkStart w:id="173" w:name="_Toc203043643"/>
      <w:bookmarkEnd w:id="170"/>
      <w:bookmarkEnd w:id="171"/>
      <w:r w:rsidRPr="00E31FFC">
        <w:rPr>
          <w:noProof/>
          <w:lang w:val="en-IE"/>
        </w:rPr>
        <w:t>Pr</w:t>
      </w:r>
      <w:r w:rsidR="00623A54" w:rsidRPr="00E31FFC">
        <w:rPr>
          <w:noProof/>
          <w:lang w:val="en-IE"/>
        </w:rPr>
        <w:t>oblem tree</w:t>
      </w:r>
      <w:bookmarkEnd w:id="172"/>
      <w:bookmarkEnd w:id="173"/>
      <w:r w:rsidR="003B16D0" w:rsidRPr="00E31FFC">
        <w:rPr>
          <w:noProof/>
          <w:lang w:val="en-IE"/>
        </w:rPr>
        <w:t xml:space="preserve"> </w:t>
      </w:r>
    </w:p>
    <w:p w14:paraId="0804F249" w14:textId="0B5487FB" w:rsidR="004C7583" w:rsidRDefault="05E1C603" w:rsidP="00603157">
      <w:pPr>
        <w:rPr>
          <w:noProof/>
        </w:rPr>
      </w:pPr>
      <w:r>
        <w:rPr>
          <w:noProof/>
        </w:rPr>
        <w:t xml:space="preserve">Figure </w:t>
      </w:r>
      <w:r w:rsidR="00404888">
        <w:rPr>
          <w:noProof/>
        </w:rPr>
        <w:t>3</w:t>
      </w:r>
      <w:r>
        <w:rPr>
          <w:noProof/>
        </w:rPr>
        <w:t xml:space="preserve"> below </w:t>
      </w:r>
      <w:r w:rsidR="22ED80B1">
        <w:rPr>
          <w:noProof/>
        </w:rPr>
        <w:t>outlines</w:t>
      </w:r>
      <w:r>
        <w:rPr>
          <w:noProof/>
        </w:rPr>
        <w:t xml:space="preserve"> how the general and specific objectives of the Competitiveness Fund interlink</w:t>
      </w:r>
      <w:r w:rsidR="7674F80E">
        <w:rPr>
          <w:noProof/>
        </w:rPr>
        <w:t xml:space="preserve"> </w:t>
      </w:r>
    </w:p>
    <w:p w14:paraId="36A9A68D" w14:textId="526599BF" w:rsidR="0003474D" w:rsidRDefault="000C75D3" w:rsidP="00603157">
      <w:pPr>
        <w:rPr>
          <w:noProof/>
        </w:rPr>
      </w:pPr>
      <w:r>
        <w:rPr>
          <w:noProof/>
          <w:lang w:eastAsia="en-GB"/>
        </w:rPr>
        <w:drawing>
          <wp:inline distT="0" distB="0" distL="0" distR="0" wp14:anchorId="281FA7DE" wp14:editId="77848C4D">
            <wp:extent cx="6120130" cy="4707890"/>
            <wp:effectExtent l="0" t="0" r="0" b="0"/>
            <wp:docPr id="18970733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73335"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120130" cy="4707890"/>
                    </a:xfrm>
                    <a:prstGeom prst="rect">
                      <a:avLst/>
                    </a:prstGeom>
                  </pic:spPr>
                </pic:pic>
              </a:graphicData>
            </a:graphic>
          </wp:inline>
        </w:drawing>
      </w:r>
    </w:p>
    <w:p w14:paraId="2B06224B" w14:textId="2A98C0A9" w:rsidR="00EA4F12" w:rsidRPr="00A9684A" w:rsidRDefault="00EA4F12" w:rsidP="00603157">
      <w:pPr>
        <w:pStyle w:val="Heading1"/>
        <w:rPr>
          <w:rStyle w:val="Heading2Char"/>
          <w:rFonts w:eastAsiaTheme="minorHAnsi"/>
          <w:b/>
          <w:noProof/>
          <w:lang w:val="en-IE"/>
        </w:rPr>
      </w:pPr>
      <w:bookmarkStart w:id="174" w:name="_Toc139373864"/>
      <w:bookmarkStart w:id="175" w:name="_Toc195700205"/>
      <w:bookmarkStart w:id="176" w:name="_Toc203043644"/>
      <w:r w:rsidRPr="00A9684A">
        <w:rPr>
          <w:rStyle w:val="Heading2Char"/>
          <w:rFonts w:eastAsiaTheme="minorHAnsi"/>
          <w:b/>
          <w:noProof/>
          <w:lang w:val="en-IE"/>
        </w:rPr>
        <w:t>What are the available policy options?</w:t>
      </w:r>
      <w:bookmarkEnd w:id="174"/>
      <w:bookmarkEnd w:id="175"/>
      <w:bookmarkEnd w:id="176"/>
    </w:p>
    <w:p w14:paraId="30F783C1" w14:textId="77777777" w:rsidR="00EA4F12" w:rsidRPr="00F92EAE" w:rsidRDefault="00EA4F12" w:rsidP="00603157">
      <w:pPr>
        <w:pStyle w:val="Heading2"/>
        <w:rPr>
          <w:noProof/>
        </w:rPr>
      </w:pPr>
      <w:bookmarkStart w:id="177" w:name="_Toc197111331"/>
      <w:bookmarkStart w:id="178" w:name="_Toc197111698"/>
      <w:bookmarkStart w:id="179" w:name="_Toc197111906"/>
      <w:bookmarkStart w:id="180" w:name="_Toc197111976"/>
      <w:bookmarkStart w:id="181" w:name="_Toc195700206"/>
      <w:bookmarkStart w:id="182" w:name="_Toc203043645"/>
      <w:bookmarkEnd w:id="177"/>
      <w:bookmarkEnd w:id="178"/>
      <w:bookmarkEnd w:id="179"/>
      <w:bookmarkEnd w:id="180"/>
      <w:r w:rsidRPr="00F92EAE">
        <w:rPr>
          <w:noProof/>
        </w:rPr>
        <w:t>What is the baseline from which options are assessed?</w:t>
      </w:r>
      <w:bookmarkEnd w:id="181"/>
      <w:bookmarkEnd w:id="182"/>
    </w:p>
    <w:p w14:paraId="2286565C" w14:textId="2567B9BC" w:rsidR="00EA4F12" w:rsidRPr="00F92EAE" w:rsidRDefault="005111FA" w:rsidP="00603157">
      <w:pPr>
        <w:rPr>
          <w:noProof/>
        </w:rPr>
      </w:pPr>
      <w:r>
        <w:rPr>
          <w:noProof/>
        </w:rPr>
        <w:t xml:space="preserve">The baseline assumes a continuation of the current </w:t>
      </w:r>
      <w:r w:rsidR="006A2322">
        <w:rPr>
          <w:noProof/>
        </w:rPr>
        <w:t>MFF;</w:t>
      </w:r>
      <w:r>
        <w:rPr>
          <w:noProof/>
        </w:rPr>
        <w:t xml:space="preserve"> the </w:t>
      </w:r>
      <w:r w:rsidR="009450D6">
        <w:rPr>
          <w:noProof/>
        </w:rPr>
        <w:t>same funding programmes</w:t>
      </w:r>
      <w:r w:rsidR="00F7042B">
        <w:rPr>
          <w:noProof/>
        </w:rPr>
        <w:t xml:space="preserve"> in scope of this impact assessment would continue as they are</w:t>
      </w:r>
      <w:r w:rsidR="00BA3777">
        <w:rPr>
          <w:noProof/>
        </w:rPr>
        <w:t xml:space="preserve">, with the same </w:t>
      </w:r>
      <w:r w:rsidR="00BF4737">
        <w:rPr>
          <w:noProof/>
        </w:rPr>
        <w:t xml:space="preserve">instruments, </w:t>
      </w:r>
      <w:r w:rsidR="00BA3777">
        <w:rPr>
          <w:noProof/>
        </w:rPr>
        <w:t xml:space="preserve">budgets and </w:t>
      </w:r>
      <w:r w:rsidR="00934BA2">
        <w:rPr>
          <w:noProof/>
        </w:rPr>
        <w:t>budgetary split,</w:t>
      </w:r>
      <w:r w:rsidR="00BF4737">
        <w:rPr>
          <w:noProof/>
        </w:rPr>
        <w:t xml:space="preserve"> and the</w:t>
      </w:r>
      <w:r w:rsidR="00934BA2">
        <w:rPr>
          <w:noProof/>
        </w:rPr>
        <w:t xml:space="preserve"> same rules for participation</w:t>
      </w:r>
      <w:r w:rsidR="00650B08">
        <w:rPr>
          <w:noProof/>
        </w:rPr>
        <w:t>.</w:t>
      </w:r>
      <w:r w:rsidR="00C72C52">
        <w:rPr>
          <w:noProof/>
        </w:rPr>
        <w:t xml:space="preserve"> The policy options </w:t>
      </w:r>
      <w:r w:rsidR="002E0521">
        <w:rPr>
          <w:noProof/>
        </w:rPr>
        <w:t xml:space="preserve">will be assessed against this baseline. </w:t>
      </w:r>
    </w:p>
    <w:p w14:paraId="16ABD9B2" w14:textId="79706351" w:rsidR="00EA4F12" w:rsidRDefault="6451D2B6" w:rsidP="00603157">
      <w:pPr>
        <w:pStyle w:val="Heading2"/>
        <w:rPr>
          <w:noProof/>
        </w:rPr>
      </w:pPr>
      <w:bookmarkStart w:id="183" w:name="_Toc195700207"/>
      <w:bookmarkStart w:id="184" w:name="_Toc203043646"/>
      <w:r>
        <w:rPr>
          <w:noProof/>
        </w:rPr>
        <w:t>Description of the policy options</w:t>
      </w:r>
      <w:bookmarkEnd w:id="183"/>
      <w:bookmarkEnd w:id="184"/>
    </w:p>
    <w:p w14:paraId="2ECE1FB0" w14:textId="7A840B33" w:rsidR="00D25C89" w:rsidRDefault="00D25C89" w:rsidP="00603157">
      <w:pPr>
        <w:rPr>
          <w:noProof/>
        </w:rPr>
      </w:pPr>
      <w:r>
        <w:rPr>
          <w:noProof/>
        </w:rPr>
        <w:t>In line with the need for ‘simplicity and flexibility, speed and strategic focus’set out in the Political Guidelines, the impact assessment will assess three options</w:t>
      </w:r>
      <w:r w:rsidRPr="00E7659A">
        <w:rPr>
          <w:rStyle w:val="FootnoteReference"/>
          <w:noProof/>
          <w:lang w:val="en-IE"/>
        </w:rPr>
        <w:footnoteReference w:id="144"/>
      </w:r>
      <w:r>
        <w:rPr>
          <w:noProof/>
        </w:rPr>
        <w:t xml:space="preserve"> </w:t>
      </w:r>
      <w:r w:rsidR="009022EB">
        <w:rPr>
          <w:noProof/>
        </w:rPr>
        <w:t xml:space="preserve">affecting the architecture of EU funding </w:t>
      </w:r>
      <w:r w:rsidR="006A2322">
        <w:rPr>
          <w:noProof/>
        </w:rPr>
        <w:t>ranging from</w:t>
      </w:r>
      <w:r>
        <w:rPr>
          <w:noProof/>
        </w:rPr>
        <w:t xml:space="preserve"> the continuation of the 1</w:t>
      </w:r>
      <w:r w:rsidR="00DF5882">
        <w:rPr>
          <w:noProof/>
        </w:rPr>
        <w:t>4</w:t>
      </w:r>
      <w:r>
        <w:rPr>
          <w:noProof/>
        </w:rPr>
        <w:t xml:space="preserve"> currently existing programmes related to competitiveness, to their consolidation into a new Competitiveness Fund: </w:t>
      </w:r>
    </w:p>
    <w:p w14:paraId="34A27ECD" w14:textId="7D79ED1C" w:rsidR="00D25C89" w:rsidRDefault="00D25C89" w:rsidP="008C51EB">
      <w:pPr>
        <w:pStyle w:val="Text2"/>
        <w:numPr>
          <w:ilvl w:val="0"/>
          <w:numId w:val="23"/>
        </w:numPr>
        <w:spacing w:before="0" w:after="0"/>
        <w:rPr>
          <w:noProof/>
        </w:rPr>
      </w:pPr>
      <w:r>
        <w:rPr>
          <w:noProof/>
        </w:rPr>
        <w:t>Business-as-usual-plus: light coordination</w:t>
      </w:r>
      <w:r w:rsidR="007552EF">
        <w:rPr>
          <w:noProof/>
        </w:rPr>
        <w:t>.</w:t>
      </w:r>
    </w:p>
    <w:p w14:paraId="58E74C79" w14:textId="71621B09" w:rsidR="00D25C89" w:rsidRDefault="00D25C89" w:rsidP="008C51EB">
      <w:pPr>
        <w:pStyle w:val="Text2"/>
        <w:numPr>
          <w:ilvl w:val="0"/>
          <w:numId w:val="23"/>
        </w:numPr>
        <w:spacing w:before="0" w:after="0"/>
        <w:rPr>
          <w:noProof/>
        </w:rPr>
      </w:pPr>
      <w:r>
        <w:rPr>
          <w:noProof/>
        </w:rPr>
        <w:t>Enhanced coordination between existing programmes (single rulebook)</w:t>
      </w:r>
      <w:r w:rsidR="00EA7C68">
        <w:rPr>
          <w:noProof/>
        </w:rPr>
        <w:t>.</w:t>
      </w:r>
    </w:p>
    <w:p w14:paraId="3D9DF026" w14:textId="2BE8143B" w:rsidR="00D25C89" w:rsidRPr="00D25C89" w:rsidRDefault="00D25C89" w:rsidP="008C51EB">
      <w:pPr>
        <w:pStyle w:val="Text2"/>
        <w:numPr>
          <w:ilvl w:val="0"/>
          <w:numId w:val="23"/>
        </w:numPr>
        <w:spacing w:before="0" w:after="0"/>
        <w:rPr>
          <w:noProof/>
        </w:rPr>
      </w:pPr>
      <w:r>
        <w:rPr>
          <w:noProof/>
        </w:rPr>
        <w:t>Consolidation of programmes in a new European Competitiveness Fund</w:t>
      </w:r>
      <w:r w:rsidR="007552EF">
        <w:rPr>
          <w:noProof/>
        </w:rPr>
        <w:t>.</w:t>
      </w:r>
    </w:p>
    <w:p w14:paraId="2E8383E3" w14:textId="3D004109" w:rsidR="004E17B6" w:rsidRPr="00B03DD3" w:rsidRDefault="6A1402CD" w:rsidP="00603157">
      <w:pPr>
        <w:rPr>
          <w:b/>
          <w:bCs/>
          <w:noProof/>
        </w:rPr>
      </w:pPr>
      <w:bookmarkStart w:id="185" w:name="_Toc193448901"/>
      <w:bookmarkStart w:id="186" w:name="_Toc195524717"/>
      <w:r w:rsidRPr="00B03DD3">
        <w:rPr>
          <w:b/>
          <w:bCs/>
          <w:noProof/>
        </w:rPr>
        <w:t xml:space="preserve">A. </w:t>
      </w:r>
      <w:r w:rsidR="52403BDD" w:rsidRPr="00B03DD3">
        <w:rPr>
          <w:b/>
          <w:bCs/>
          <w:noProof/>
        </w:rPr>
        <w:t>Business-as-usual-plus: Light coordination</w:t>
      </w:r>
      <w:bookmarkEnd w:id="185"/>
      <w:bookmarkEnd w:id="186"/>
      <w:r w:rsidR="52403BDD" w:rsidRPr="00B03DD3">
        <w:rPr>
          <w:b/>
          <w:bCs/>
          <w:noProof/>
        </w:rPr>
        <w:t xml:space="preserve"> </w:t>
      </w:r>
    </w:p>
    <w:p w14:paraId="066772E9" w14:textId="5295258E" w:rsidR="004E17B6" w:rsidRDefault="109E6B60" w:rsidP="78AD6A15">
      <w:pPr>
        <w:ind w:left="720"/>
        <w:rPr>
          <w:noProof/>
        </w:rPr>
      </w:pPr>
      <w:bookmarkStart w:id="187" w:name="_Toc193448902"/>
      <w:bookmarkStart w:id="188" w:name="_Toc195524718"/>
      <w:r>
        <w:rPr>
          <w:noProof/>
        </w:rPr>
        <w:t xml:space="preserve">Option </w:t>
      </w:r>
      <w:r w:rsidR="4ECAD3ED">
        <w:rPr>
          <w:noProof/>
        </w:rPr>
        <w:t>A</w:t>
      </w:r>
      <w:r w:rsidR="7EE36C6C">
        <w:rPr>
          <w:noProof/>
        </w:rPr>
        <w:t xml:space="preserve"> would entail incremental progress on the current situation. The funding landscape for competitiveness would continue to be divided across 1</w:t>
      </w:r>
      <w:r w:rsidR="2A15FEFF">
        <w:rPr>
          <w:noProof/>
        </w:rPr>
        <w:t>4</w:t>
      </w:r>
      <w:r w:rsidR="7EE36C6C">
        <w:rPr>
          <w:noProof/>
        </w:rPr>
        <w:t xml:space="preserve"> programmes with their own individual rulebooks</w:t>
      </w:r>
      <w:r w:rsidR="166232AF">
        <w:rPr>
          <w:noProof/>
        </w:rPr>
        <w:t xml:space="preserve"> (including different funding rates, </w:t>
      </w:r>
      <w:r w:rsidR="0D97A0BD">
        <w:rPr>
          <w:noProof/>
        </w:rPr>
        <w:t>eligibility</w:t>
      </w:r>
      <w:r w:rsidR="166232AF">
        <w:rPr>
          <w:noProof/>
        </w:rPr>
        <w:t xml:space="preserve"> rules, </w:t>
      </w:r>
      <w:r w:rsidR="0D97A0BD">
        <w:rPr>
          <w:noProof/>
        </w:rPr>
        <w:t>application criteria)</w:t>
      </w:r>
      <w:r w:rsidR="7EE36C6C">
        <w:rPr>
          <w:noProof/>
        </w:rPr>
        <w:t>, but with the Commission making best efforts to foster coordination across the programmes to enable improved horizontal consistency across funds</w:t>
      </w:r>
      <w:r w:rsidR="1DAFA7DD">
        <w:rPr>
          <w:noProof/>
        </w:rPr>
        <w:t>.</w:t>
      </w:r>
      <w:r w:rsidR="7EE36C6C">
        <w:rPr>
          <w:noProof/>
        </w:rPr>
        <w:t xml:space="preserve"> Each programme would continue with its own specific legal act and rules tailored to its needs and constituency (e.g. different rules on third country participation), but the Commission could seek to expand on the approach taken with Strategic Technologies for Europe Platform (STEP) to help individual projects benefit from cumulative funding under several </w:t>
      </w:r>
      <w:r w:rsidR="3D1F00D4">
        <w:rPr>
          <w:noProof/>
        </w:rPr>
        <w:t xml:space="preserve">programmes. </w:t>
      </w:r>
      <w:bookmarkEnd w:id="187"/>
      <w:bookmarkEnd w:id="188"/>
    </w:p>
    <w:p w14:paraId="010F009E" w14:textId="5CF31973" w:rsidR="004E17B6" w:rsidRPr="00B03DD3" w:rsidRDefault="6A1402CD" w:rsidP="00603157">
      <w:pPr>
        <w:rPr>
          <w:b/>
          <w:bCs/>
          <w:noProof/>
        </w:rPr>
      </w:pPr>
      <w:bookmarkStart w:id="189" w:name="_Toc193448904"/>
      <w:bookmarkStart w:id="190" w:name="_Toc195524720"/>
      <w:r w:rsidRPr="00B03DD3">
        <w:rPr>
          <w:b/>
          <w:bCs/>
          <w:noProof/>
        </w:rPr>
        <w:t xml:space="preserve">B. </w:t>
      </w:r>
      <w:r w:rsidR="52403BDD" w:rsidRPr="00B03DD3">
        <w:rPr>
          <w:b/>
          <w:bCs/>
          <w:noProof/>
        </w:rPr>
        <w:t>Enhanced coordination between programmes and a common rulebook</w:t>
      </w:r>
      <w:bookmarkEnd w:id="189"/>
      <w:bookmarkEnd w:id="190"/>
    </w:p>
    <w:p w14:paraId="37976FA3" w14:textId="3A695EDE" w:rsidR="004E17B6" w:rsidRDefault="413977D2" w:rsidP="00603157">
      <w:pPr>
        <w:rPr>
          <w:noProof/>
        </w:rPr>
      </w:pPr>
      <w:bookmarkStart w:id="191" w:name="_Toc193448905"/>
      <w:bookmarkStart w:id="192" w:name="_Toc195524721"/>
      <w:r>
        <w:rPr>
          <w:noProof/>
        </w:rPr>
        <w:t xml:space="preserve">Option </w:t>
      </w:r>
      <w:r w:rsidR="004800AC">
        <w:rPr>
          <w:noProof/>
        </w:rPr>
        <w:t>B</w:t>
      </w:r>
      <w:r>
        <w:rPr>
          <w:noProof/>
        </w:rPr>
        <w:t xml:space="preserve"> would go further with </w:t>
      </w:r>
      <w:r w:rsidR="009C009D">
        <w:rPr>
          <w:noProof/>
        </w:rPr>
        <w:t>harmonising</w:t>
      </w:r>
      <w:r>
        <w:rPr>
          <w:noProof/>
        </w:rPr>
        <w:t xml:space="preserve"> rules across the programmes (including a common rulebook</w:t>
      </w:r>
      <w:r w:rsidR="00243550">
        <w:rPr>
          <w:noProof/>
        </w:rPr>
        <w:t xml:space="preserve"> going further than the individual rulebooks presented in option A</w:t>
      </w:r>
      <w:r>
        <w:rPr>
          <w:noProof/>
        </w:rPr>
        <w:t>), such as aligning the definition of objectives, strands and pillars, as well as ensuring consistency across the implementing tools and horizontal legal provisions across programmes (e.g.</w:t>
      </w:r>
      <w:r w:rsidR="475314D2">
        <w:rPr>
          <w:noProof/>
        </w:rPr>
        <w:t>,</w:t>
      </w:r>
      <w:r>
        <w:rPr>
          <w:noProof/>
        </w:rPr>
        <w:t xml:space="preserve"> rules on third country participation, monitoring and reporting, audits, evaluation procedures, funding rates). All basic acts for programmes would be based on a common template. </w:t>
      </w:r>
      <w:bookmarkEnd w:id="191"/>
      <w:bookmarkEnd w:id="192"/>
    </w:p>
    <w:p w14:paraId="418484AC" w14:textId="5BD03FC6" w:rsidR="004E17B6" w:rsidRPr="00B03DD3" w:rsidRDefault="6A1402CD" w:rsidP="00603157">
      <w:pPr>
        <w:rPr>
          <w:b/>
          <w:bCs/>
          <w:noProof/>
        </w:rPr>
      </w:pPr>
      <w:bookmarkStart w:id="193" w:name="_Toc193448907"/>
      <w:bookmarkStart w:id="194" w:name="_Toc195524723"/>
      <w:r w:rsidRPr="00B03DD3">
        <w:rPr>
          <w:b/>
          <w:bCs/>
          <w:noProof/>
        </w:rPr>
        <w:t xml:space="preserve">C. </w:t>
      </w:r>
      <w:r w:rsidR="52403BDD" w:rsidRPr="00B03DD3">
        <w:rPr>
          <w:b/>
          <w:bCs/>
          <w:noProof/>
        </w:rPr>
        <w:t>Consolidation of programmes in a new European Competitiveness Fund</w:t>
      </w:r>
      <w:bookmarkEnd w:id="193"/>
      <w:bookmarkEnd w:id="194"/>
    </w:p>
    <w:p w14:paraId="7CCE7DA1" w14:textId="1A4BE9C1" w:rsidR="00BE38DA" w:rsidRPr="00BE38DA" w:rsidRDefault="00B64121" w:rsidP="000D886E">
      <w:pPr>
        <w:rPr>
          <w:rFonts w:eastAsiaTheme="minorEastAsia"/>
          <w:noProof/>
        </w:rPr>
      </w:pPr>
      <w:bookmarkStart w:id="195" w:name="_Toc193448908"/>
      <w:bookmarkStart w:id="196" w:name="_Toc195524724"/>
      <w:r w:rsidRPr="001804B4">
        <w:rPr>
          <w:noProof/>
        </w:rPr>
        <w:t>This represents the most integrated of the options, involving the consolidation of the current Union programmes for competitiveness into a single fund with a strategic steer.</w:t>
      </w:r>
      <w:r w:rsidRPr="001804B4">
        <w:rPr>
          <w:noProof/>
          <w:vertAlign w:val="superscript"/>
        </w:rPr>
        <w:footnoteReference w:id="145"/>
      </w:r>
      <w:r w:rsidRPr="001804B4">
        <w:rPr>
          <w:noProof/>
        </w:rPr>
        <w:t xml:space="preserve"> This option would be based on a single (or possibly two – cf. Article 182 TFEU) legislative proposal(s) for a European Competitiveness Fund.</w:t>
      </w:r>
      <w:bookmarkEnd w:id="195"/>
      <w:bookmarkEnd w:id="196"/>
    </w:p>
    <w:p w14:paraId="18B6971B" w14:textId="74593ED2" w:rsidR="00BE38DA" w:rsidRPr="00B03DD3" w:rsidRDefault="4E8BCD20" w:rsidP="00603157">
      <w:pPr>
        <w:rPr>
          <w:rFonts w:eastAsiaTheme="minorEastAsia"/>
          <w:noProof/>
        </w:rPr>
      </w:pPr>
      <w:bookmarkStart w:id="197" w:name="_Toc193448909"/>
      <w:bookmarkStart w:id="198" w:name="_Toc195524725"/>
      <w:r>
        <w:rPr>
          <w:noProof/>
        </w:rPr>
        <w:t>This option would go furthest in creating a single investment capacity to support strategic sectors and technologies, disruptive innovation</w:t>
      </w:r>
      <w:r w:rsidR="0780C876">
        <w:rPr>
          <w:noProof/>
        </w:rPr>
        <w:t xml:space="preserve"> </w:t>
      </w:r>
      <w:r w:rsidR="458CCB85">
        <w:rPr>
          <w:noProof/>
        </w:rPr>
        <w:t xml:space="preserve">and </w:t>
      </w:r>
      <w:r>
        <w:rPr>
          <w:noProof/>
        </w:rPr>
        <w:t xml:space="preserve">decarbonisation, through a more seamless investment journey from fundamental research to applied research, to deployment, manufacturing, services and solutions. This option would enable a stronger strategic steer prioritising policy rather than programmes, to select cutting edge projects with the most added value for the Single Market, placing disruptive innovation at its core, while </w:t>
      </w:r>
      <w:r w:rsidR="4A693976">
        <w:rPr>
          <w:noProof/>
        </w:rPr>
        <w:t>considering</w:t>
      </w:r>
      <w:r>
        <w:rPr>
          <w:noProof/>
        </w:rPr>
        <w:t xml:space="preserve"> the need for long-term predictability for stakeholders and </w:t>
      </w:r>
      <w:bookmarkEnd w:id="197"/>
      <w:bookmarkEnd w:id="198"/>
      <w:r w:rsidR="00C260E1">
        <w:rPr>
          <w:noProof/>
        </w:rPr>
        <w:t>investors.</w:t>
      </w:r>
      <w:r>
        <w:rPr>
          <w:noProof/>
        </w:rPr>
        <w:t xml:space="preserve"> </w:t>
      </w:r>
    </w:p>
    <w:p w14:paraId="7090EEDB" w14:textId="3ECE9FFD" w:rsidR="00417B63" w:rsidRDefault="2499410F" w:rsidP="00603157">
      <w:pPr>
        <w:rPr>
          <w:rFonts w:eastAsiaTheme="minorEastAsia"/>
          <w:noProof/>
        </w:rPr>
      </w:pPr>
      <w:bookmarkStart w:id="199" w:name="_Toc193448910"/>
      <w:bookmarkStart w:id="200" w:name="_Toc195524726"/>
      <w:r w:rsidRPr="6CD386C1">
        <w:rPr>
          <w:rFonts w:eastAsiaTheme="minorEastAsia"/>
          <w:noProof/>
        </w:rPr>
        <w:t>The European Competitiveness Fund would be structured along a small number of policy windows reflecting strategic priorities crucial to EU competitiveness and resilience (from AI and digital to</w:t>
      </w:r>
      <w:r w:rsidR="45303D91" w:rsidRPr="6CD386C1">
        <w:rPr>
          <w:rFonts w:eastAsiaTheme="minorEastAsia"/>
          <w:noProof/>
        </w:rPr>
        <w:t xml:space="preserve"> </w:t>
      </w:r>
      <w:r w:rsidRPr="6CD386C1">
        <w:rPr>
          <w:rFonts w:eastAsiaTheme="minorEastAsia"/>
          <w:noProof/>
        </w:rPr>
        <w:t xml:space="preserve">space, from clean </w:t>
      </w:r>
      <w:r w:rsidR="751A70BE" w:rsidRPr="6CD386C1" w:rsidDel="3BCF0F3A">
        <w:rPr>
          <w:rFonts w:eastAsiaTheme="minorEastAsia"/>
          <w:noProof/>
        </w:rPr>
        <w:t xml:space="preserve">tech </w:t>
      </w:r>
      <w:r w:rsidRPr="6CD386C1">
        <w:rPr>
          <w:rFonts w:eastAsiaTheme="minorEastAsia"/>
          <w:noProof/>
        </w:rPr>
        <w:t>to biotech, from defence</w:t>
      </w:r>
      <w:r w:rsidR="21606926" w:rsidRPr="6CD386C1">
        <w:rPr>
          <w:rFonts w:eastAsiaTheme="minorEastAsia"/>
          <w:noProof/>
        </w:rPr>
        <w:t xml:space="preserve"> </w:t>
      </w:r>
      <w:r w:rsidRPr="6CD386C1">
        <w:rPr>
          <w:rFonts w:eastAsiaTheme="minorEastAsia"/>
          <w:noProof/>
        </w:rPr>
        <w:t xml:space="preserve">to health). </w:t>
      </w:r>
      <w:r w:rsidRPr="7565C8F6">
        <w:rPr>
          <w:rFonts w:eastAsiaTheme="minorEastAsia"/>
          <w:noProof/>
        </w:rPr>
        <w:t xml:space="preserve">Its </w:t>
      </w:r>
      <w:r w:rsidR="26D2D178" w:rsidRPr="7565C8F6">
        <w:rPr>
          <w:rFonts w:eastAsiaTheme="minorEastAsia"/>
          <w:noProof/>
        </w:rPr>
        <w:t>open architecture</w:t>
      </w:r>
      <w:r w:rsidRPr="7565C8F6">
        <w:rPr>
          <w:rFonts w:eastAsiaTheme="minorEastAsia"/>
          <w:noProof/>
        </w:rPr>
        <w:t xml:space="preserve"> </w:t>
      </w:r>
      <w:r w:rsidRPr="6CD386C1">
        <w:rPr>
          <w:rFonts w:eastAsiaTheme="minorEastAsia"/>
          <w:noProof/>
        </w:rPr>
        <w:t xml:space="preserve">would help the Fund respond quickly to new challenges and priorities by providing overall direction and strategy. It would be informed by a steering mechanism across the entire MFF, of which the Competitiveness Coordination Tool will form part, to align funding and priorities, and build on input from a consultative board composed of key stakeholders. This new architecture would allow for the setting of policy priorities at the level of each window, to effectively target support from early research to manufacturing and deployment, including infrastructure and specific skills, relying on funding tools adapted to the project’s needs and offering an appropriate leverage/impact ratio of the EU budget. In </w:t>
      </w:r>
      <w:r w:rsidR="366D5835" w:rsidRPr="6CD386C1">
        <w:rPr>
          <w:rFonts w:eastAsiaTheme="minorEastAsia"/>
          <w:noProof/>
        </w:rPr>
        <w:t>addition</w:t>
      </w:r>
      <w:r w:rsidRPr="6CD386C1">
        <w:rPr>
          <w:rFonts w:eastAsiaTheme="minorEastAsia"/>
          <w:noProof/>
        </w:rPr>
        <w:t>, within the European Competitiveness Fund, fundamental research would reflect an open, bottom-up approach and focus on frontier excellent research while developing appropriate synergies with other components of the European Competitiveness Fund.</w:t>
      </w:r>
      <w:bookmarkEnd w:id="199"/>
      <w:bookmarkEnd w:id="200"/>
      <w:r w:rsidRPr="6CD386C1">
        <w:rPr>
          <w:rFonts w:eastAsiaTheme="minorEastAsia"/>
          <w:noProof/>
        </w:rPr>
        <w:t xml:space="preserve"> </w:t>
      </w:r>
      <w:bookmarkStart w:id="201" w:name="_Toc195524727"/>
      <w:bookmarkStart w:id="202" w:name="_Toc193448911"/>
    </w:p>
    <w:bookmarkEnd w:id="201"/>
    <w:bookmarkEnd w:id="202"/>
    <w:p w14:paraId="4C1F2004" w14:textId="0B545863" w:rsidR="00BE38DA" w:rsidRPr="003C50D0" w:rsidRDefault="00B64121" w:rsidP="00603157">
      <w:pPr>
        <w:rPr>
          <w:rFonts w:eastAsiaTheme="minorEastAsia"/>
          <w:noProof/>
        </w:rPr>
      </w:pPr>
      <w:r w:rsidRPr="797A3ADD">
        <w:rPr>
          <w:rFonts w:eastAsiaTheme="minorEastAsia"/>
          <w:noProof/>
        </w:rPr>
        <w:t xml:space="preserve">The Fund would flexibly mobilise the entire financial toolbox provided by the EU budget (including loans, grants, equity, </w:t>
      </w:r>
      <w:r w:rsidRPr="1761AE8A">
        <w:rPr>
          <w:rFonts w:eastAsiaTheme="minorEastAsia"/>
          <w:noProof/>
        </w:rPr>
        <w:t xml:space="preserve">quasi-equity, </w:t>
      </w:r>
      <w:r w:rsidRPr="797A3ADD">
        <w:rPr>
          <w:rFonts w:eastAsiaTheme="minorEastAsia"/>
          <w:noProof/>
        </w:rPr>
        <w:t>blending, procurements and guarantees) at the service of competitiveness policy objectives, whilst also supporting decarbonisation</w:t>
      </w:r>
      <w:r w:rsidRPr="02CD8ACA">
        <w:rPr>
          <w:rFonts w:eastAsiaTheme="minorEastAsia"/>
          <w:noProof/>
        </w:rPr>
        <w:t xml:space="preserve"> and</w:t>
      </w:r>
      <w:r w:rsidRPr="797A3ADD">
        <w:rPr>
          <w:rFonts w:eastAsiaTheme="minorEastAsia"/>
          <w:noProof/>
        </w:rPr>
        <w:t xml:space="preserve"> the digital transition. Under this option, </w:t>
      </w:r>
      <w:r>
        <w:rPr>
          <w:rFonts w:eastAsiaTheme="minorEastAsia"/>
          <w:noProof/>
        </w:rPr>
        <w:t>the</w:t>
      </w:r>
      <w:r w:rsidRPr="797A3ADD">
        <w:rPr>
          <w:rFonts w:eastAsiaTheme="minorEastAsia"/>
          <w:noProof/>
        </w:rPr>
        <w:t xml:space="preserve"> budgetary guarantee and financial instruments would become available to all the policy windows, making them usable across areas of funding</w:t>
      </w:r>
      <w:r>
        <w:rPr>
          <w:rFonts w:eastAsiaTheme="minorEastAsia"/>
          <w:noProof/>
        </w:rPr>
        <w:t xml:space="preserve"> under a single Fund. </w:t>
      </w:r>
      <w:r w:rsidRPr="797A3ADD">
        <w:rPr>
          <w:rFonts w:eastAsiaTheme="minorEastAsia"/>
          <w:noProof/>
        </w:rPr>
        <w:t>Synergies with other programmes will also be ensured, thanks to a more integrated approach at strategic level and at operational level. The integrated structure would also support cross cutting activities enhancing investment opportunities and bankability of projects across strategic areas (e.g. advisory services, dedicated support to SMEs), while better enabling synergies with other structural parts of the MFF, such as pre-allocated envelopes managed with Member States.</w:t>
      </w:r>
    </w:p>
    <w:p w14:paraId="664C1A85" w14:textId="77777777" w:rsidR="00EA4F12" w:rsidRDefault="6451D2B6" w:rsidP="00603157">
      <w:pPr>
        <w:pStyle w:val="Heading2"/>
        <w:rPr>
          <w:noProof/>
        </w:rPr>
      </w:pPr>
      <w:bookmarkStart w:id="203" w:name="_Toc197111334"/>
      <w:bookmarkStart w:id="204" w:name="_Toc197111701"/>
      <w:bookmarkStart w:id="205" w:name="_Toc197111909"/>
      <w:bookmarkStart w:id="206" w:name="_Toc197111979"/>
      <w:bookmarkStart w:id="207" w:name="_Toc197111335"/>
      <w:bookmarkStart w:id="208" w:name="_Toc197111702"/>
      <w:bookmarkStart w:id="209" w:name="_Toc197111910"/>
      <w:bookmarkStart w:id="210" w:name="_Toc197111980"/>
      <w:bookmarkStart w:id="211" w:name="_Toc195700208"/>
      <w:bookmarkStart w:id="212" w:name="_Toc203043647"/>
      <w:bookmarkEnd w:id="203"/>
      <w:bookmarkEnd w:id="204"/>
      <w:bookmarkEnd w:id="205"/>
      <w:bookmarkEnd w:id="206"/>
      <w:bookmarkEnd w:id="207"/>
      <w:bookmarkEnd w:id="208"/>
      <w:bookmarkEnd w:id="209"/>
      <w:bookmarkEnd w:id="210"/>
      <w:r>
        <w:rPr>
          <w:noProof/>
        </w:rPr>
        <w:t>Options discarded at an early stage</w:t>
      </w:r>
      <w:bookmarkEnd w:id="211"/>
      <w:bookmarkEnd w:id="212"/>
    </w:p>
    <w:p w14:paraId="447B2E80" w14:textId="0B840DB2" w:rsidR="006B087E" w:rsidRPr="00F907E1" w:rsidRDefault="5161865F" w:rsidP="00603157">
      <w:pPr>
        <w:rPr>
          <w:noProof/>
        </w:rPr>
      </w:pPr>
      <w:r>
        <w:rPr>
          <w:noProof/>
        </w:rPr>
        <w:t>Another option would</w:t>
      </w:r>
      <w:r w:rsidR="6982F31C">
        <w:rPr>
          <w:noProof/>
        </w:rPr>
        <w:t xml:space="preserve"> </w:t>
      </w:r>
      <w:r>
        <w:rPr>
          <w:noProof/>
        </w:rPr>
        <w:t>be to partially consolidate existing programmes into a small number of sectoral programmes covering the whole investment journey from research to deployment</w:t>
      </w:r>
      <w:r w:rsidR="5ABF7D4B">
        <w:rPr>
          <w:noProof/>
        </w:rPr>
        <w:t xml:space="preserve"> for a specific policy</w:t>
      </w:r>
      <w:r>
        <w:rPr>
          <w:noProof/>
        </w:rPr>
        <w:t xml:space="preserve">. While this option could </w:t>
      </w:r>
      <w:r w:rsidR="24AED88C">
        <w:rPr>
          <w:noProof/>
        </w:rPr>
        <w:t>enhance policy steer and reduce budget fragmentation</w:t>
      </w:r>
      <w:r w:rsidR="2755FF97">
        <w:rPr>
          <w:noProof/>
        </w:rPr>
        <w:t xml:space="preserve"> on specific policies</w:t>
      </w:r>
      <w:r w:rsidR="24AED88C">
        <w:rPr>
          <w:noProof/>
        </w:rPr>
        <w:t xml:space="preserve">, it would not sufficiently improve flexibility </w:t>
      </w:r>
      <w:r w:rsidR="6C8FEB1B">
        <w:rPr>
          <w:noProof/>
        </w:rPr>
        <w:t>to respond to emerging needs across the EU budget</w:t>
      </w:r>
      <w:r w:rsidR="21F79D28">
        <w:rPr>
          <w:noProof/>
        </w:rPr>
        <w:t xml:space="preserve"> and would miss a number of the benefits put forward by the European Competitiveness Fund (integrated funding toolbox, integrated steer to support competitiveness across sectors)</w:t>
      </w:r>
      <w:r w:rsidR="6C8FEB1B">
        <w:rPr>
          <w:noProof/>
        </w:rPr>
        <w:t xml:space="preserve">. </w:t>
      </w:r>
      <w:r w:rsidR="50C2122E">
        <w:rPr>
          <w:noProof/>
        </w:rPr>
        <w:t>T</w:t>
      </w:r>
      <w:r w:rsidR="379ED8E5">
        <w:rPr>
          <w:noProof/>
        </w:rPr>
        <w:t>h</w:t>
      </w:r>
      <w:r w:rsidR="50C2122E">
        <w:rPr>
          <w:noProof/>
        </w:rPr>
        <w:t>ere would have been</w:t>
      </w:r>
      <w:r w:rsidR="45E64FAC">
        <w:rPr>
          <w:noProof/>
        </w:rPr>
        <w:t xml:space="preserve"> also </w:t>
      </w:r>
      <w:r w:rsidR="50C2122E">
        <w:rPr>
          <w:noProof/>
        </w:rPr>
        <w:t>a very high number of scenari</w:t>
      </w:r>
      <w:r w:rsidR="759A31D8">
        <w:rPr>
          <w:noProof/>
        </w:rPr>
        <w:t>os</w:t>
      </w:r>
      <w:r w:rsidR="50C2122E">
        <w:rPr>
          <w:noProof/>
        </w:rPr>
        <w:t xml:space="preserve"> for such partial consolidation, based on the heter</w:t>
      </w:r>
      <w:r w:rsidR="510910BD">
        <w:rPr>
          <w:noProof/>
        </w:rPr>
        <w:t>o</w:t>
      </w:r>
      <w:r w:rsidR="50C2122E">
        <w:rPr>
          <w:noProof/>
        </w:rPr>
        <w:t xml:space="preserve">genous structuring of the funding landscape available today. </w:t>
      </w:r>
      <w:r w:rsidR="37920040">
        <w:rPr>
          <w:noProof/>
        </w:rPr>
        <w:t xml:space="preserve">This is why it </w:t>
      </w:r>
      <w:r w:rsidR="21F79D28">
        <w:rPr>
          <w:noProof/>
        </w:rPr>
        <w:t>was discarded at an early stage and not considered</w:t>
      </w:r>
      <w:r w:rsidR="46D9791A">
        <w:rPr>
          <w:noProof/>
        </w:rPr>
        <w:t xml:space="preserve"> </w:t>
      </w:r>
      <w:r w:rsidR="21F79D28">
        <w:rPr>
          <w:noProof/>
        </w:rPr>
        <w:t>in this assessment.</w:t>
      </w:r>
    </w:p>
    <w:p w14:paraId="596F6AC8" w14:textId="0B88CEA8" w:rsidR="00FC3D58" w:rsidRPr="0030098A" w:rsidRDefault="120EBE67" w:rsidP="00603157">
      <w:pPr>
        <w:pStyle w:val="Heading1"/>
        <w:spacing w:before="120"/>
        <w:rPr>
          <w:noProof/>
          <w:lang w:val="en-IE"/>
        </w:rPr>
      </w:pPr>
      <w:bookmarkStart w:id="213" w:name="_Toc195700209"/>
      <w:bookmarkStart w:id="214" w:name="_Toc139373865"/>
      <w:bookmarkStart w:id="215" w:name="_Toc195700210"/>
      <w:bookmarkStart w:id="216" w:name="_Toc203043648"/>
      <w:bookmarkEnd w:id="213"/>
      <w:r w:rsidRPr="69490EB5">
        <w:rPr>
          <w:noProof/>
          <w:lang w:val="en-IE"/>
        </w:rPr>
        <w:t>What are the impacts of the policy options?</w:t>
      </w:r>
      <w:bookmarkEnd w:id="214"/>
      <w:bookmarkEnd w:id="215"/>
      <w:bookmarkEnd w:id="216"/>
    </w:p>
    <w:p w14:paraId="27C1133C" w14:textId="06C9732A" w:rsidR="00D71EA3" w:rsidRDefault="00D71EA3" w:rsidP="00603157">
      <w:pPr>
        <w:rPr>
          <w:noProof/>
        </w:rPr>
      </w:pPr>
      <w:bookmarkStart w:id="217" w:name="_Toc195700211"/>
      <w:r w:rsidRPr="1267DC0E">
        <w:rPr>
          <w:rFonts w:eastAsia="Times New Roman"/>
          <w:noProof/>
          <w:lang w:val="en-US"/>
        </w:rPr>
        <w:t>The assessment focus</w:t>
      </w:r>
      <w:r w:rsidR="00633B6A">
        <w:rPr>
          <w:rFonts w:eastAsia="Times New Roman"/>
          <w:noProof/>
          <w:lang w:val="en-US"/>
        </w:rPr>
        <w:t>es</w:t>
      </w:r>
      <w:r w:rsidRPr="1267DC0E">
        <w:rPr>
          <w:rFonts w:eastAsia="Times New Roman"/>
          <w:noProof/>
          <w:lang w:val="en-US"/>
        </w:rPr>
        <w:t xml:space="preserve"> on key impacts, including:</w:t>
      </w:r>
      <w:r>
        <w:rPr>
          <w:rFonts w:eastAsia="Times New Roman"/>
          <w:noProof/>
          <w:lang w:val="en-US"/>
        </w:rPr>
        <w:t xml:space="preserve"> (1) E</w:t>
      </w:r>
      <w:r w:rsidRPr="00B03DD3">
        <w:rPr>
          <w:rFonts w:eastAsia="Times New Roman"/>
          <w:noProof/>
          <w:lang w:val="en-US"/>
        </w:rPr>
        <w:t>conomic impacts, such as competitiveness, particularly for SMEs and the European economy as a whole</w:t>
      </w:r>
      <w:r>
        <w:rPr>
          <w:rFonts w:eastAsia="Times New Roman"/>
          <w:noProof/>
          <w:lang w:val="en-US"/>
        </w:rPr>
        <w:t xml:space="preserve">, as well as cost and benefits for the beneficiaries of the funding; (2) </w:t>
      </w:r>
      <w:r w:rsidRPr="00B03DD3">
        <w:rPr>
          <w:rFonts w:eastAsia="Times New Roman"/>
          <w:noProof/>
          <w:lang w:val="en-US"/>
        </w:rPr>
        <w:t>Social impacts, including employment, territorial cohesion, skills development, health, and resilience</w:t>
      </w:r>
      <w:r>
        <w:rPr>
          <w:rFonts w:eastAsia="Times New Roman"/>
          <w:noProof/>
          <w:lang w:val="en-US"/>
        </w:rPr>
        <w:t xml:space="preserve">; (3) </w:t>
      </w:r>
      <w:r w:rsidRPr="00B03DD3">
        <w:rPr>
          <w:rFonts w:eastAsia="Times New Roman"/>
          <w:noProof/>
          <w:lang w:val="en-US"/>
        </w:rPr>
        <w:t>Environmental impacts, such as climate, biodiversity, circularity, and energy, with a focus on decarbonization efforts</w:t>
      </w:r>
      <w:r w:rsidRPr="006E6237">
        <w:rPr>
          <w:rFonts w:eastAsia="Times New Roman"/>
          <w:noProof/>
          <w:lang w:val="en-US"/>
        </w:rPr>
        <w:t>.</w:t>
      </w:r>
      <w:r w:rsidR="00BB6330" w:rsidRPr="006E6237">
        <w:rPr>
          <w:noProof/>
        </w:rPr>
        <w:t xml:space="preserve"> </w:t>
      </w:r>
    </w:p>
    <w:p w14:paraId="386F323B" w14:textId="3E0BADE2" w:rsidR="00FC3D58" w:rsidRPr="002904EB" w:rsidRDefault="1245CC37" w:rsidP="002904EB">
      <w:pPr>
        <w:pStyle w:val="Heading2"/>
        <w:numPr>
          <w:ilvl w:val="1"/>
          <w:numId w:val="19"/>
        </w:numPr>
        <w:tabs>
          <w:tab w:val="clear" w:pos="1200"/>
          <w:tab w:val="num" w:pos="10217"/>
        </w:tabs>
        <w:ind w:left="833"/>
        <w:rPr>
          <w:noProof/>
          <w:lang w:val="en-IE"/>
        </w:rPr>
      </w:pPr>
      <w:bookmarkStart w:id="218" w:name="_Toc203043649"/>
      <w:r w:rsidRPr="77BB537C">
        <w:rPr>
          <w:noProof/>
          <w:lang w:val="en-IE"/>
        </w:rPr>
        <w:t>Baseline scenario</w:t>
      </w:r>
      <w:bookmarkEnd w:id="217"/>
      <w:bookmarkEnd w:id="218"/>
    </w:p>
    <w:p w14:paraId="6403C467" w14:textId="38FC0BEF" w:rsidR="00FC3D58" w:rsidRPr="009913E0" w:rsidRDefault="290BD47B" w:rsidP="008C51EB">
      <w:pPr>
        <w:pStyle w:val="Heading3"/>
        <w:numPr>
          <w:ilvl w:val="2"/>
          <w:numId w:val="21"/>
        </w:numPr>
        <w:spacing w:before="120" w:after="120"/>
        <w:rPr>
          <w:noProof/>
          <w:lang w:val="en-IE"/>
        </w:rPr>
      </w:pPr>
      <w:bookmarkStart w:id="219" w:name="_Toc195700212"/>
      <w:r w:rsidRPr="00B03DD3">
        <w:rPr>
          <w:noProof/>
          <w:lang w:val="en-IE"/>
        </w:rPr>
        <w:t xml:space="preserve">Economic </w:t>
      </w:r>
      <w:r w:rsidRPr="009913E0">
        <w:rPr>
          <w:noProof/>
          <w:lang w:val="en-IE"/>
        </w:rPr>
        <w:t>Impact</w:t>
      </w:r>
      <w:bookmarkEnd w:id="219"/>
    </w:p>
    <w:p w14:paraId="7F928F29" w14:textId="77777777" w:rsidR="00FC3D58" w:rsidRPr="0030098A" w:rsidRDefault="770A4B85" w:rsidP="00603157">
      <w:pPr>
        <w:rPr>
          <w:b/>
          <w:noProof/>
          <w:lang w:val="en-IE"/>
        </w:rPr>
      </w:pPr>
      <w:r w:rsidRPr="2A1AD167">
        <w:rPr>
          <w:b/>
          <w:bCs/>
          <w:noProof/>
          <w:lang w:val="en-IE"/>
        </w:rPr>
        <w:t>Macro-economic impact</w:t>
      </w:r>
    </w:p>
    <w:p w14:paraId="348B1FBE" w14:textId="17DC79DD" w:rsidR="00FC3D58" w:rsidRPr="0030098A" w:rsidRDefault="6829B617" w:rsidP="00603157">
      <w:pPr>
        <w:rPr>
          <w:noProof/>
          <w:lang w:val="en-IE"/>
        </w:rPr>
      </w:pPr>
      <w:r w:rsidRPr="2A1AD167">
        <w:rPr>
          <w:noProof/>
          <w:lang w:val="en-IE"/>
        </w:rPr>
        <w:t xml:space="preserve">Macro-economic impact is captured in a fragmented manner adding from each programme separately. For example, </w:t>
      </w:r>
      <w:r w:rsidR="3BDF3AF9">
        <w:rPr>
          <w:noProof/>
          <w:lang w:val="en-IE"/>
        </w:rPr>
        <w:t>the</w:t>
      </w:r>
      <w:r w:rsidR="70D47B67">
        <w:rPr>
          <w:noProof/>
          <w:lang w:val="en-IE"/>
        </w:rPr>
        <w:t xml:space="preserve"> InvestEU programme would continue </w:t>
      </w:r>
      <w:r w:rsidR="24011DAB">
        <w:rPr>
          <w:noProof/>
          <w:lang w:val="en-IE"/>
        </w:rPr>
        <w:t>increas</w:t>
      </w:r>
      <w:r w:rsidR="00096D5C">
        <w:rPr>
          <w:noProof/>
          <w:lang w:val="en-IE"/>
        </w:rPr>
        <w:t>ing</w:t>
      </w:r>
      <w:r w:rsidR="70D47B67">
        <w:rPr>
          <w:noProof/>
          <w:lang w:val="en-IE"/>
        </w:rPr>
        <w:t xml:space="preserve"> EU’s GDP (by 0.1% in 2023</w:t>
      </w:r>
      <w:r w:rsidR="260058E0" w:rsidRPr="01161804">
        <w:rPr>
          <w:noProof/>
          <w:lang w:val="en-IE"/>
        </w:rPr>
        <w:t xml:space="preserve"> – the contribution to GDP growth is expected to be higher in the following </w:t>
      </w:r>
      <w:r w:rsidR="6F25C055" w:rsidRPr="01161804">
        <w:rPr>
          <w:noProof/>
          <w:lang w:val="en-IE"/>
        </w:rPr>
        <w:t>years due to the</w:t>
      </w:r>
      <w:r w:rsidR="260058E0" w:rsidRPr="01161804">
        <w:rPr>
          <w:noProof/>
          <w:lang w:val="en-IE"/>
        </w:rPr>
        <w:t xml:space="preserve"> </w:t>
      </w:r>
      <w:r w:rsidR="6F25C055" w:rsidRPr="01161804">
        <w:rPr>
          <w:noProof/>
          <w:lang w:val="en-IE"/>
        </w:rPr>
        <w:t>programme deployment</w:t>
      </w:r>
      <w:r w:rsidR="70D47B67">
        <w:rPr>
          <w:noProof/>
          <w:lang w:val="en-IE"/>
        </w:rPr>
        <w:t>)</w:t>
      </w:r>
      <w:r w:rsidR="32CE1F91" w:rsidRPr="01161804">
        <w:rPr>
          <w:noProof/>
          <w:lang w:val="en-IE"/>
        </w:rPr>
        <w:t xml:space="preserve"> by mobili</w:t>
      </w:r>
      <w:r w:rsidR="39CB0EC8" w:rsidRPr="01161804">
        <w:rPr>
          <w:noProof/>
          <w:lang w:val="en-IE"/>
        </w:rPr>
        <w:t>s</w:t>
      </w:r>
      <w:r w:rsidR="32CE1F91" w:rsidRPr="01161804">
        <w:rPr>
          <w:noProof/>
          <w:lang w:val="en-IE"/>
        </w:rPr>
        <w:t>ing more than EUR 372 billion of public and private investment through an EU budget guarantee of EUR 26.2 billion</w:t>
      </w:r>
      <w:r w:rsidR="2CF7A7C3" w:rsidRPr="01161804">
        <w:rPr>
          <w:noProof/>
          <w:lang w:val="en-IE"/>
        </w:rPr>
        <w:t>.</w:t>
      </w:r>
      <w:r w:rsidR="00AC7CC0">
        <w:rPr>
          <w:rStyle w:val="FootnoteReference"/>
          <w:noProof/>
          <w:lang w:val="en-IE"/>
        </w:rPr>
        <w:footnoteReference w:id="146"/>
      </w:r>
      <w:r w:rsidR="58A37834" w:rsidRPr="01161804">
        <w:rPr>
          <w:noProof/>
          <w:lang w:val="en-IE"/>
        </w:rPr>
        <w:t xml:space="preserve"> InvestEU budgetary guarantee mobilised so far around EUR 200 billion of private investments (multiplier of 14,8)</w:t>
      </w:r>
      <w:r w:rsidR="3612CB17" w:rsidRPr="01161804">
        <w:rPr>
          <w:noProof/>
          <w:lang w:val="en-IE"/>
        </w:rPr>
        <w:t>,</w:t>
      </w:r>
      <w:r w:rsidR="33F3AC1B" w:rsidRPr="01161804">
        <w:rPr>
          <w:noProof/>
          <w:vertAlign w:val="superscript"/>
          <w:lang w:val="en-IE"/>
        </w:rPr>
        <w:t xml:space="preserve"> </w:t>
      </w:r>
      <w:r w:rsidR="00DF0C2E" w:rsidRPr="49EC672F">
        <w:rPr>
          <w:noProof/>
          <w:vertAlign w:val="superscript"/>
          <w:lang w:val="en-IE"/>
        </w:rPr>
        <w:footnoteReference w:id="147"/>
      </w:r>
      <w:r w:rsidR="70D47B67" w:rsidRPr="01161804">
        <w:rPr>
          <w:noProof/>
          <w:lang w:val="en-IE"/>
        </w:rPr>
        <w:t xml:space="preserve"> </w:t>
      </w:r>
      <w:r w:rsidR="20AF5558" w:rsidRPr="49EC672F" w:rsidDel="24011DAB">
        <w:rPr>
          <w:noProof/>
          <w:lang w:val="en-IE"/>
        </w:rPr>
        <w:t xml:space="preserve">supporting </w:t>
      </w:r>
      <w:r w:rsidR="001B1409">
        <w:rPr>
          <w:noProof/>
          <w:lang w:val="en-IE"/>
        </w:rPr>
        <w:t xml:space="preserve">so far </w:t>
      </w:r>
      <w:r w:rsidR="20AF5558" w:rsidRPr="49EC672F" w:rsidDel="24011DAB">
        <w:rPr>
          <w:noProof/>
          <w:lang w:val="en-IE"/>
        </w:rPr>
        <w:t xml:space="preserve">over </w:t>
      </w:r>
      <w:r w:rsidR="20AF5558" w:rsidDel="47A61D13">
        <w:rPr>
          <w:noProof/>
        </w:rPr>
        <w:t>55,000 SMEs and small midcaps, as well as a significant number of midsized companies, larger corporates and stand-alone projects</w:t>
      </w:r>
      <w:r w:rsidR="20AF5558" w:rsidDel="20FCBE8C">
        <w:rPr>
          <w:noProof/>
        </w:rPr>
        <w:t>.</w:t>
      </w:r>
      <w:r w:rsidR="70D47B67">
        <w:rPr>
          <w:noProof/>
          <w:lang w:val="en-IE"/>
        </w:rPr>
        <w:t xml:space="preserve"> R&amp;I funding through Horizon Europe is expected to increase</w:t>
      </w:r>
      <w:r w:rsidR="70D47B67" w:rsidRPr="00370BC6">
        <w:rPr>
          <w:noProof/>
          <w:lang w:val="en-IE"/>
        </w:rPr>
        <w:t xml:space="preserve"> EU GDP </w:t>
      </w:r>
      <w:r w:rsidR="70D47B67">
        <w:rPr>
          <w:noProof/>
          <w:lang w:val="en-IE"/>
        </w:rPr>
        <w:t>by</w:t>
      </w:r>
      <w:r w:rsidR="70D47B67" w:rsidRPr="00370BC6">
        <w:rPr>
          <w:noProof/>
          <w:lang w:val="en-IE"/>
        </w:rPr>
        <w:t xml:space="preserve"> EUR 30</w:t>
      </w:r>
      <w:r w:rsidR="70D47B67">
        <w:rPr>
          <w:noProof/>
          <w:lang w:val="en-IE"/>
        </w:rPr>
        <w:t>-</w:t>
      </w:r>
      <w:r w:rsidR="70D47B67" w:rsidRPr="00370BC6">
        <w:rPr>
          <w:noProof/>
          <w:lang w:val="en-IE"/>
        </w:rPr>
        <w:t>40 billion per year over 25 years</w:t>
      </w:r>
      <w:r w:rsidR="70D47B67">
        <w:rPr>
          <w:noProof/>
          <w:lang w:val="en-IE"/>
        </w:rPr>
        <w:t>. This amounts to</w:t>
      </w:r>
      <w:r w:rsidR="70D47B67" w:rsidRPr="00370BC6">
        <w:rPr>
          <w:noProof/>
          <w:lang w:val="en-IE"/>
        </w:rPr>
        <w:t xml:space="preserve"> EUR 800 billion to EUR 975 billion </w:t>
      </w:r>
      <w:r w:rsidR="70D47B67">
        <w:rPr>
          <w:noProof/>
          <w:lang w:val="en-IE"/>
        </w:rPr>
        <w:t xml:space="preserve">overall. </w:t>
      </w:r>
      <w:r w:rsidR="6F695BF7" w:rsidRPr="01161804">
        <w:rPr>
          <w:noProof/>
          <w:lang w:val="en-IE"/>
        </w:rPr>
        <w:t xml:space="preserve">Between 2021 and 2024, </w:t>
      </w:r>
      <w:r w:rsidR="7FA775A5" w:rsidRPr="00BB184A">
        <w:rPr>
          <w:noProof/>
        </w:rPr>
        <w:t>10</w:t>
      </w:r>
      <w:r w:rsidR="7FA775A5">
        <w:rPr>
          <w:noProof/>
        </w:rPr>
        <w:t xml:space="preserve"> 077 SMEs were funded by </w:t>
      </w:r>
      <w:r w:rsidR="006A7A24">
        <w:rPr>
          <w:noProof/>
        </w:rPr>
        <w:t>Horizon Europe</w:t>
      </w:r>
      <w:r w:rsidR="7FA775A5">
        <w:rPr>
          <w:noProof/>
        </w:rPr>
        <w:t xml:space="preserve">, </w:t>
      </w:r>
      <w:r w:rsidR="15A3DC94">
        <w:rPr>
          <w:noProof/>
        </w:rPr>
        <w:t>for overall EUR 7.4 billion in grants</w:t>
      </w:r>
      <w:r w:rsidR="7A9DE92E">
        <w:rPr>
          <w:noProof/>
        </w:rPr>
        <w:t xml:space="preserve">; </w:t>
      </w:r>
      <w:r w:rsidR="36281DD4">
        <w:rPr>
          <w:noProof/>
        </w:rPr>
        <w:t>a further EUR 1.7 billion in equity investments were approved by the EIC Fund</w:t>
      </w:r>
      <w:r w:rsidR="68622824" w:rsidRPr="01161804">
        <w:rPr>
          <w:noProof/>
          <w:lang w:val="en-IE"/>
        </w:rPr>
        <w:t>.</w:t>
      </w:r>
      <w:r w:rsidR="003B497E">
        <w:rPr>
          <w:rStyle w:val="FootnoteReference"/>
          <w:noProof/>
          <w:lang w:val="en-IE"/>
        </w:rPr>
        <w:footnoteReference w:id="148"/>
      </w:r>
      <w:r w:rsidR="68622824" w:rsidRPr="01161804">
        <w:rPr>
          <w:noProof/>
          <w:lang w:val="en-IE"/>
        </w:rPr>
        <w:t xml:space="preserve"> </w:t>
      </w:r>
    </w:p>
    <w:p w14:paraId="584D7BA3" w14:textId="77777777" w:rsidR="00FC3D58" w:rsidRPr="0030098A" w:rsidRDefault="00FC3D58" w:rsidP="00603157">
      <w:pPr>
        <w:rPr>
          <w:b/>
          <w:noProof/>
          <w:lang w:val="en-IE"/>
        </w:rPr>
      </w:pPr>
      <w:r w:rsidRPr="0030098A">
        <w:rPr>
          <w:b/>
          <w:noProof/>
          <w:lang w:val="en-IE"/>
        </w:rPr>
        <w:t xml:space="preserve">Benefits and costs for relevant beneficiaries </w:t>
      </w:r>
    </w:p>
    <w:p w14:paraId="2F8CFE39" w14:textId="2CDA7A6C" w:rsidR="00FC3D58" w:rsidRDefault="7FBECE79" w:rsidP="00603157">
      <w:pPr>
        <w:rPr>
          <w:noProof/>
          <w:lang w:val="en-IE"/>
        </w:rPr>
      </w:pPr>
      <w:r>
        <w:rPr>
          <w:noProof/>
          <w:lang w:val="en-IE"/>
        </w:rPr>
        <w:t>T</w:t>
      </w:r>
      <w:r w:rsidRPr="0030098A">
        <w:rPr>
          <w:noProof/>
          <w:lang w:val="en-IE"/>
        </w:rPr>
        <w:t xml:space="preserve">he baseline scenario would bring </w:t>
      </w:r>
      <w:r>
        <w:rPr>
          <w:noProof/>
          <w:lang w:val="en-IE"/>
        </w:rPr>
        <w:t>continuity,</w:t>
      </w:r>
      <w:r w:rsidRPr="0030098A">
        <w:rPr>
          <w:noProof/>
          <w:lang w:val="en-IE"/>
        </w:rPr>
        <w:t xml:space="preserve"> predictability and certainty to</w:t>
      </w:r>
      <w:r w:rsidRPr="24E63932">
        <w:rPr>
          <w:noProof/>
          <w:lang w:val="en-IE"/>
        </w:rPr>
        <w:t xml:space="preserve"> </w:t>
      </w:r>
      <w:r w:rsidR="1B3FEE47" w:rsidRPr="2A1AD167">
        <w:rPr>
          <w:noProof/>
          <w:lang w:val="en-IE"/>
        </w:rPr>
        <w:t>stakeholders currently benefitting from EU funding</w:t>
      </w:r>
      <w:r w:rsidRPr="0030098A">
        <w:rPr>
          <w:noProof/>
          <w:lang w:val="en-IE"/>
        </w:rPr>
        <w:t>, as they are already accustomed to the existing processes and governance structures</w:t>
      </w:r>
      <w:r w:rsidR="1E96C05E" w:rsidRPr="0030098A">
        <w:rPr>
          <w:noProof/>
          <w:lang w:val="en-IE"/>
        </w:rPr>
        <w:t xml:space="preserve"> including</w:t>
      </w:r>
      <w:r w:rsidRPr="0030098A">
        <w:rPr>
          <w:noProof/>
          <w:lang w:val="en-IE"/>
        </w:rPr>
        <w:t xml:space="preserve"> </w:t>
      </w:r>
      <w:r w:rsidR="073BCB3D" w:rsidRPr="163C40DF">
        <w:rPr>
          <w:noProof/>
          <w:lang w:val="en-IE"/>
        </w:rPr>
        <w:t>b</w:t>
      </w:r>
      <w:r w:rsidRPr="00B03DD3">
        <w:rPr>
          <w:noProof/>
          <w:lang w:val="en-IE"/>
        </w:rPr>
        <w:t>usinesses</w:t>
      </w:r>
      <w:r w:rsidR="61CA95CD" w:rsidRPr="2A1AD167">
        <w:rPr>
          <w:noProof/>
          <w:lang w:val="en-IE"/>
        </w:rPr>
        <w:t xml:space="preserve"> </w:t>
      </w:r>
      <w:r w:rsidR="00FC3D58">
        <w:rPr>
          <w:rStyle w:val="FootnoteReference"/>
          <w:noProof/>
          <w:lang w:val="en-IE"/>
        </w:rPr>
        <w:footnoteReference w:id="149"/>
      </w:r>
      <w:r w:rsidRPr="0030098A">
        <w:rPr>
          <w:noProof/>
          <w:lang w:val="en-IE"/>
        </w:rPr>
        <w:t xml:space="preserve">. </w:t>
      </w:r>
      <w:r w:rsidR="196CDCFF">
        <w:rPr>
          <w:noProof/>
          <w:lang w:val="en-IE"/>
        </w:rPr>
        <w:t>P</w:t>
      </w:r>
      <w:r w:rsidRPr="00B03DD3">
        <w:rPr>
          <w:noProof/>
          <w:lang w:val="en-IE"/>
        </w:rPr>
        <w:t>rivate and public financial entities</w:t>
      </w:r>
      <w:r w:rsidRPr="0030098A">
        <w:rPr>
          <w:noProof/>
          <w:lang w:val="en-IE"/>
        </w:rPr>
        <w:t xml:space="preserve"> (including implementing partners of EU budgetary guarantee) would benefit from the continuity and predictability, support</w:t>
      </w:r>
      <w:r>
        <w:rPr>
          <w:noProof/>
          <w:lang w:val="en-IE"/>
        </w:rPr>
        <w:t>ing</w:t>
      </w:r>
      <w:r w:rsidRPr="0030098A">
        <w:rPr>
          <w:noProof/>
          <w:lang w:val="en-IE"/>
        </w:rPr>
        <w:t xml:space="preserve"> long-term planning and</w:t>
      </w:r>
      <w:r w:rsidR="1279CD0C" w:rsidRPr="2A1AD167">
        <w:rPr>
          <w:noProof/>
          <w:lang w:val="en-IE"/>
        </w:rPr>
        <w:t xml:space="preserve"> </w:t>
      </w:r>
      <w:r w:rsidR="61CA95CD" w:rsidRPr="2A1AD167">
        <w:rPr>
          <w:noProof/>
          <w:lang w:val="en-IE"/>
        </w:rPr>
        <w:t xml:space="preserve">alignment </w:t>
      </w:r>
      <w:r w:rsidRPr="0030098A">
        <w:rPr>
          <w:noProof/>
          <w:lang w:val="en-IE"/>
        </w:rPr>
        <w:t xml:space="preserve">with </w:t>
      </w:r>
      <w:r w:rsidR="52FF48D8" w:rsidRPr="0030098A">
        <w:rPr>
          <w:noProof/>
          <w:lang w:val="en-IE"/>
        </w:rPr>
        <w:t>own operating systems</w:t>
      </w:r>
      <w:r w:rsidRPr="0030098A">
        <w:rPr>
          <w:noProof/>
          <w:lang w:val="en-IE"/>
        </w:rPr>
        <w:t xml:space="preserve">. </w:t>
      </w:r>
    </w:p>
    <w:p w14:paraId="0B9729F4" w14:textId="10F6EFC6" w:rsidR="00FC3D58" w:rsidRPr="0030098A" w:rsidRDefault="770A4B85" w:rsidP="00603157">
      <w:pPr>
        <w:rPr>
          <w:noProof/>
          <w:lang w:val="en-IE"/>
        </w:rPr>
      </w:pPr>
      <w:r>
        <w:rPr>
          <w:noProof/>
          <w:lang w:val="en-IE"/>
        </w:rPr>
        <w:t>Individual programmes</w:t>
      </w:r>
      <w:r w:rsidR="001B5677">
        <w:rPr>
          <w:noProof/>
          <w:lang w:val="en-IE"/>
        </w:rPr>
        <w:t>’ investments</w:t>
      </w:r>
      <w:r>
        <w:rPr>
          <w:noProof/>
          <w:lang w:val="en-IE"/>
        </w:rPr>
        <w:t xml:space="preserve"> </w:t>
      </w:r>
      <w:r w:rsidR="155BD945" w:rsidRPr="2A1AD167">
        <w:rPr>
          <w:noProof/>
          <w:lang w:val="en-IE"/>
        </w:rPr>
        <w:t>may</w:t>
      </w:r>
      <w:r>
        <w:rPr>
          <w:noProof/>
          <w:lang w:val="en-IE"/>
        </w:rPr>
        <w:t xml:space="preserve"> continue to </w:t>
      </w:r>
      <w:r w:rsidR="001B5677">
        <w:rPr>
          <w:noProof/>
          <w:lang w:val="en-IE"/>
        </w:rPr>
        <w:t xml:space="preserve">create </w:t>
      </w:r>
      <w:r>
        <w:rPr>
          <w:noProof/>
          <w:lang w:val="en-IE"/>
        </w:rPr>
        <w:t xml:space="preserve">economic </w:t>
      </w:r>
      <w:r w:rsidR="00E202E6">
        <w:rPr>
          <w:noProof/>
          <w:lang w:val="en-IE"/>
        </w:rPr>
        <w:t xml:space="preserve">and environmental </w:t>
      </w:r>
      <w:r>
        <w:rPr>
          <w:noProof/>
          <w:lang w:val="en-IE"/>
        </w:rPr>
        <w:t>benefits</w:t>
      </w:r>
      <w:r w:rsidR="330004A9">
        <w:rPr>
          <w:noProof/>
          <w:lang w:val="en-IE"/>
        </w:rPr>
        <w:t xml:space="preserve"> thanks to EU funding</w:t>
      </w:r>
      <w:r>
        <w:rPr>
          <w:noProof/>
          <w:lang w:val="en-IE"/>
        </w:rPr>
        <w:t>.</w:t>
      </w:r>
      <w:r w:rsidR="378EA70F">
        <w:rPr>
          <w:noProof/>
          <w:lang w:val="en-IE"/>
        </w:rPr>
        <w:t xml:space="preserve"> </w:t>
      </w:r>
    </w:p>
    <w:p w14:paraId="41311FFA" w14:textId="61649D99" w:rsidR="00FC3D58" w:rsidRPr="0030098A" w:rsidRDefault="7B0A2746" w:rsidP="00603157">
      <w:pPr>
        <w:rPr>
          <w:noProof/>
        </w:rPr>
      </w:pPr>
      <w:r w:rsidRPr="6472FDEA">
        <w:rPr>
          <w:b/>
          <w:bCs/>
          <w:noProof/>
        </w:rPr>
        <w:t xml:space="preserve">Administrative costs linked to the application </w:t>
      </w:r>
      <w:r w:rsidR="37817985" w:rsidRPr="6472FDEA">
        <w:rPr>
          <w:b/>
          <w:bCs/>
          <w:noProof/>
        </w:rPr>
        <w:t xml:space="preserve">preparation </w:t>
      </w:r>
      <w:r w:rsidRPr="13403F9F">
        <w:rPr>
          <w:noProof/>
        </w:rPr>
        <w:t xml:space="preserve">would </w:t>
      </w:r>
      <w:r w:rsidR="21FE2726" w:rsidRPr="13403F9F">
        <w:rPr>
          <w:noProof/>
        </w:rPr>
        <w:t>remain high and procedures complex</w:t>
      </w:r>
      <w:r w:rsidRPr="13403F9F">
        <w:rPr>
          <w:noProof/>
        </w:rPr>
        <w:t xml:space="preserve"> for </w:t>
      </w:r>
      <w:r w:rsidRPr="13403F9F">
        <w:rPr>
          <w:noProof/>
          <w:u w:val="single"/>
        </w:rPr>
        <w:t>all stakeholders</w:t>
      </w:r>
      <w:r w:rsidRPr="13403F9F">
        <w:rPr>
          <w:noProof/>
        </w:rPr>
        <w:t>, as the program</w:t>
      </w:r>
      <w:r w:rsidR="0197254A" w:rsidRPr="13403F9F">
        <w:rPr>
          <w:noProof/>
        </w:rPr>
        <w:t>me</w:t>
      </w:r>
      <w:r w:rsidRPr="13403F9F">
        <w:rPr>
          <w:noProof/>
        </w:rPr>
        <w:t xml:space="preserve">s would continue in their current form. </w:t>
      </w:r>
      <w:r w:rsidR="0197254A" w:rsidRPr="13403F9F">
        <w:rPr>
          <w:noProof/>
        </w:rPr>
        <w:t>B</w:t>
      </w:r>
      <w:r w:rsidRPr="13403F9F">
        <w:rPr>
          <w:noProof/>
        </w:rPr>
        <w:t xml:space="preserve">eneficiaries would continue to face significant administrative </w:t>
      </w:r>
      <w:r w:rsidR="00195B62" w:rsidRPr="13403F9F">
        <w:rPr>
          <w:noProof/>
        </w:rPr>
        <w:t>costs measured in terms of Time to prepare a proposal and Time to grant (TTG) a proposal (number of days between the call deadline and the signing of the grant agreement)</w:t>
      </w:r>
      <w:r w:rsidR="00195B62" w:rsidRPr="13403F9F">
        <w:rPr>
          <w:rStyle w:val="FootnoteReference"/>
          <w:noProof/>
        </w:rPr>
        <w:footnoteReference w:id="150"/>
      </w:r>
      <w:r w:rsidRPr="13403F9F">
        <w:rPr>
          <w:noProof/>
        </w:rPr>
        <w:t xml:space="preserve">, which </w:t>
      </w:r>
      <w:r w:rsidR="00195B62" w:rsidRPr="13403F9F">
        <w:rPr>
          <w:noProof/>
        </w:rPr>
        <w:t xml:space="preserve">altogether </w:t>
      </w:r>
      <w:r w:rsidRPr="13403F9F">
        <w:rPr>
          <w:noProof/>
        </w:rPr>
        <w:t xml:space="preserve">could amount up to 7% of the total fund size. </w:t>
      </w:r>
      <w:r w:rsidR="791C9986" w:rsidRPr="13403F9F">
        <w:rPr>
          <w:noProof/>
        </w:rPr>
        <w:t xml:space="preserve">For applicants, the average cost of a proposal </w:t>
      </w:r>
      <w:r w:rsidR="42FFC086" w:rsidRPr="13403F9F">
        <w:rPr>
          <w:noProof/>
        </w:rPr>
        <w:t>can vary</w:t>
      </w:r>
      <w:r w:rsidR="31994D2F" w:rsidRPr="13403F9F">
        <w:rPr>
          <w:noProof/>
        </w:rPr>
        <w:t xml:space="preserve"> between EUR 5000 and EUR</w:t>
      </w:r>
      <w:r w:rsidR="788BC796" w:rsidRPr="13403F9F">
        <w:rPr>
          <w:noProof/>
        </w:rPr>
        <w:t xml:space="preserve"> 32</w:t>
      </w:r>
      <w:r w:rsidR="31994D2F" w:rsidRPr="13403F9F">
        <w:rPr>
          <w:noProof/>
        </w:rPr>
        <w:t>,000</w:t>
      </w:r>
      <w:r w:rsidR="67D34A33" w:rsidRPr="13403F9F">
        <w:rPr>
          <w:noProof/>
        </w:rPr>
        <w:t xml:space="preserve">. </w:t>
      </w:r>
      <w:r w:rsidR="30EE35F4" w:rsidRPr="13403F9F">
        <w:rPr>
          <w:noProof/>
        </w:rPr>
        <w:t xml:space="preserve">For  multi-beneficiary projects, </w:t>
      </w:r>
      <w:r w:rsidR="07404BDF" w:rsidRPr="13403F9F">
        <w:rPr>
          <w:noProof/>
        </w:rPr>
        <w:t xml:space="preserve"> consortium coordinators</w:t>
      </w:r>
      <w:r w:rsidR="5CE366B4">
        <w:rPr>
          <w:noProof/>
        </w:rPr>
        <w:t xml:space="preserve"> </w:t>
      </w:r>
      <w:r w:rsidR="484038CB">
        <w:rPr>
          <w:noProof/>
        </w:rPr>
        <w:t>dedicate</w:t>
      </w:r>
      <w:r w:rsidR="07404BDF" w:rsidRPr="13403F9F">
        <w:rPr>
          <w:noProof/>
        </w:rPr>
        <w:t xml:space="preserve"> </w:t>
      </w:r>
      <w:r w:rsidR="1B45CAE7">
        <w:rPr>
          <w:noProof/>
        </w:rPr>
        <w:t xml:space="preserve">between </w:t>
      </w:r>
      <w:r w:rsidR="07404BDF" w:rsidRPr="13403F9F">
        <w:rPr>
          <w:noProof/>
        </w:rPr>
        <w:t>36-45</w:t>
      </w:r>
      <w:r w:rsidR="2A8539E8" w:rsidRPr="13403F9F">
        <w:rPr>
          <w:noProof/>
        </w:rPr>
        <w:t xml:space="preserve"> person</w:t>
      </w:r>
      <w:r w:rsidR="07404BDF" w:rsidRPr="13403F9F">
        <w:rPr>
          <w:noProof/>
        </w:rPr>
        <w:t xml:space="preserve"> </w:t>
      </w:r>
      <w:r w:rsidR="2A8539E8" w:rsidRPr="13403F9F">
        <w:rPr>
          <w:noProof/>
        </w:rPr>
        <w:t>days</w:t>
      </w:r>
      <w:r w:rsidR="545801DE">
        <w:rPr>
          <w:noProof/>
        </w:rPr>
        <w:t xml:space="preserve"> to prepare a proposal</w:t>
      </w:r>
      <w:r w:rsidR="13F365E2">
        <w:rPr>
          <w:noProof/>
        </w:rPr>
        <w:t>,</w:t>
      </w:r>
      <w:r w:rsidR="3E008A65" w:rsidRPr="13403F9F">
        <w:rPr>
          <w:noProof/>
        </w:rPr>
        <w:t xml:space="preserve"> </w:t>
      </w:r>
      <w:r w:rsidR="1DF92C06">
        <w:rPr>
          <w:noProof/>
        </w:rPr>
        <w:t>while</w:t>
      </w:r>
      <w:r w:rsidR="3E008A65" w:rsidRPr="13403F9F">
        <w:rPr>
          <w:noProof/>
        </w:rPr>
        <w:t xml:space="preserve"> </w:t>
      </w:r>
      <w:r w:rsidR="07404BDF" w:rsidRPr="13403F9F">
        <w:rPr>
          <w:noProof/>
        </w:rPr>
        <w:t>contributing</w:t>
      </w:r>
      <w:r w:rsidR="2A8539E8" w:rsidRPr="13403F9F">
        <w:rPr>
          <w:noProof/>
        </w:rPr>
        <w:t xml:space="preserve"> consortium partners</w:t>
      </w:r>
      <w:r w:rsidR="07404BDF" w:rsidRPr="13403F9F">
        <w:rPr>
          <w:noProof/>
        </w:rPr>
        <w:t xml:space="preserve"> </w:t>
      </w:r>
      <w:r w:rsidR="000C302C">
        <w:rPr>
          <w:noProof/>
        </w:rPr>
        <w:t>spend</w:t>
      </w:r>
      <w:r w:rsidR="2FA5F6D1">
        <w:rPr>
          <w:noProof/>
        </w:rPr>
        <w:t xml:space="preserve"> between </w:t>
      </w:r>
      <w:r w:rsidR="07404BDF" w:rsidRPr="13403F9F">
        <w:rPr>
          <w:noProof/>
        </w:rPr>
        <w:t>16</w:t>
      </w:r>
      <w:r w:rsidR="2E054D08">
        <w:rPr>
          <w:noProof/>
        </w:rPr>
        <w:t xml:space="preserve"> and </w:t>
      </w:r>
      <w:r w:rsidR="07404BDF" w:rsidRPr="13403F9F">
        <w:rPr>
          <w:noProof/>
        </w:rPr>
        <w:t>25 person days</w:t>
      </w:r>
      <w:r w:rsidR="250F2024" w:rsidRPr="13403F9F">
        <w:rPr>
          <w:noProof/>
        </w:rPr>
        <w:t>.</w:t>
      </w:r>
      <w:r w:rsidR="2A8539E8" w:rsidRPr="00C260E1">
        <w:rPr>
          <w:noProof/>
          <w:lang w:val="en-IE"/>
        </w:rPr>
        <w:t xml:space="preserve"> </w:t>
      </w:r>
      <w:r w:rsidR="25F7374E" w:rsidRPr="13403F9F">
        <w:rPr>
          <w:noProof/>
        </w:rPr>
        <w:t xml:space="preserve">The time-to-inform </w:t>
      </w:r>
      <w:r w:rsidR="04A3ECF3" w:rsidRPr="13403F9F">
        <w:rPr>
          <w:noProof/>
        </w:rPr>
        <w:t>(the duration between closure of a call and formal communication of the outcome to applicants</w:t>
      </w:r>
      <w:r w:rsidR="783229F2" w:rsidRPr="13403F9F">
        <w:rPr>
          <w:noProof/>
        </w:rPr>
        <w:t>, “TTI”</w:t>
      </w:r>
      <w:r w:rsidR="04A3ECF3" w:rsidRPr="13403F9F">
        <w:rPr>
          <w:noProof/>
        </w:rPr>
        <w:t xml:space="preserve">) </w:t>
      </w:r>
      <w:r w:rsidR="4A2C940C" w:rsidRPr="13403F9F">
        <w:rPr>
          <w:noProof/>
        </w:rPr>
        <w:t>lies between 86 and 1</w:t>
      </w:r>
      <w:r w:rsidR="00064132" w:rsidRPr="13403F9F">
        <w:rPr>
          <w:noProof/>
        </w:rPr>
        <w:t>30</w:t>
      </w:r>
      <w:r w:rsidR="4A2C940C" w:rsidRPr="13403F9F">
        <w:rPr>
          <w:noProof/>
        </w:rPr>
        <w:t xml:space="preserve"> days</w:t>
      </w:r>
      <w:r w:rsidR="22A5D83E" w:rsidRPr="13403F9F">
        <w:rPr>
          <w:noProof/>
        </w:rPr>
        <w:t>, while t</w:t>
      </w:r>
      <w:r w:rsidR="5B32AEA9" w:rsidRPr="13403F9F">
        <w:rPr>
          <w:noProof/>
        </w:rPr>
        <w:t>ime-to-grant (</w:t>
      </w:r>
      <w:r w:rsidR="61AEADC8" w:rsidRPr="13403F9F">
        <w:rPr>
          <w:noProof/>
        </w:rPr>
        <w:t>the duration between call outcome and the signing of the grant agreement</w:t>
      </w:r>
      <w:r w:rsidR="783229F2" w:rsidRPr="13403F9F">
        <w:rPr>
          <w:noProof/>
        </w:rPr>
        <w:t>, “TTG”</w:t>
      </w:r>
      <w:r w:rsidR="61AEADC8" w:rsidRPr="13403F9F">
        <w:rPr>
          <w:noProof/>
        </w:rPr>
        <w:t>) can be as high as 3</w:t>
      </w:r>
      <w:r w:rsidR="00BD6AB2" w:rsidRPr="13403F9F">
        <w:rPr>
          <w:noProof/>
        </w:rPr>
        <w:t>13</w:t>
      </w:r>
      <w:r w:rsidR="61AEADC8" w:rsidRPr="13403F9F">
        <w:rPr>
          <w:noProof/>
        </w:rPr>
        <w:t xml:space="preserve"> days</w:t>
      </w:r>
      <w:r w:rsidR="5C0854FB" w:rsidRPr="13403F9F">
        <w:rPr>
          <w:noProof/>
        </w:rPr>
        <w:t xml:space="preserve"> (</w:t>
      </w:r>
      <w:r w:rsidR="5BF6060C" w:rsidRPr="13403F9F">
        <w:rPr>
          <w:noProof/>
        </w:rPr>
        <w:t>240 days, on average)</w:t>
      </w:r>
      <w:r w:rsidR="61AEADC8" w:rsidRPr="13403F9F">
        <w:rPr>
          <w:noProof/>
        </w:rPr>
        <w:t>,</w:t>
      </w:r>
      <w:r w:rsidR="61AEADC8" w:rsidRPr="13403F9F">
        <w:rPr>
          <w:rStyle w:val="FootnoteReference"/>
          <w:noProof/>
        </w:rPr>
        <w:t xml:space="preserve"> </w:t>
      </w:r>
      <w:r w:rsidR="001345C6" w:rsidRPr="13403F9F">
        <w:rPr>
          <w:rStyle w:val="FootnoteReference"/>
          <w:noProof/>
        </w:rPr>
        <w:footnoteReference w:id="151"/>
      </w:r>
      <w:r w:rsidR="61AEADC8" w:rsidRPr="13403F9F">
        <w:rPr>
          <w:noProof/>
        </w:rPr>
        <w:t xml:space="preserve"> </w:t>
      </w:r>
      <w:r w:rsidR="4A2C940C" w:rsidRPr="13403F9F">
        <w:rPr>
          <w:noProof/>
        </w:rPr>
        <w:t xml:space="preserve">which </w:t>
      </w:r>
      <w:r w:rsidR="34E893F6" w:rsidRPr="13403F9F">
        <w:rPr>
          <w:noProof/>
        </w:rPr>
        <w:t>translates</w:t>
      </w:r>
      <w:r w:rsidR="5BF6060C" w:rsidRPr="13403F9F">
        <w:rPr>
          <w:noProof/>
        </w:rPr>
        <w:t xml:space="preserve"> not only into high administrative but also</w:t>
      </w:r>
      <w:r w:rsidR="34E893F6" w:rsidRPr="13403F9F">
        <w:rPr>
          <w:noProof/>
        </w:rPr>
        <w:t xml:space="preserve"> high opportunity cost</w:t>
      </w:r>
      <w:r w:rsidR="5BF6060C" w:rsidRPr="13403F9F">
        <w:rPr>
          <w:noProof/>
        </w:rPr>
        <w:t>s</w:t>
      </w:r>
      <w:r w:rsidR="34E893F6" w:rsidRPr="13403F9F">
        <w:rPr>
          <w:noProof/>
        </w:rPr>
        <w:t xml:space="preserve"> for applicants</w:t>
      </w:r>
      <w:r w:rsidR="758A7082" w:rsidRPr="13403F9F">
        <w:rPr>
          <w:noProof/>
        </w:rPr>
        <w:t xml:space="preserve"> </w:t>
      </w:r>
      <w:r w:rsidR="1FB45F89" w:rsidRPr="13403F9F">
        <w:rPr>
          <w:noProof/>
        </w:rPr>
        <w:t xml:space="preserve">(see Annex </w:t>
      </w:r>
      <w:r w:rsidR="00D246C7">
        <w:rPr>
          <w:noProof/>
        </w:rPr>
        <w:t>9</w:t>
      </w:r>
      <w:r w:rsidR="1FB45F89" w:rsidRPr="13403F9F">
        <w:rPr>
          <w:noProof/>
        </w:rPr>
        <w:t xml:space="preserve"> for </w:t>
      </w:r>
      <w:r w:rsidR="1C98829D" w:rsidRPr="13403F9F">
        <w:rPr>
          <w:noProof/>
        </w:rPr>
        <w:t>a breakdown of TTI and TTG per programme).</w:t>
      </w:r>
      <w:r w:rsidR="4A2C940C" w:rsidRPr="13403F9F">
        <w:rPr>
          <w:noProof/>
        </w:rPr>
        <w:t xml:space="preserve"> </w:t>
      </w:r>
      <w:r w:rsidR="0DC25E58" w:rsidRPr="13403F9F">
        <w:rPr>
          <w:noProof/>
        </w:rPr>
        <w:t>Success rate</w:t>
      </w:r>
      <w:r w:rsidR="00AA7A3D" w:rsidRPr="13403F9F">
        <w:rPr>
          <w:rStyle w:val="FootnoteReference"/>
          <w:noProof/>
        </w:rPr>
        <w:footnoteReference w:id="152"/>
      </w:r>
      <w:r w:rsidR="14091352" w:rsidRPr="13403F9F">
        <w:rPr>
          <w:noProof/>
        </w:rPr>
        <w:t xml:space="preserve"> (the percentage of proposals retained for funding out of the total number of eligible proposals) </w:t>
      </w:r>
      <w:r w:rsidR="65892839" w:rsidRPr="13403F9F">
        <w:rPr>
          <w:noProof/>
        </w:rPr>
        <w:t xml:space="preserve">which is </w:t>
      </w:r>
      <w:r w:rsidR="02B36BB2" w:rsidRPr="13403F9F">
        <w:rPr>
          <w:noProof/>
        </w:rPr>
        <w:t>relevant</w:t>
      </w:r>
      <w:r w:rsidR="65892839" w:rsidRPr="13403F9F">
        <w:rPr>
          <w:noProof/>
        </w:rPr>
        <w:t xml:space="preserve"> for the </w:t>
      </w:r>
      <w:r w:rsidR="5C608197" w:rsidRPr="13403F9F">
        <w:rPr>
          <w:noProof/>
        </w:rPr>
        <w:t xml:space="preserve">applicants in so far as it </w:t>
      </w:r>
      <w:r w:rsidR="08DFA384" w:rsidRPr="13403F9F">
        <w:rPr>
          <w:noProof/>
        </w:rPr>
        <w:t xml:space="preserve">reflects </w:t>
      </w:r>
      <w:r w:rsidR="02B36BB2" w:rsidRPr="13403F9F">
        <w:rPr>
          <w:noProof/>
        </w:rPr>
        <w:t>the</w:t>
      </w:r>
      <w:r w:rsidR="08DFA384" w:rsidRPr="13403F9F">
        <w:rPr>
          <w:noProof/>
        </w:rPr>
        <w:t xml:space="preserve"> likelihood of obtaining funding in a given programme</w:t>
      </w:r>
      <w:r w:rsidR="4CD78A7C" w:rsidRPr="13403F9F">
        <w:rPr>
          <w:noProof/>
        </w:rPr>
        <w:t xml:space="preserve">, </w:t>
      </w:r>
      <w:r w:rsidR="08DFA384" w:rsidRPr="13403F9F">
        <w:rPr>
          <w:noProof/>
        </w:rPr>
        <w:t>wou</w:t>
      </w:r>
      <w:r w:rsidR="02B36BB2" w:rsidRPr="13403F9F">
        <w:rPr>
          <w:noProof/>
        </w:rPr>
        <w:t xml:space="preserve">ld likely </w:t>
      </w:r>
      <w:r w:rsidR="454900E7" w:rsidRPr="13403F9F">
        <w:rPr>
          <w:noProof/>
        </w:rPr>
        <w:t>remain in the range of 1</w:t>
      </w:r>
      <w:r w:rsidR="007A318B" w:rsidRPr="13403F9F">
        <w:rPr>
          <w:noProof/>
        </w:rPr>
        <w:t>2</w:t>
      </w:r>
      <w:r w:rsidR="454900E7" w:rsidRPr="13403F9F">
        <w:rPr>
          <w:noProof/>
        </w:rPr>
        <w:t>% - 7</w:t>
      </w:r>
      <w:r w:rsidR="007A318B" w:rsidRPr="13403F9F">
        <w:rPr>
          <w:noProof/>
        </w:rPr>
        <w:t>8</w:t>
      </w:r>
      <w:r w:rsidR="454900E7" w:rsidRPr="13403F9F">
        <w:rPr>
          <w:noProof/>
        </w:rPr>
        <w:t xml:space="preserve">% </w:t>
      </w:r>
      <w:r w:rsidR="4CD78A7C" w:rsidRPr="13403F9F">
        <w:rPr>
          <w:noProof/>
        </w:rPr>
        <w:t xml:space="preserve">depending on the programme </w:t>
      </w:r>
      <w:r w:rsidR="454900E7" w:rsidRPr="13403F9F">
        <w:rPr>
          <w:noProof/>
        </w:rPr>
        <w:t xml:space="preserve">(see Annex </w:t>
      </w:r>
      <w:r w:rsidR="5D9B7564" w:rsidRPr="13403F9F">
        <w:rPr>
          <w:noProof/>
        </w:rPr>
        <w:t>8</w:t>
      </w:r>
      <w:r w:rsidR="31F29B76" w:rsidRPr="13403F9F">
        <w:rPr>
          <w:noProof/>
        </w:rPr>
        <w:t xml:space="preserve"> </w:t>
      </w:r>
      <w:r w:rsidR="18B5E6BF" w:rsidRPr="13403F9F">
        <w:rPr>
          <w:noProof/>
        </w:rPr>
        <w:t>for more details).</w:t>
      </w:r>
      <w:r w:rsidR="02B36BB2" w:rsidRPr="13403F9F">
        <w:rPr>
          <w:noProof/>
        </w:rPr>
        <w:t xml:space="preserve"> </w:t>
      </w:r>
      <w:r w:rsidRPr="13403F9F">
        <w:rPr>
          <w:noProof/>
        </w:rPr>
        <w:t xml:space="preserve">Fragmentation in rules would persist, potentially deterring certain stakeholders (e.g. SMEs) from applying for EU </w:t>
      </w:r>
      <w:r w:rsidR="2783AA2B" w:rsidRPr="13403F9F">
        <w:rPr>
          <w:noProof/>
        </w:rPr>
        <w:t>funds and</w:t>
      </w:r>
      <w:r w:rsidRPr="13403F9F">
        <w:rPr>
          <w:noProof/>
        </w:rPr>
        <w:t xml:space="preserve"> hindering the EU public administration’s ability to achieve economies of scale from a more streamlined evaluation process.</w:t>
      </w:r>
    </w:p>
    <w:p w14:paraId="14A4855A" w14:textId="1B6BF012" w:rsidR="00FC3D58" w:rsidRDefault="001016C0" w:rsidP="00603157">
      <w:pPr>
        <w:rPr>
          <w:noProof/>
        </w:rPr>
      </w:pPr>
      <w:r>
        <w:rPr>
          <w:noProof/>
          <w:u w:val="single"/>
        </w:rPr>
        <w:t>S</w:t>
      </w:r>
      <w:r w:rsidR="00FC3D58" w:rsidRPr="6528A515">
        <w:rPr>
          <w:noProof/>
          <w:u w:val="single"/>
        </w:rPr>
        <w:t>takeholders</w:t>
      </w:r>
      <w:r w:rsidR="00FC3D58" w:rsidRPr="6528A515">
        <w:rPr>
          <w:noProof/>
        </w:rPr>
        <w:t xml:space="preserve"> could also be affected due to </w:t>
      </w:r>
      <w:r w:rsidR="00FC3D58" w:rsidRPr="6528A515">
        <w:rPr>
          <w:b/>
          <w:noProof/>
        </w:rPr>
        <w:t>limited</w:t>
      </w:r>
      <w:r w:rsidR="00FC3D58" w:rsidRPr="6528A515">
        <w:rPr>
          <w:noProof/>
        </w:rPr>
        <w:t xml:space="preserve"> </w:t>
      </w:r>
      <w:r w:rsidR="00FC3D58" w:rsidRPr="6528A515">
        <w:rPr>
          <w:b/>
          <w:noProof/>
        </w:rPr>
        <w:t>flexibility across funds</w:t>
      </w:r>
      <w:r w:rsidR="00FC3D58" w:rsidRPr="6528A515">
        <w:rPr>
          <w:noProof/>
        </w:rPr>
        <w:t>.</w:t>
      </w:r>
    </w:p>
    <w:p w14:paraId="3D9E4073" w14:textId="76C479AF" w:rsidR="00FC3D58" w:rsidRPr="00C260E1" w:rsidRDefault="120EBE67" w:rsidP="00603157">
      <w:pPr>
        <w:rPr>
          <w:noProof/>
        </w:rPr>
      </w:pPr>
      <w:r>
        <w:rPr>
          <w:noProof/>
        </w:rPr>
        <w:t xml:space="preserve">Although the current rules allow for some transfer of funds between programmes, this process is cumbersome and limited. It restricts the ability to adapt to new priorities or respond to unexpected events, as seen with the introduction of the European Chips Act. Some flexibility is available within individual funds, but overall, the </w:t>
      </w:r>
      <w:r w:rsidRPr="00C260E1">
        <w:rPr>
          <w:noProof/>
        </w:rPr>
        <w:t>framework hinders significant transfers between programmes</w:t>
      </w:r>
      <w:r w:rsidRPr="00C260E1" w:rsidDel="00F55F26">
        <w:rPr>
          <w:noProof/>
        </w:rPr>
        <w:t>.</w:t>
      </w:r>
      <w:r w:rsidR="00FC3D58" w:rsidRPr="00C260E1">
        <w:rPr>
          <w:rStyle w:val="FootnoteReference"/>
          <w:noProof/>
        </w:rPr>
        <w:footnoteReference w:id="153"/>
      </w:r>
    </w:p>
    <w:p w14:paraId="7B1B4F2B" w14:textId="16E59EEF" w:rsidR="00FC3D58" w:rsidRPr="00C260E1" w:rsidRDefault="1511AFB0" w:rsidP="00603157">
      <w:pPr>
        <w:rPr>
          <w:noProof/>
          <w:lang w:val="en-IE"/>
        </w:rPr>
      </w:pPr>
      <w:r w:rsidRPr="00C260E1">
        <w:rPr>
          <w:noProof/>
          <w:lang w:val="en-IE"/>
        </w:rPr>
        <w:t>In the baseline scenario, SMEs, start-ups, and scale-ups would continue to benefit from current programmes, with</w:t>
      </w:r>
      <w:r w:rsidR="3269B34C" w:rsidRPr="00C260E1">
        <w:rPr>
          <w:noProof/>
          <w:lang w:val="en-IE"/>
        </w:rPr>
        <w:t>, for example,</w:t>
      </w:r>
      <w:r w:rsidRPr="00C260E1">
        <w:rPr>
          <w:noProof/>
          <w:lang w:val="en-IE"/>
        </w:rPr>
        <w:t xml:space="preserve"> over 10,000 individual SMEs participating in Horizon Europe</w:t>
      </w:r>
      <w:r w:rsidR="68A13167" w:rsidRPr="00C260E1">
        <w:rPr>
          <w:noProof/>
          <w:lang w:val="en-IE"/>
        </w:rPr>
        <w:t xml:space="preserve"> </w:t>
      </w:r>
      <w:r w:rsidR="41F04512" w:rsidRPr="00C260E1">
        <w:rPr>
          <w:noProof/>
          <w:lang w:val="en-IE"/>
        </w:rPr>
        <w:t xml:space="preserve">between 2021 and 2024, </w:t>
      </w:r>
      <w:r w:rsidR="68A13167" w:rsidRPr="00C260E1">
        <w:rPr>
          <w:noProof/>
          <w:lang w:val="en-IE"/>
        </w:rPr>
        <w:t xml:space="preserve">and </w:t>
      </w:r>
      <w:r w:rsidR="6A7045E5" w:rsidRPr="00C260E1">
        <w:rPr>
          <w:noProof/>
          <w:lang w:val="en-IE"/>
        </w:rPr>
        <w:t xml:space="preserve">1,800 SMEs in </w:t>
      </w:r>
      <w:r w:rsidR="4E8ACF46" w:rsidRPr="00C260E1">
        <w:rPr>
          <w:noProof/>
          <w:lang w:val="en-IE"/>
        </w:rPr>
        <w:t>ESA and EU projects through the European Space programme</w:t>
      </w:r>
      <w:r w:rsidR="0F62758B" w:rsidRPr="00C260E1">
        <w:rPr>
          <w:noProof/>
          <w:lang w:val="en-IE"/>
        </w:rPr>
        <w:t xml:space="preserve">, which </w:t>
      </w:r>
      <w:r w:rsidR="00F6531E" w:rsidRPr="00C260E1">
        <w:rPr>
          <w:noProof/>
          <w:lang w:val="en-IE"/>
        </w:rPr>
        <w:t xml:space="preserve">is expected to </w:t>
      </w:r>
      <w:r w:rsidR="0F62758B" w:rsidRPr="00C260E1">
        <w:rPr>
          <w:noProof/>
          <w:lang w:val="en-IE"/>
        </w:rPr>
        <w:t>generate up to 8,000 jobs through the GOVSATCOM initiative</w:t>
      </w:r>
      <w:r w:rsidR="00D96693" w:rsidRPr="00C260E1">
        <w:rPr>
          <w:rStyle w:val="FootnoteReference"/>
          <w:noProof/>
          <w:lang w:val="en-IE"/>
        </w:rPr>
        <w:footnoteReference w:id="154"/>
      </w:r>
      <w:r w:rsidRPr="00C260E1">
        <w:rPr>
          <w:noProof/>
          <w:lang w:val="en-IE"/>
        </w:rPr>
        <w:t>.</w:t>
      </w:r>
      <w:r w:rsidR="13D83012" w:rsidRPr="00C260E1">
        <w:rPr>
          <w:noProof/>
          <w:lang w:val="en-IE"/>
        </w:rPr>
        <w:t xml:space="preserve"> </w:t>
      </w:r>
      <w:r w:rsidR="18CA48A8" w:rsidRPr="00C260E1">
        <w:rPr>
          <w:noProof/>
          <w:lang w:val="en-IE"/>
        </w:rPr>
        <w:t xml:space="preserve">InvestEU will </w:t>
      </w:r>
      <w:r w:rsidR="5F9CDE77" w:rsidRPr="00C260E1">
        <w:rPr>
          <w:noProof/>
          <w:lang w:val="en-IE"/>
        </w:rPr>
        <w:t>be expected to support</w:t>
      </w:r>
      <w:r w:rsidR="7B8DF278" w:rsidRPr="00C260E1">
        <w:rPr>
          <w:noProof/>
          <w:lang w:val="en-IE"/>
        </w:rPr>
        <w:t xml:space="preserve"> </w:t>
      </w:r>
      <w:r w:rsidR="2CFC8E71" w:rsidRPr="00C260E1">
        <w:rPr>
          <w:noProof/>
          <w:lang w:val="en-IE"/>
        </w:rPr>
        <w:t>over 1 million SMEs</w:t>
      </w:r>
      <w:r w:rsidR="18CA48A8" w:rsidRPr="00C260E1">
        <w:rPr>
          <w:noProof/>
        </w:rPr>
        <w:t xml:space="preserve"> </w:t>
      </w:r>
      <w:r w:rsidR="16C932CA" w:rsidRPr="00C260E1">
        <w:rPr>
          <w:rStyle w:val="FootnoteReference"/>
          <w:noProof/>
        </w:rPr>
        <w:footnoteReference w:id="155"/>
      </w:r>
      <w:r w:rsidR="18CA48A8" w:rsidRPr="00C260E1">
        <w:rPr>
          <w:noProof/>
        </w:rPr>
        <w:t>and small midcaps, as well as a significant number of midsized companies, larger corporates and stand-alone projects</w:t>
      </w:r>
      <w:r w:rsidR="16C932CA" w:rsidRPr="00C260E1">
        <w:rPr>
          <w:noProof/>
          <w:vertAlign w:val="superscript"/>
          <w:lang w:val="en-IE"/>
        </w:rPr>
        <w:footnoteReference w:id="156"/>
      </w:r>
      <w:r w:rsidR="56847A47" w:rsidRPr="00C260E1">
        <w:rPr>
          <w:noProof/>
          <w:lang w:val="en-IE"/>
        </w:rPr>
        <w:t>. T</w:t>
      </w:r>
      <w:r w:rsidR="13D83012" w:rsidRPr="00C260E1">
        <w:rPr>
          <w:noProof/>
          <w:lang w:val="en-IE"/>
        </w:rPr>
        <w:t xml:space="preserve">he SME Pillar of the SMP </w:t>
      </w:r>
      <w:r w:rsidR="09A08D8C" w:rsidRPr="00C260E1">
        <w:rPr>
          <w:noProof/>
          <w:lang w:val="en-IE"/>
        </w:rPr>
        <w:t>would continue to</w:t>
      </w:r>
      <w:r w:rsidR="13D83012" w:rsidRPr="00C260E1">
        <w:rPr>
          <w:noProof/>
          <w:lang w:val="en-IE"/>
        </w:rPr>
        <w:t xml:space="preserve"> support a wide range of initiatives, </w:t>
      </w:r>
      <w:r w:rsidR="43CB3646" w:rsidRPr="00C260E1">
        <w:rPr>
          <w:noProof/>
          <w:lang w:val="en-IE"/>
        </w:rPr>
        <w:t xml:space="preserve">having </w:t>
      </w:r>
      <w:r w:rsidR="20A40513" w:rsidRPr="00C260E1">
        <w:rPr>
          <w:noProof/>
          <w:lang w:val="en-IE"/>
        </w:rPr>
        <w:t xml:space="preserve">already </w:t>
      </w:r>
      <w:r w:rsidR="43CB3646" w:rsidRPr="00C260E1">
        <w:rPr>
          <w:noProof/>
          <w:lang w:val="en-IE"/>
        </w:rPr>
        <w:t xml:space="preserve">assisted 292,000 SMEs </w:t>
      </w:r>
      <w:r w:rsidR="3F913926" w:rsidRPr="00C260E1">
        <w:rPr>
          <w:noProof/>
          <w:lang w:val="en-IE"/>
        </w:rPr>
        <w:t>through the E</w:t>
      </w:r>
      <w:r w:rsidR="6CC57402" w:rsidRPr="00C260E1">
        <w:rPr>
          <w:noProof/>
          <w:lang w:val="en-IE"/>
        </w:rPr>
        <w:t xml:space="preserve">uropean Enterprise </w:t>
      </w:r>
      <w:r w:rsidR="3F913926" w:rsidRPr="00C260E1">
        <w:rPr>
          <w:noProof/>
          <w:lang w:val="en-IE"/>
        </w:rPr>
        <w:t>N</w:t>
      </w:r>
      <w:r w:rsidR="6CC57402" w:rsidRPr="00C260E1">
        <w:rPr>
          <w:noProof/>
          <w:lang w:val="en-IE"/>
        </w:rPr>
        <w:t>etwork</w:t>
      </w:r>
      <w:r w:rsidR="3F913926" w:rsidRPr="00C260E1">
        <w:rPr>
          <w:noProof/>
          <w:lang w:val="en-IE"/>
        </w:rPr>
        <w:t>.</w:t>
      </w:r>
    </w:p>
    <w:p w14:paraId="17BAD956" w14:textId="576B2CAA" w:rsidR="00FC3D58" w:rsidRPr="0030098A" w:rsidRDefault="7FBEE070" w:rsidP="00603157">
      <w:pPr>
        <w:spacing w:before="0" w:after="0"/>
        <w:rPr>
          <w:noProof/>
          <w:lang w:val="en-IE"/>
        </w:rPr>
      </w:pPr>
      <w:r w:rsidRPr="00C260E1">
        <w:rPr>
          <w:noProof/>
          <w:lang w:val="en-IE"/>
        </w:rPr>
        <w:t>Finally, the baseline scenario also implies to continue with 14 programmes with different forms of financial support (such as grants</w:t>
      </w:r>
      <w:r w:rsidR="00951A45" w:rsidRPr="00C260E1">
        <w:rPr>
          <w:noProof/>
          <w:lang w:val="en-IE"/>
        </w:rPr>
        <w:t xml:space="preserve">, </w:t>
      </w:r>
      <w:r w:rsidR="00E67DD6" w:rsidRPr="00C260E1">
        <w:rPr>
          <w:noProof/>
          <w:lang w:val="en-IE"/>
        </w:rPr>
        <w:t>budgetary</w:t>
      </w:r>
      <w:r w:rsidRPr="00C260E1">
        <w:rPr>
          <w:noProof/>
          <w:lang w:val="en-IE"/>
        </w:rPr>
        <w:t xml:space="preserve"> guarantees, </w:t>
      </w:r>
      <w:r w:rsidR="00606FD7" w:rsidRPr="00C260E1">
        <w:rPr>
          <w:noProof/>
          <w:lang w:val="en-IE"/>
        </w:rPr>
        <w:t xml:space="preserve">financial instruments, </w:t>
      </w:r>
      <w:r w:rsidR="00815E9D" w:rsidRPr="00C260E1">
        <w:rPr>
          <w:noProof/>
          <w:lang w:val="en-IE"/>
        </w:rPr>
        <w:t>including equity</w:t>
      </w:r>
      <w:r w:rsidR="00606FD7" w:rsidRPr="00C260E1">
        <w:rPr>
          <w:noProof/>
          <w:lang w:val="en-IE"/>
        </w:rPr>
        <w:t xml:space="preserve">, </w:t>
      </w:r>
      <w:r w:rsidRPr="00C260E1">
        <w:rPr>
          <w:noProof/>
          <w:lang w:val="en-IE"/>
        </w:rPr>
        <w:t>public procurement), but with rules</w:t>
      </w:r>
      <w:r w:rsidR="3135C842" w:rsidRPr="00C260E1">
        <w:rPr>
          <w:noProof/>
          <w:lang w:val="en-IE"/>
        </w:rPr>
        <w:t>, timelines</w:t>
      </w:r>
      <w:r w:rsidRPr="00C260E1">
        <w:rPr>
          <w:noProof/>
          <w:lang w:val="en-IE"/>
        </w:rPr>
        <w:t xml:space="preserve"> and governance designed to meet each programme’s objectives. This allows to provide targeted support</w:t>
      </w:r>
      <w:r w:rsidRPr="2A1AD167">
        <w:rPr>
          <w:noProof/>
          <w:lang w:val="en-IE"/>
        </w:rPr>
        <w:t xml:space="preserve"> to different stakeholders, sectors, and parts of the investment journey (e.g. research and deployment). However, </w:t>
      </w:r>
      <w:r w:rsidR="007D4386">
        <w:rPr>
          <w:noProof/>
          <w:lang w:val="en-IE"/>
        </w:rPr>
        <w:t>it also means stakeholders do not benefit from the full range of instruments available in the EU budget (i.e to benefit from a different funding instrument, they need to go through a separate application procedure</w:t>
      </w:r>
      <w:r w:rsidR="73738F60" w:rsidRPr="0F8F53A4">
        <w:rPr>
          <w:noProof/>
          <w:lang w:val="en-IE"/>
        </w:rPr>
        <w:t xml:space="preserve">, and blending of different instruments for one project </w:t>
      </w:r>
      <w:r w:rsidR="73738F60" w:rsidRPr="32E3916D">
        <w:rPr>
          <w:noProof/>
          <w:lang w:val="en-IE"/>
        </w:rPr>
        <w:t>can be complex</w:t>
      </w:r>
      <w:r w:rsidR="007D4386">
        <w:rPr>
          <w:noProof/>
          <w:lang w:val="en-IE"/>
        </w:rPr>
        <w:t xml:space="preserve">), and funding instruments used are sometimes not sufficiently tailored to the needs of the project </w:t>
      </w:r>
      <w:r w:rsidR="00020FFE">
        <w:rPr>
          <w:noProof/>
          <w:lang w:val="en-IE"/>
        </w:rPr>
        <w:t>(i.e use of grant, when a guarantee or a loan may have been more efficient</w:t>
      </w:r>
      <w:r w:rsidR="74AD4302" w:rsidRPr="02B25B2C">
        <w:rPr>
          <w:noProof/>
          <w:lang w:val="en-IE"/>
        </w:rPr>
        <w:t xml:space="preserve"> – and also </w:t>
      </w:r>
      <w:r w:rsidR="74AD4302" w:rsidRPr="4F0FA7A1">
        <w:rPr>
          <w:noProof/>
          <w:lang w:val="en-IE"/>
        </w:rPr>
        <w:t>could</w:t>
      </w:r>
      <w:r w:rsidR="74AD4302" w:rsidRPr="02B25B2C">
        <w:rPr>
          <w:noProof/>
          <w:lang w:val="en-IE"/>
        </w:rPr>
        <w:t xml:space="preserve"> have </w:t>
      </w:r>
      <w:r w:rsidR="74AD4302" w:rsidRPr="4F0FA7A1">
        <w:rPr>
          <w:noProof/>
          <w:lang w:val="en-IE"/>
        </w:rPr>
        <w:t>meant</w:t>
      </w:r>
      <w:r w:rsidR="74AD4302" w:rsidRPr="02B25B2C">
        <w:rPr>
          <w:noProof/>
          <w:lang w:val="en-IE"/>
        </w:rPr>
        <w:t xml:space="preserve"> a better use of the EU budget</w:t>
      </w:r>
      <w:r w:rsidR="00020FFE" w:rsidRPr="02B25B2C">
        <w:rPr>
          <w:noProof/>
          <w:lang w:val="en-IE"/>
        </w:rPr>
        <w:t>)</w:t>
      </w:r>
      <w:r w:rsidR="007D4386" w:rsidRPr="02B25B2C">
        <w:rPr>
          <w:noProof/>
          <w:lang w:val="en-IE"/>
        </w:rPr>
        <w:t>.</w:t>
      </w:r>
      <w:r w:rsidR="007D4386">
        <w:rPr>
          <w:noProof/>
          <w:lang w:val="en-IE"/>
        </w:rPr>
        <w:t xml:space="preserve"> </w:t>
      </w:r>
      <w:r w:rsidR="00020FFE">
        <w:rPr>
          <w:noProof/>
          <w:lang w:val="en-IE"/>
        </w:rPr>
        <w:t>This</w:t>
      </w:r>
      <w:r w:rsidR="00020FFE" w:rsidRPr="2A1AD167">
        <w:rPr>
          <w:noProof/>
          <w:lang w:val="en-IE"/>
        </w:rPr>
        <w:t xml:space="preserve"> </w:t>
      </w:r>
      <w:r w:rsidRPr="2A1AD167">
        <w:rPr>
          <w:noProof/>
          <w:lang w:val="en-IE"/>
        </w:rPr>
        <w:t xml:space="preserve">inherently restricts the ability to provide a coherent strategy for addressing Europe’s competitiveness challenges </w:t>
      </w:r>
      <w:r w:rsidR="272EAD1A" w:rsidRPr="2A1AD167">
        <w:rPr>
          <w:noProof/>
          <w:lang w:val="en-IE"/>
        </w:rPr>
        <w:t>effectively and</w:t>
      </w:r>
      <w:r w:rsidR="7076E548" w:rsidRPr="2A1AD167">
        <w:rPr>
          <w:noProof/>
          <w:lang w:val="en-IE"/>
        </w:rPr>
        <w:t xml:space="preserve"> may lead to funding gaps</w:t>
      </w:r>
      <w:r w:rsidR="38A0238E" w:rsidRPr="2A1AD167">
        <w:rPr>
          <w:noProof/>
          <w:lang w:val="en-IE"/>
        </w:rPr>
        <w:t xml:space="preserve"> and overlaps</w:t>
      </w:r>
      <w:r w:rsidRPr="2A1AD167">
        <w:rPr>
          <w:noProof/>
          <w:lang w:val="en-IE"/>
        </w:rPr>
        <w:t xml:space="preserve">. </w:t>
      </w:r>
      <w:r w:rsidR="38A0238E" w:rsidRPr="2A1AD167">
        <w:rPr>
          <w:noProof/>
          <w:lang w:val="en-IE"/>
        </w:rPr>
        <w:t xml:space="preserve">It also means the funding landscape is complicated to navigate for stakeholders, notably smaller entities who are unsure of which funding opportunities they can benefit from. </w:t>
      </w:r>
      <w:r w:rsidR="4E05B421" w:rsidRPr="006074B8">
        <w:rPr>
          <w:noProof/>
          <w:lang w:val="en-IE"/>
        </w:rPr>
        <w:t>Last but not least</w:t>
      </w:r>
      <w:r w:rsidR="03031168" w:rsidRPr="006074B8">
        <w:rPr>
          <w:noProof/>
          <w:lang w:val="en-IE"/>
        </w:rPr>
        <w:t xml:space="preserve">, </w:t>
      </w:r>
      <w:r w:rsidR="013A1015" w:rsidRPr="006074B8">
        <w:rPr>
          <w:noProof/>
          <w:lang w:val="en-IE"/>
        </w:rPr>
        <w:t>eligibility requirements</w:t>
      </w:r>
      <w:r w:rsidR="19257992" w:rsidRPr="006074B8">
        <w:rPr>
          <w:noProof/>
          <w:lang w:val="en-IE"/>
        </w:rPr>
        <w:t xml:space="preserve"> </w:t>
      </w:r>
      <w:r w:rsidR="007D4386">
        <w:rPr>
          <w:noProof/>
          <w:lang w:val="en-IE"/>
        </w:rPr>
        <w:t>are sometimes</w:t>
      </w:r>
      <w:r w:rsidR="013A1015" w:rsidRPr="006074B8">
        <w:rPr>
          <w:noProof/>
          <w:lang w:val="en-IE"/>
        </w:rPr>
        <w:t xml:space="preserve"> </w:t>
      </w:r>
      <w:r w:rsidR="7B6FE21F" w:rsidRPr="006074B8">
        <w:rPr>
          <w:noProof/>
          <w:lang w:val="en-IE"/>
        </w:rPr>
        <w:t>so</w:t>
      </w:r>
      <w:r w:rsidR="013A1015" w:rsidRPr="006074B8">
        <w:rPr>
          <w:noProof/>
          <w:lang w:val="en-IE"/>
        </w:rPr>
        <w:t xml:space="preserve"> specific, </w:t>
      </w:r>
      <w:r w:rsidR="1184A3B8" w:rsidRPr="006074B8">
        <w:rPr>
          <w:noProof/>
          <w:lang w:val="en-IE"/>
        </w:rPr>
        <w:t>that it</w:t>
      </w:r>
      <w:r w:rsidR="013A1015" w:rsidRPr="006074B8">
        <w:rPr>
          <w:noProof/>
          <w:lang w:val="en-IE"/>
        </w:rPr>
        <w:t xml:space="preserve"> </w:t>
      </w:r>
      <w:r w:rsidR="6BE38B31" w:rsidRPr="006074B8">
        <w:rPr>
          <w:noProof/>
          <w:lang w:val="en-IE"/>
        </w:rPr>
        <w:t xml:space="preserve">creates additional issues for participants, as they </w:t>
      </w:r>
      <w:r w:rsidR="5F111416" w:rsidRPr="006074B8">
        <w:rPr>
          <w:noProof/>
          <w:lang w:val="en-IE"/>
        </w:rPr>
        <w:t>need more time to form the right consortia</w:t>
      </w:r>
      <w:r w:rsidR="63892E47" w:rsidRPr="006074B8">
        <w:rPr>
          <w:noProof/>
          <w:lang w:val="en-IE"/>
        </w:rPr>
        <w:t>.</w:t>
      </w:r>
      <w:r w:rsidR="00005A83" w:rsidRPr="006074B8">
        <w:rPr>
          <w:rStyle w:val="FootnoteReference"/>
          <w:noProof/>
          <w:lang w:val="en-IE"/>
        </w:rPr>
        <w:footnoteReference w:id="157"/>
      </w:r>
    </w:p>
    <w:p w14:paraId="39CF6CF5" w14:textId="77777777" w:rsidR="00FC3D58" w:rsidRPr="0030098A" w:rsidRDefault="00FC3D58" w:rsidP="00603157">
      <w:pPr>
        <w:rPr>
          <w:b/>
          <w:noProof/>
          <w:lang w:val="en-IE"/>
        </w:rPr>
      </w:pPr>
      <w:r>
        <w:rPr>
          <w:b/>
          <w:noProof/>
          <w:lang w:val="en-IE"/>
        </w:rPr>
        <w:t>Market impacts</w:t>
      </w:r>
    </w:p>
    <w:p w14:paraId="712F1743" w14:textId="01978628" w:rsidR="00FC3D58" w:rsidRPr="00AC6145" w:rsidRDefault="770A4B85" w:rsidP="00603157">
      <w:pPr>
        <w:rPr>
          <w:noProof/>
          <w:lang w:val="en-IE"/>
        </w:rPr>
      </w:pPr>
      <w:r w:rsidRPr="2A1AD167">
        <w:rPr>
          <w:noProof/>
          <w:lang w:val="en-IE"/>
        </w:rPr>
        <w:t>Without support, SMEs in key sectors would struggle to scale up or enter new markets due to financial constraints, leading to dependence on foreign suppliers, higher prices, and stagnant market shares. Large companies would struggle to fund high-risk, high-reward projects</w:t>
      </w:r>
      <w:r w:rsidR="4617FA7B" w:rsidRPr="2A1AD167">
        <w:rPr>
          <w:noProof/>
          <w:lang w:val="en-IE"/>
        </w:rPr>
        <w:t>, including in research and manufacturing stages</w:t>
      </w:r>
      <w:r w:rsidRPr="2A1AD167">
        <w:rPr>
          <w:noProof/>
          <w:lang w:val="en-IE"/>
        </w:rPr>
        <w:t>.</w:t>
      </w:r>
    </w:p>
    <w:p w14:paraId="369C47DF" w14:textId="561800BE" w:rsidR="00FC3D58" w:rsidRPr="00AC6145" w:rsidRDefault="7FBEE070" w:rsidP="00603157">
      <w:pPr>
        <w:rPr>
          <w:noProof/>
          <w:lang w:val="en-IE"/>
        </w:rPr>
      </w:pPr>
      <w:r w:rsidRPr="2A1AD167">
        <w:rPr>
          <w:noProof/>
          <w:lang w:val="en-IE"/>
        </w:rPr>
        <w:t xml:space="preserve">In contrast, the current targeted support would effectively </w:t>
      </w:r>
      <w:r w:rsidR="7AD33096" w:rsidRPr="2A1AD167">
        <w:rPr>
          <w:noProof/>
          <w:lang w:val="en-IE"/>
        </w:rPr>
        <w:t xml:space="preserve">support the </w:t>
      </w:r>
      <w:r w:rsidR="4A00FB1C" w:rsidRPr="2A1AD167">
        <w:rPr>
          <w:noProof/>
          <w:lang w:val="en-IE"/>
        </w:rPr>
        <w:t>existing</w:t>
      </w:r>
      <w:r w:rsidR="7AD33096" w:rsidRPr="2A1AD167">
        <w:rPr>
          <w:noProof/>
          <w:lang w:val="en-IE"/>
        </w:rPr>
        <w:t xml:space="preserve"> pool of stakeholders </w:t>
      </w:r>
      <w:r w:rsidRPr="2A1AD167">
        <w:rPr>
          <w:noProof/>
          <w:lang w:val="en-IE"/>
        </w:rPr>
        <w:t xml:space="preserve">who would not need to adapt to new funding rules </w:t>
      </w:r>
      <w:r w:rsidR="00FC3D58">
        <w:rPr>
          <w:rStyle w:val="FootnoteReference"/>
          <w:noProof/>
          <w:lang w:val="en-IE"/>
        </w:rPr>
        <w:footnoteReference w:id="158"/>
      </w:r>
      <w:r w:rsidRPr="2A1AD167">
        <w:rPr>
          <w:noProof/>
          <w:lang w:val="en-IE"/>
        </w:rPr>
        <w:t>.</w:t>
      </w:r>
    </w:p>
    <w:p w14:paraId="643D4C42" w14:textId="140A156D" w:rsidR="00FC3D58" w:rsidRPr="0030098A" w:rsidRDefault="00FC3D58" w:rsidP="00603157">
      <w:pPr>
        <w:rPr>
          <w:noProof/>
          <w:lang w:val="en-IE"/>
        </w:rPr>
      </w:pPr>
      <w:r w:rsidRPr="1A4EEE0C">
        <w:rPr>
          <w:b/>
          <w:bCs/>
          <w:noProof/>
          <w:lang w:val="en-IE"/>
        </w:rPr>
        <w:t xml:space="preserve">Research and Innovation impacts </w:t>
      </w:r>
    </w:p>
    <w:p w14:paraId="1EA3631C" w14:textId="61E4A846" w:rsidR="00FC3D58" w:rsidRPr="0030098A" w:rsidRDefault="70C75793" w:rsidP="00603157">
      <w:pPr>
        <w:rPr>
          <w:noProof/>
          <w:lang w:val="en-IE"/>
        </w:rPr>
      </w:pPr>
      <w:r w:rsidRPr="0030098A">
        <w:rPr>
          <w:noProof/>
          <w:lang w:val="en-IE"/>
        </w:rPr>
        <w:t xml:space="preserve">Under the baseline, </w:t>
      </w:r>
      <w:r w:rsidR="3B848D3F">
        <w:rPr>
          <w:noProof/>
          <w:lang w:val="en-IE"/>
        </w:rPr>
        <w:t>R&amp;I would be</w:t>
      </w:r>
      <w:r w:rsidRPr="0030098A">
        <w:rPr>
          <w:noProof/>
          <w:lang w:val="en-IE"/>
        </w:rPr>
        <w:t xml:space="preserve"> funded through a continuation of Horizon Europe</w:t>
      </w:r>
      <w:r w:rsidR="2FB7781A">
        <w:rPr>
          <w:noProof/>
          <w:lang w:val="en-IE"/>
        </w:rPr>
        <w:t>, as today</w:t>
      </w:r>
      <w:r w:rsidRPr="0030098A">
        <w:rPr>
          <w:noProof/>
          <w:lang w:val="en-IE"/>
        </w:rPr>
        <w:t>.</w:t>
      </w:r>
      <w:r w:rsidR="00FC3D58" w:rsidRPr="0030098A">
        <w:rPr>
          <w:rStyle w:val="FootnoteReference"/>
          <w:noProof/>
          <w:lang w:val="en-IE"/>
        </w:rPr>
        <w:footnoteReference w:id="159"/>
      </w:r>
      <w:r w:rsidR="5905AE39" w:rsidRPr="3EA7425B">
        <w:rPr>
          <w:rStyle w:val="FootnoteReference"/>
          <w:noProof/>
          <w:lang w:val="en-IE"/>
        </w:rPr>
        <w:t xml:space="preserve"> </w:t>
      </w:r>
      <w:r>
        <w:rPr>
          <w:noProof/>
          <w:lang w:val="en-IE"/>
        </w:rPr>
        <w:t>F</w:t>
      </w:r>
      <w:r w:rsidR="14152B3A">
        <w:rPr>
          <w:noProof/>
          <w:lang w:val="en-IE"/>
        </w:rPr>
        <w:t>unding for fundamental research would continue (via the ERC), and f</w:t>
      </w:r>
      <w:r>
        <w:rPr>
          <w:noProof/>
          <w:lang w:val="en-IE"/>
        </w:rPr>
        <w:t xml:space="preserve">undamental research would then be transferred to market-creating disruptive innovations mainly through EIC blended funding for deep-tech startups. </w:t>
      </w:r>
      <w:r w:rsidR="18DA3569">
        <w:rPr>
          <w:noProof/>
          <w:lang w:val="en-IE"/>
        </w:rPr>
        <w:t xml:space="preserve">The EIC would however remain limited in size, </w:t>
      </w:r>
      <w:r w:rsidR="428864A6">
        <w:rPr>
          <w:noProof/>
          <w:lang w:val="en-IE"/>
        </w:rPr>
        <w:t>only allowing to transfer a portion</w:t>
      </w:r>
      <w:r w:rsidR="428864A6" w:rsidRPr="3EA7425B">
        <w:rPr>
          <w:noProof/>
          <w:lang w:val="en-IE"/>
        </w:rPr>
        <w:t xml:space="preserve"> of fundamental research to market-creating disruptive innovations. </w:t>
      </w:r>
    </w:p>
    <w:p w14:paraId="7D1DE88F" w14:textId="7CFD3995" w:rsidR="00FC3D58" w:rsidRPr="00516C66" w:rsidDel="00FD7E86" w:rsidRDefault="120EBE67" w:rsidP="00603157">
      <w:pPr>
        <w:rPr>
          <w:noProof/>
        </w:rPr>
      </w:pPr>
      <w:r w:rsidRPr="15099896">
        <w:rPr>
          <w:b/>
          <w:bCs/>
          <w:noProof/>
        </w:rPr>
        <w:t>Cooperation</w:t>
      </w:r>
      <w:r w:rsidRPr="0030098A">
        <w:rPr>
          <w:noProof/>
        </w:rPr>
        <w:t xml:space="preserve"> w</w:t>
      </w:r>
      <w:r w:rsidR="5BAF8774" w:rsidRPr="0030098A">
        <w:rPr>
          <w:noProof/>
        </w:rPr>
        <w:t>ould</w:t>
      </w:r>
      <w:r w:rsidRPr="0030098A">
        <w:rPr>
          <w:noProof/>
        </w:rPr>
        <w:t xml:space="preserve"> continue to be a defining feature of R&amp;I in the EU</w:t>
      </w:r>
      <w:r w:rsidR="00FC3D58">
        <w:rPr>
          <w:rStyle w:val="FootnoteReference"/>
          <w:noProof/>
        </w:rPr>
        <w:footnoteReference w:id="160"/>
      </w:r>
      <w:r>
        <w:rPr>
          <w:noProof/>
        </w:rPr>
        <w:t>.</w:t>
      </w:r>
      <w:r w:rsidRPr="0030098A">
        <w:rPr>
          <w:noProof/>
        </w:rPr>
        <w:t xml:space="preserve"> Similarly, progress made towards widening participation would continue, contributing to narrowing the R&amp;I divide in EU</w:t>
      </w:r>
      <w:r w:rsidR="00FC3D58">
        <w:rPr>
          <w:rStyle w:val="FootnoteReference"/>
          <w:noProof/>
        </w:rPr>
        <w:footnoteReference w:id="161"/>
      </w:r>
      <w:r w:rsidRPr="0030098A">
        <w:rPr>
          <w:noProof/>
        </w:rPr>
        <w:t>.</w:t>
      </w:r>
      <w:r w:rsidRPr="0030098A" w:rsidDel="00E21E82">
        <w:rPr>
          <w:noProof/>
        </w:rPr>
        <w:t xml:space="preserve"> </w:t>
      </w:r>
    </w:p>
    <w:p w14:paraId="7F6FA969" w14:textId="7CFBE6C9" w:rsidR="00FC3D58" w:rsidRPr="0030098A" w:rsidRDefault="120EBE67" w:rsidP="00603157">
      <w:pPr>
        <w:rPr>
          <w:noProof/>
          <w:lang w:val="en-IE"/>
        </w:rPr>
      </w:pPr>
      <w:r w:rsidRPr="0030098A">
        <w:rPr>
          <w:noProof/>
          <w:lang w:val="en-IE"/>
        </w:rPr>
        <w:t xml:space="preserve">The baseline would also continue to </w:t>
      </w:r>
      <w:r w:rsidRPr="14BDB708">
        <w:rPr>
          <w:b/>
          <w:bCs/>
          <w:noProof/>
          <w:lang w:val="en-IE"/>
        </w:rPr>
        <w:t>mobilise private R&amp;I investment</w:t>
      </w:r>
      <w:r w:rsidRPr="0030098A">
        <w:rPr>
          <w:noProof/>
          <w:lang w:val="en-IE"/>
        </w:rPr>
        <w:t>, by relying on R&amp;I funding instruments that have proved effective in leveraging co-investment</w:t>
      </w:r>
      <w:r w:rsidR="00FC3D58" w:rsidRPr="0030098A">
        <w:rPr>
          <w:rStyle w:val="FootnoteReference"/>
          <w:noProof/>
          <w:lang w:val="en-IE"/>
        </w:rPr>
        <w:footnoteReference w:id="162"/>
      </w:r>
      <w:r>
        <w:rPr>
          <w:noProof/>
          <w:lang w:val="en-IE"/>
        </w:rPr>
        <w:t>.</w:t>
      </w:r>
    </w:p>
    <w:p w14:paraId="50A4DD29" w14:textId="138F8302" w:rsidR="00E16993" w:rsidRDefault="00824ADD" w:rsidP="00603157">
      <w:pPr>
        <w:rPr>
          <w:noProof/>
          <w:lang w:val="en-IE"/>
        </w:rPr>
      </w:pPr>
      <w:r>
        <w:rPr>
          <w:noProof/>
          <w:lang w:val="en-IE"/>
        </w:rPr>
        <w:t>However</w:t>
      </w:r>
      <w:r w:rsidR="008E34E1">
        <w:rPr>
          <w:noProof/>
          <w:lang w:val="en-IE"/>
        </w:rPr>
        <w:t>,</w:t>
      </w:r>
      <w:r>
        <w:rPr>
          <w:noProof/>
          <w:lang w:val="en-IE"/>
        </w:rPr>
        <w:t xml:space="preserve"> </w:t>
      </w:r>
      <w:r w:rsidR="008E34E1">
        <w:rPr>
          <w:noProof/>
          <w:lang w:val="en-IE"/>
        </w:rPr>
        <w:t>u</w:t>
      </w:r>
      <w:r w:rsidR="3D953976" w:rsidRPr="2A1AD167">
        <w:rPr>
          <w:noProof/>
          <w:lang w:val="en-IE"/>
        </w:rPr>
        <w:t>nder this scenario, the</w:t>
      </w:r>
      <w:r w:rsidR="624C07C3" w:rsidRPr="2A1AD167">
        <w:rPr>
          <w:noProof/>
          <w:lang w:val="en-IE"/>
        </w:rPr>
        <w:t xml:space="preserve"> funding landscape would not promote a better connection between research funding and </w:t>
      </w:r>
      <w:r w:rsidR="3FB7A1F5" w:rsidRPr="2A1AD167">
        <w:rPr>
          <w:noProof/>
          <w:lang w:val="en-IE"/>
        </w:rPr>
        <w:t>funding aimed at scaling up technologies and bringing them to the market</w:t>
      </w:r>
      <w:r w:rsidR="2359238A" w:rsidRPr="2A1AD167">
        <w:rPr>
          <w:noProof/>
          <w:lang w:val="en-IE"/>
        </w:rPr>
        <w:t xml:space="preserve"> – and conversely in the ability to steer research towards </w:t>
      </w:r>
      <w:r w:rsidR="0052623D" w:rsidRPr="2A1AD167">
        <w:rPr>
          <w:noProof/>
          <w:lang w:val="en-IE"/>
        </w:rPr>
        <w:t>industrial</w:t>
      </w:r>
      <w:r w:rsidR="2359238A" w:rsidRPr="2A1AD167">
        <w:rPr>
          <w:noProof/>
          <w:lang w:val="en-IE"/>
        </w:rPr>
        <w:t xml:space="preserve"> needs</w:t>
      </w:r>
      <w:r w:rsidR="7D3DEEBF" w:rsidRPr="2A1AD167">
        <w:rPr>
          <w:noProof/>
          <w:lang w:val="en-IE"/>
        </w:rPr>
        <w:t xml:space="preserve">. </w:t>
      </w:r>
      <w:r w:rsidR="11F5EC7E" w:rsidRPr="2A1AD167">
        <w:rPr>
          <w:noProof/>
          <w:lang w:val="en-IE"/>
        </w:rPr>
        <w:t xml:space="preserve">It can be expected that existing successful </w:t>
      </w:r>
      <w:r w:rsidR="652D4751" w:rsidRPr="2A1AD167">
        <w:rPr>
          <w:noProof/>
          <w:lang w:val="en-IE"/>
        </w:rPr>
        <w:t>experiences in bridging R&amp;D and market uptake would continue</w:t>
      </w:r>
      <w:r w:rsidR="00F72885">
        <w:rPr>
          <w:noProof/>
          <w:lang w:val="en-IE"/>
        </w:rPr>
        <w:t xml:space="preserve"> (for example in the green hydrogen and mRNA</w:t>
      </w:r>
      <w:r w:rsidR="001F7A7C" w:rsidRPr="0027108D">
        <w:rPr>
          <w:rStyle w:val="FootnoteReference"/>
          <w:noProof/>
          <w:lang w:val="en-IE"/>
        </w:rPr>
        <w:footnoteReference w:id="163"/>
      </w:r>
      <w:r w:rsidR="00F72885">
        <w:rPr>
          <w:noProof/>
          <w:lang w:val="en-IE"/>
        </w:rPr>
        <w:t>)</w:t>
      </w:r>
      <w:r w:rsidR="652D4751" w:rsidRPr="2A1AD167">
        <w:rPr>
          <w:noProof/>
          <w:lang w:val="en-IE"/>
        </w:rPr>
        <w:t xml:space="preserve">, but they </w:t>
      </w:r>
      <w:r w:rsidR="006F36A8">
        <w:rPr>
          <w:noProof/>
          <w:lang w:val="en-IE"/>
        </w:rPr>
        <w:t xml:space="preserve">may remain </w:t>
      </w:r>
      <w:r w:rsidR="001F7A7C">
        <w:rPr>
          <w:noProof/>
          <w:lang w:val="en-IE"/>
        </w:rPr>
        <w:t xml:space="preserve">limited </w:t>
      </w:r>
      <w:r w:rsidR="006F36A8">
        <w:rPr>
          <w:noProof/>
          <w:lang w:val="en-IE"/>
        </w:rPr>
        <w:t>and</w:t>
      </w:r>
      <w:r w:rsidR="006F36A8" w:rsidRPr="2A1AD167">
        <w:rPr>
          <w:noProof/>
          <w:lang w:val="en-IE"/>
        </w:rPr>
        <w:t xml:space="preserve"> </w:t>
      </w:r>
      <w:r w:rsidR="652D4751" w:rsidRPr="2A1AD167">
        <w:rPr>
          <w:noProof/>
          <w:lang w:val="en-IE"/>
        </w:rPr>
        <w:t>not form part of an over-arching strategy to bridge the gap more systematic</w:t>
      </w:r>
      <w:r w:rsidR="2C434B77" w:rsidRPr="2A1AD167">
        <w:rPr>
          <w:noProof/>
          <w:lang w:val="en-IE"/>
        </w:rPr>
        <w:t>ally</w:t>
      </w:r>
      <w:r w:rsidR="652D4751" w:rsidRPr="2A1AD167">
        <w:rPr>
          <w:noProof/>
          <w:lang w:val="en-IE"/>
        </w:rPr>
        <w:t>.</w:t>
      </w:r>
      <w:r w:rsidR="003B21A5">
        <w:rPr>
          <w:noProof/>
          <w:lang w:val="en-IE"/>
        </w:rPr>
        <w:t xml:space="preserve"> </w:t>
      </w:r>
    </w:p>
    <w:p w14:paraId="0B832D43" w14:textId="5D0380F9" w:rsidR="00FC3D58" w:rsidRPr="009913E0" w:rsidRDefault="00FC3D58" w:rsidP="008C51EB">
      <w:pPr>
        <w:pStyle w:val="Heading3"/>
        <w:numPr>
          <w:ilvl w:val="2"/>
          <w:numId w:val="21"/>
        </w:numPr>
        <w:spacing w:before="120" w:after="120"/>
        <w:rPr>
          <w:noProof/>
          <w:lang w:val="en-IE"/>
        </w:rPr>
      </w:pPr>
      <w:bookmarkStart w:id="220" w:name="_Toc195700213"/>
      <w:bookmarkStart w:id="221" w:name="_Toc195700214"/>
      <w:bookmarkEnd w:id="220"/>
      <w:r w:rsidRPr="009913E0">
        <w:rPr>
          <w:noProof/>
          <w:lang w:val="en-IE"/>
        </w:rPr>
        <w:t>Social impacts</w:t>
      </w:r>
      <w:bookmarkEnd w:id="221"/>
    </w:p>
    <w:p w14:paraId="4D1082E3" w14:textId="64CE57CB" w:rsidR="00E75B5C" w:rsidRDefault="00973525" w:rsidP="00603157">
      <w:pPr>
        <w:spacing w:before="0" w:after="0"/>
        <w:rPr>
          <w:noProof/>
          <w:lang w:val="en-IE"/>
        </w:rPr>
      </w:pPr>
      <w:r>
        <w:rPr>
          <w:noProof/>
          <w:lang w:val="en-IE"/>
        </w:rPr>
        <w:t xml:space="preserve">Under the baseline scenarios, current programmes would </w:t>
      </w:r>
      <w:r w:rsidR="00F475B5">
        <w:rPr>
          <w:noProof/>
          <w:lang w:val="en-IE"/>
        </w:rPr>
        <w:t>keep</w:t>
      </w:r>
      <w:r>
        <w:rPr>
          <w:noProof/>
          <w:lang w:val="en-IE"/>
        </w:rPr>
        <w:t xml:space="preserve"> strengthening the creation of </w:t>
      </w:r>
      <w:r w:rsidRPr="00BB184A">
        <w:rPr>
          <w:b/>
          <w:noProof/>
          <w:lang w:val="en-IE"/>
        </w:rPr>
        <w:t>employment</w:t>
      </w:r>
      <w:r>
        <w:rPr>
          <w:noProof/>
          <w:lang w:val="en-IE"/>
        </w:rPr>
        <w:t xml:space="preserve">. </w:t>
      </w:r>
      <w:r w:rsidR="00246D54">
        <w:rPr>
          <w:noProof/>
          <w:lang w:val="en-IE"/>
        </w:rPr>
        <w:t>Programmes such as</w:t>
      </w:r>
      <w:r w:rsidR="00F475B5" w:rsidRPr="00F475B5">
        <w:rPr>
          <w:noProof/>
          <w:lang w:val="en-IE"/>
        </w:rPr>
        <w:t xml:space="preserve"> InvestEU would continue to create </w:t>
      </w:r>
      <w:r w:rsidR="006D2818">
        <w:rPr>
          <w:noProof/>
          <w:lang w:val="en-IE"/>
        </w:rPr>
        <w:t xml:space="preserve">or maintain </w:t>
      </w:r>
      <w:r w:rsidR="00F475B5" w:rsidRPr="00F475B5">
        <w:rPr>
          <w:noProof/>
          <w:lang w:val="en-IE"/>
        </w:rPr>
        <w:t>jobs (900</w:t>
      </w:r>
      <w:r w:rsidR="006B1A4C">
        <w:rPr>
          <w:noProof/>
          <w:lang w:val="en-IE"/>
        </w:rPr>
        <w:t xml:space="preserve"> </w:t>
      </w:r>
      <w:r w:rsidR="00F475B5" w:rsidRPr="00F475B5">
        <w:rPr>
          <w:noProof/>
          <w:lang w:val="en-IE"/>
        </w:rPr>
        <w:t xml:space="preserve">000 </w:t>
      </w:r>
      <w:r w:rsidR="0025665B">
        <w:rPr>
          <w:noProof/>
          <w:lang w:val="en-IE"/>
        </w:rPr>
        <w:t>so far</w:t>
      </w:r>
      <w:r w:rsidR="00672377">
        <w:rPr>
          <w:noProof/>
          <w:lang w:val="en-IE"/>
        </w:rPr>
        <w:t xml:space="preserve">, a figure that is expected to double </w:t>
      </w:r>
      <w:r w:rsidR="00E85F55">
        <w:rPr>
          <w:noProof/>
          <w:lang w:val="en-IE"/>
        </w:rPr>
        <w:t>upon full implementation</w:t>
      </w:r>
      <w:r w:rsidR="00F475B5" w:rsidRPr="00F475B5">
        <w:rPr>
          <w:noProof/>
          <w:lang w:val="en-IE"/>
        </w:rPr>
        <w:t>)</w:t>
      </w:r>
      <w:r w:rsidR="00246D54">
        <w:rPr>
          <w:noProof/>
          <w:lang w:val="en-IE"/>
        </w:rPr>
        <w:t>.</w:t>
      </w:r>
      <w:r w:rsidRPr="2AA6027B">
        <w:rPr>
          <w:noProof/>
          <w:vertAlign w:val="superscript"/>
          <w:lang w:val="en-IE"/>
        </w:rPr>
        <w:footnoteReference w:id="164"/>
      </w:r>
      <w:r w:rsidR="00246D54">
        <w:rPr>
          <w:noProof/>
          <w:lang w:val="en-IE"/>
        </w:rPr>
        <w:t xml:space="preserve"> In parallel, Horizon </w:t>
      </w:r>
      <w:r w:rsidR="00714A24" w:rsidRPr="00714A24">
        <w:rPr>
          <w:noProof/>
          <w:lang w:val="en-IE"/>
        </w:rPr>
        <w:t>Europe is expected to create or maintain 100 000 jobs during its implementation, followed by an increase in employment levels of up to 200 000 jobs 8 years after</w:t>
      </w:r>
      <w:r w:rsidR="00714A24">
        <w:rPr>
          <w:noProof/>
          <w:lang w:val="en-IE"/>
        </w:rPr>
        <w:t>.</w:t>
      </w:r>
      <w:r w:rsidR="00714A24">
        <w:rPr>
          <w:rStyle w:val="FootnoteReference"/>
          <w:noProof/>
          <w:lang w:val="en-IE"/>
        </w:rPr>
        <w:footnoteReference w:id="165"/>
      </w:r>
      <w:r w:rsidR="00714A24">
        <w:rPr>
          <w:noProof/>
          <w:lang w:val="en-IE"/>
        </w:rPr>
        <w:t xml:space="preserve"> </w:t>
      </w:r>
      <w:r w:rsidR="00096D5C">
        <w:rPr>
          <w:noProof/>
          <w:lang w:val="en-IE"/>
        </w:rPr>
        <w:t>By early 2025, Horizon Europe led to</w:t>
      </w:r>
      <w:r w:rsidR="00096D5C" w:rsidRPr="00096D5C">
        <w:rPr>
          <w:noProof/>
          <w:lang w:val="en-IE"/>
        </w:rPr>
        <w:t xml:space="preserve"> </w:t>
      </w:r>
      <w:r w:rsidR="00096D5C">
        <w:rPr>
          <w:noProof/>
          <w:lang w:val="en-IE"/>
        </w:rPr>
        <w:t>the creation of</w:t>
      </w:r>
      <w:r w:rsidR="00096D5C" w:rsidRPr="00096D5C">
        <w:rPr>
          <w:noProof/>
          <w:lang w:val="en-IE"/>
        </w:rPr>
        <w:t xml:space="preserve"> 39 543 full time equivalent jobs</w:t>
      </w:r>
      <w:r w:rsidR="00096D5C">
        <w:rPr>
          <w:noProof/>
          <w:lang w:val="en-IE"/>
        </w:rPr>
        <w:t>.</w:t>
      </w:r>
      <w:r w:rsidR="00096D5C" w:rsidRPr="00096D5C">
        <w:rPr>
          <w:rStyle w:val="FootnoteReference"/>
          <w:noProof/>
          <w:lang w:val="en-IE"/>
        </w:rPr>
        <w:t xml:space="preserve"> </w:t>
      </w:r>
      <w:r w:rsidR="00096D5C">
        <w:rPr>
          <w:rStyle w:val="FootnoteReference"/>
          <w:noProof/>
          <w:lang w:val="en-IE"/>
        </w:rPr>
        <w:footnoteReference w:id="166"/>
      </w:r>
    </w:p>
    <w:p w14:paraId="1EAD665E" w14:textId="77777777" w:rsidR="00F475B5" w:rsidRDefault="00F475B5" w:rsidP="00603157">
      <w:pPr>
        <w:spacing w:before="0" w:after="0"/>
        <w:rPr>
          <w:noProof/>
          <w:lang w:val="en-IE"/>
        </w:rPr>
      </w:pPr>
    </w:p>
    <w:p w14:paraId="0256FAF4" w14:textId="03A191D0" w:rsidR="00951A45" w:rsidRDefault="70D47B67" w:rsidP="00603157">
      <w:pPr>
        <w:spacing w:before="0" w:after="160"/>
        <w:rPr>
          <w:noProof/>
        </w:rPr>
      </w:pPr>
      <w:r>
        <w:rPr>
          <w:noProof/>
          <w:lang w:val="en-IE"/>
        </w:rPr>
        <w:t xml:space="preserve">On </w:t>
      </w:r>
      <w:r w:rsidRPr="2A1AD167">
        <w:rPr>
          <w:b/>
          <w:bCs/>
          <w:noProof/>
          <w:lang w:val="en-IE"/>
        </w:rPr>
        <w:t>skills, education and training</w:t>
      </w:r>
      <w:r>
        <w:rPr>
          <w:noProof/>
          <w:lang w:val="en-IE"/>
        </w:rPr>
        <w:t xml:space="preserve">, </w:t>
      </w:r>
      <w:r>
        <w:rPr>
          <w:b/>
          <w:bCs/>
          <w:noProof/>
        </w:rPr>
        <w:t>t</w:t>
      </w:r>
      <w:r w:rsidRPr="004E353F">
        <w:rPr>
          <w:b/>
          <w:bCs/>
          <w:noProof/>
        </w:rPr>
        <w:t xml:space="preserve">he EU invests over </w:t>
      </w:r>
      <w:r w:rsidR="1F505922" w:rsidRPr="01161804">
        <w:rPr>
          <w:b/>
          <w:bCs/>
          <w:noProof/>
        </w:rPr>
        <w:t>EUR</w:t>
      </w:r>
      <w:r w:rsidR="55414A38" w:rsidRPr="01161804">
        <w:rPr>
          <w:b/>
          <w:bCs/>
          <w:noProof/>
        </w:rPr>
        <w:t xml:space="preserve"> </w:t>
      </w:r>
      <w:r w:rsidRPr="004E353F">
        <w:rPr>
          <w:b/>
          <w:bCs/>
          <w:noProof/>
        </w:rPr>
        <w:t>153 billion in skills through multiple program</w:t>
      </w:r>
      <w:r w:rsidR="007E6C4B">
        <w:rPr>
          <w:b/>
          <w:bCs/>
          <w:noProof/>
        </w:rPr>
        <w:t>me</w:t>
      </w:r>
      <w:r w:rsidRPr="004E353F">
        <w:rPr>
          <w:b/>
          <w:bCs/>
          <w:noProof/>
        </w:rPr>
        <w:t>s</w:t>
      </w:r>
      <w:r w:rsidR="00FC3D58" w:rsidRPr="00891E16">
        <w:rPr>
          <w:rFonts w:eastAsia="Calibri"/>
          <w:noProof/>
          <w:vertAlign w:val="superscript"/>
          <w:lang w:val="en-IE"/>
        </w:rPr>
        <w:footnoteReference w:id="167"/>
      </w:r>
      <w:r w:rsidR="7A54C4B5" w:rsidRPr="2A1AD167">
        <w:rPr>
          <w:rFonts w:eastAsia="Calibri"/>
          <w:noProof/>
          <w:vertAlign w:val="superscript"/>
          <w:lang w:val="en-IE"/>
        </w:rPr>
        <w:t xml:space="preserve"> </w:t>
      </w:r>
      <w:r w:rsidR="316EA77E" w:rsidRPr="2A1AD167">
        <w:rPr>
          <w:b/>
          <w:bCs/>
          <w:noProof/>
        </w:rPr>
        <w:t xml:space="preserve">mostly in pre-allocated envelopes </w:t>
      </w:r>
      <w:r w:rsidR="00691990" w:rsidRPr="2A1AD167">
        <w:rPr>
          <w:b/>
          <w:bCs/>
          <w:noProof/>
        </w:rPr>
        <w:t xml:space="preserve">managed by Member States and </w:t>
      </w:r>
      <w:r w:rsidR="316EA77E" w:rsidRPr="2A1AD167">
        <w:rPr>
          <w:b/>
          <w:bCs/>
          <w:noProof/>
        </w:rPr>
        <w:t xml:space="preserve">outside the </w:t>
      </w:r>
      <w:r w:rsidR="007E6C4B">
        <w:rPr>
          <w:b/>
          <w:bCs/>
          <w:noProof/>
        </w:rPr>
        <w:t xml:space="preserve">envisaged </w:t>
      </w:r>
      <w:r w:rsidR="316EA77E" w:rsidRPr="2A1AD167">
        <w:rPr>
          <w:b/>
          <w:bCs/>
          <w:noProof/>
        </w:rPr>
        <w:t>scope of the C</w:t>
      </w:r>
      <w:r w:rsidR="570F8F53">
        <w:rPr>
          <w:b/>
          <w:bCs/>
          <w:noProof/>
        </w:rPr>
        <w:t>o</w:t>
      </w:r>
      <w:r w:rsidR="316EA77E" w:rsidRPr="2A1AD167">
        <w:rPr>
          <w:b/>
          <w:bCs/>
          <w:noProof/>
        </w:rPr>
        <w:t xml:space="preserve">mpetitiveness </w:t>
      </w:r>
      <w:r w:rsidR="58937446" w:rsidRPr="01161804">
        <w:rPr>
          <w:b/>
          <w:bCs/>
          <w:noProof/>
        </w:rPr>
        <w:t>Fund</w:t>
      </w:r>
      <w:r w:rsidR="316EA77E" w:rsidRPr="2A1AD167">
        <w:rPr>
          <w:b/>
          <w:bCs/>
          <w:noProof/>
        </w:rPr>
        <w:t>.</w:t>
      </w:r>
      <w:r w:rsidR="0680BF70">
        <w:rPr>
          <w:noProof/>
        </w:rPr>
        <w:t xml:space="preserve"> The </w:t>
      </w:r>
      <w:r w:rsidRPr="2A1AD167">
        <w:rPr>
          <w:noProof/>
        </w:rPr>
        <w:t xml:space="preserve">DEP Programme has so far </w:t>
      </w:r>
      <w:r w:rsidRPr="00005FAB">
        <w:rPr>
          <w:noProof/>
        </w:rPr>
        <w:t xml:space="preserve">mobilised </w:t>
      </w:r>
      <w:r w:rsidR="1F505922" w:rsidRPr="006074B8">
        <w:rPr>
          <w:noProof/>
        </w:rPr>
        <w:t xml:space="preserve">EUR </w:t>
      </w:r>
      <w:r w:rsidR="55414A38" w:rsidRPr="006074B8">
        <w:rPr>
          <w:noProof/>
        </w:rPr>
        <w:t>307 million</w:t>
      </w:r>
      <w:r w:rsidRPr="00005FAB">
        <w:rPr>
          <w:noProof/>
        </w:rPr>
        <w:t xml:space="preserve"> in support for advanced digital skills </w:t>
      </w:r>
      <w:r w:rsidR="76E313FC" w:rsidRPr="00005FAB">
        <w:rPr>
          <w:noProof/>
        </w:rPr>
        <w:t>ou</w:t>
      </w:r>
      <w:r w:rsidR="55414A38" w:rsidRPr="00005FAB">
        <w:rPr>
          <w:noProof/>
        </w:rPr>
        <w:t>t</w:t>
      </w:r>
      <w:r w:rsidR="76E313FC" w:rsidRPr="00005FAB">
        <w:rPr>
          <w:noProof/>
        </w:rPr>
        <w:t xml:space="preserve"> of </w:t>
      </w:r>
      <w:r w:rsidR="427A8DBC" w:rsidRPr="00005FAB">
        <w:rPr>
          <w:noProof/>
        </w:rPr>
        <w:t xml:space="preserve">a total of EUR 483 million planned for that specific objective. More than 435 </w:t>
      </w:r>
      <w:r w:rsidR="7CD7B224" w:rsidRPr="00005FAB">
        <w:rPr>
          <w:noProof/>
        </w:rPr>
        <w:t>organi</w:t>
      </w:r>
      <w:r w:rsidR="6086F6AA" w:rsidRPr="00005FAB">
        <w:rPr>
          <w:noProof/>
        </w:rPr>
        <w:t>s</w:t>
      </w:r>
      <w:r w:rsidR="7CD7B224" w:rsidRPr="00005FAB">
        <w:rPr>
          <w:noProof/>
        </w:rPr>
        <w:t xml:space="preserve">ations have been setting up </w:t>
      </w:r>
      <w:r w:rsidR="36AB3AC4" w:rsidRPr="00005FAB">
        <w:rPr>
          <w:noProof/>
        </w:rPr>
        <w:t>higher education programmes and short-term trainings in key digital areas, tightly connected to industry needs. By the end of 2024, over 20 700 participants had taken part in various education and training opportunities to increase digital skills involving almost all Member States.</w:t>
      </w:r>
      <w:r w:rsidR="00466C92" w:rsidRPr="00005FAB">
        <w:rPr>
          <w:rStyle w:val="FootnoteReference"/>
          <w:noProof/>
        </w:rPr>
        <w:footnoteReference w:id="168"/>
      </w:r>
      <w:r w:rsidRPr="00005FAB">
        <w:rPr>
          <w:b/>
          <w:bCs/>
          <w:noProof/>
        </w:rPr>
        <w:t xml:space="preserve"> </w:t>
      </w:r>
      <w:r w:rsidR="007E6C4B">
        <w:rPr>
          <w:b/>
          <w:bCs/>
          <w:noProof/>
        </w:rPr>
        <w:t xml:space="preserve">The </w:t>
      </w:r>
      <w:r w:rsidRPr="006074B8">
        <w:rPr>
          <w:b/>
          <w:bCs/>
          <w:noProof/>
        </w:rPr>
        <w:t xml:space="preserve">SMP Programme </w:t>
      </w:r>
      <w:r w:rsidRPr="006074B8">
        <w:rPr>
          <w:noProof/>
        </w:rPr>
        <w:t xml:space="preserve">has dedicated </w:t>
      </w:r>
      <w:r w:rsidR="1F505922" w:rsidRPr="006074B8">
        <w:rPr>
          <w:noProof/>
        </w:rPr>
        <w:t xml:space="preserve">EUR </w:t>
      </w:r>
      <w:r w:rsidR="20BF3692" w:rsidRPr="006074B8">
        <w:rPr>
          <w:noProof/>
        </w:rPr>
        <w:t xml:space="preserve">32 million </w:t>
      </w:r>
      <w:r w:rsidRPr="006074B8">
        <w:rPr>
          <w:noProof/>
        </w:rPr>
        <w:t xml:space="preserve">to </w:t>
      </w:r>
      <w:r w:rsidR="7E7D1B56" w:rsidRPr="006074B8">
        <w:rPr>
          <w:noProof/>
        </w:rPr>
        <w:t xml:space="preserve">Net-zero </w:t>
      </w:r>
      <w:r w:rsidRPr="006074B8">
        <w:rPr>
          <w:noProof/>
        </w:rPr>
        <w:t>skills</w:t>
      </w:r>
      <w:r w:rsidRPr="006074B8">
        <w:rPr>
          <w:b/>
          <w:bCs/>
          <w:noProof/>
        </w:rPr>
        <w:t xml:space="preserve"> </w:t>
      </w:r>
      <w:r w:rsidRPr="006074B8">
        <w:rPr>
          <w:noProof/>
        </w:rPr>
        <w:t>academies</w:t>
      </w:r>
      <w:r w:rsidR="00FC3D58" w:rsidRPr="00891E16">
        <w:rPr>
          <w:rFonts w:eastAsia="Calibri"/>
          <w:noProof/>
          <w:vertAlign w:val="superscript"/>
          <w:lang w:val="en-IE"/>
        </w:rPr>
        <w:footnoteReference w:id="169"/>
      </w:r>
      <w:r w:rsidR="52B751A5" w:rsidRPr="01161804">
        <w:rPr>
          <w:rFonts w:eastAsia="Calibri"/>
          <w:noProof/>
          <w:lang w:val="en-IE"/>
        </w:rPr>
        <w:t xml:space="preserve">, while the Battery Academy received EUR 10 million from REACT-EU. </w:t>
      </w:r>
      <w:r w:rsidR="62E63043" w:rsidRPr="01161804">
        <w:rPr>
          <w:rFonts w:eastAsia="Calibri"/>
          <w:noProof/>
          <w:lang w:val="en-IE"/>
        </w:rPr>
        <w:t xml:space="preserve">The Commission recently launched </w:t>
      </w:r>
      <w:r w:rsidRPr="58C0D67D" w:rsidDel="770A4B85">
        <w:rPr>
          <w:rFonts w:eastAsia="Calibri"/>
          <w:noProof/>
          <w:lang w:val="en-IE"/>
        </w:rPr>
        <w:t>a "Union of Skills"</w:t>
      </w:r>
      <w:r w:rsidRPr="58C0D67D">
        <w:rPr>
          <w:rFonts w:eastAsia="Calibri"/>
          <w:noProof/>
          <w:lang w:val="en-IE"/>
        </w:rPr>
        <w:t>,</w:t>
      </w:r>
      <w:r>
        <w:rPr>
          <w:noProof/>
          <w:lang w:val="en-IE"/>
        </w:rPr>
        <w:t xml:space="preserve"> </w:t>
      </w:r>
      <w:r w:rsidR="439520CA" w:rsidRPr="01161804">
        <w:rPr>
          <w:noProof/>
          <w:lang w:val="en-IE"/>
        </w:rPr>
        <w:t>which also foresees the r</w:t>
      </w:r>
      <w:r w:rsidR="439520CA" w:rsidRPr="01161804">
        <w:rPr>
          <w:rFonts w:eastAsia="Times New Roman"/>
          <w:noProof/>
          <w:lang w:val="en-IE"/>
        </w:rPr>
        <w:t>eview and the targeted implement</w:t>
      </w:r>
      <w:r w:rsidR="0F6EBD42" w:rsidRPr="01161804">
        <w:rPr>
          <w:rFonts w:eastAsia="Times New Roman"/>
          <w:noProof/>
          <w:lang w:val="en-IE"/>
        </w:rPr>
        <w:t>at</w:t>
      </w:r>
      <w:r w:rsidR="439520CA" w:rsidRPr="01161804">
        <w:rPr>
          <w:rFonts w:eastAsia="Times New Roman"/>
          <w:noProof/>
          <w:lang w:val="en-IE"/>
        </w:rPr>
        <w:t>ion of EU Skills Academies</w:t>
      </w:r>
      <w:r w:rsidR="2A644868" w:rsidRPr="01161804">
        <w:rPr>
          <w:rFonts w:eastAsia="Times New Roman"/>
          <w:noProof/>
          <w:lang w:val="en-IE"/>
        </w:rPr>
        <w:t xml:space="preserve">, with the aim of </w:t>
      </w:r>
      <w:r w:rsidR="181B7CE6" w:rsidRPr="01161804">
        <w:rPr>
          <w:rFonts w:eastAsia="Times New Roman"/>
          <w:noProof/>
          <w:lang w:val="en-IE"/>
        </w:rPr>
        <w:t>targeting strategic sectors such as defence, automotive, the circular economy, wind, grids, food, dig</w:t>
      </w:r>
      <w:r w:rsidR="63C7CAFF" w:rsidRPr="01161804">
        <w:rPr>
          <w:rFonts w:eastAsia="Times New Roman"/>
          <w:noProof/>
          <w:lang w:val="en-IE"/>
        </w:rPr>
        <w:t>ital.</w:t>
      </w:r>
      <w:r w:rsidR="439520CA" w:rsidRPr="01161804">
        <w:rPr>
          <w:rFonts w:eastAsia="Times New Roman"/>
          <w:noProof/>
          <w:lang w:val="en-IE"/>
        </w:rPr>
        <w:t xml:space="preserve"> However, </w:t>
      </w:r>
      <w:r>
        <w:rPr>
          <w:noProof/>
          <w:lang w:val="en-IE"/>
        </w:rPr>
        <w:t xml:space="preserve">the current resource allocation leads to a fragmented approach. The absence of </w:t>
      </w:r>
      <w:r w:rsidRPr="0030098A">
        <w:rPr>
          <w:noProof/>
          <w:lang w:val="en-IE"/>
        </w:rPr>
        <w:t>synergy</w:t>
      </w:r>
      <w:r>
        <w:rPr>
          <w:noProof/>
          <w:lang w:val="en-IE"/>
        </w:rPr>
        <w:t xml:space="preserve"> and coordination impedes the creation of a skills agenda</w:t>
      </w:r>
      <w:r w:rsidRPr="0030098A">
        <w:rPr>
          <w:noProof/>
          <w:lang w:val="en-IE"/>
        </w:rPr>
        <w:t>, affecting</w:t>
      </w:r>
      <w:r w:rsidRPr="2A1AD167">
        <w:rPr>
          <w:noProof/>
          <w:lang w:val="en-IE"/>
        </w:rPr>
        <w:t xml:space="preserve"> the potential for upskilling and reskilling in crucial areas</w:t>
      </w:r>
      <w:r w:rsidRPr="58C0D67D">
        <w:rPr>
          <w:noProof/>
          <w:lang w:val="en-IE"/>
        </w:rPr>
        <w:t>, limiting Europe's ability to develop a competitive and resilient workforce for the future</w:t>
      </w:r>
      <w:r>
        <w:rPr>
          <w:noProof/>
        </w:rPr>
        <w:t>.</w:t>
      </w:r>
    </w:p>
    <w:p w14:paraId="394BEA64" w14:textId="4FC658DF" w:rsidR="00FC3D58" w:rsidRPr="00DB2F99" w:rsidRDefault="770A4B85" w:rsidP="00603157">
      <w:pPr>
        <w:spacing w:before="0" w:after="0"/>
        <w:rPr>
          <w:noProof/>
          <w:lang w:val="en-IE"/>
        </w:rPr>
      </w:pPr>
      <w:r w:rsidRPr="33033015">
        <w:rPr>
          <w:noProof/>
          <w:lang w:val="en-IE"/>
        </w:rPr>
        <w:t xml:space="preserve">EU funding programmes fostering </w:t>
      </w:r>
      <w:r w:rsidR="00DF3B77" w:rsidRPr="33033015">
        <w:rPr>
          <w:noProof/>
          <w:lang w:val="en-IE"/>
        </w:rPr>
        <w:t>competitiveness can</w:t>
      </w:r>
      <w:r w:rsidRPr="33033015">
        <w:rPr>
          <w:noProof/>
          <w:lang w:val="en-IE"/>
        </w:rPr>
        <w:t xml:space="preserve"> contribute to cohesion </w:t>
      </w:r>
      <w:r w:rsidR="009D23A0" w:rsidRPr="33033015">
        <w:rPr>
          <w:noProof/>
          <w:lang w:val="en-IE"/>
        </w:rPr>
        <w:t>objectives</w:t>
      </w:r>
      <w:r w:rsidRPr="33033015">
        <w:rPr>
          <w:noProof/>
          <w:lang w:val="en-IE"/>
        </w:rPr>
        <w:t xml:space="preserve">, promoting cross-border cooperation, </w:t>
      </w:r>
      <w:r w:rsidR="45B28A04" w:rsidRPr="33033015">
        <w:rPr>
          <w:noProof/>
          <w:lang w:val="en-IE"/>
        </w:rPr>
        <w:t xml:space="preserve">the development of value chains in the EU, </w:t>
      </w:r>
      <w:r w:rsidRPr="33033015">
        <w:rPr>
          <w:noProof/>
          <w:lang w:val="en-IE"/>
        </w:rPr>
        <w:t xml:space="preserve">and supporting smart specialization strategies. These initiatives help create innovation hubs and clusters, bridging the gap between urban and rural areas, and </w:t>
      </w:r>
      <w:r w:rsidR="773E8423" w:rsidRPr="33033015">
        <w:rPr>
          <w:noProof/>
          <w:lang w:val="en-IE"/>
        </w:rPr>
        <w:t xml:space="preserve">contributing to </w:t>
      </w:r>
      <w:r w:rsidR="0093416E" w:rsidRPr="33033015">
        <w:rPr>
          <w:noProof/>
          <w:lang w:val="en-IE"/>
        </w:rPr>
        <w:t>mitigate societal</w:t>
      </w:r>
      <w:r w:rsidRPr="33033015">
        <w:rPr>
          <w:noProof/>
          <w:lang w:val="en-IE"/>
        </w:rPr>
        <w:t xml:space="preserve"> challenges.</w:t>
      </w:r>
    </w:p>
    <w:p w14:paraId="6796446E" w14:textId="65BCE96C" w:rsidR="003E4D46" w:rsidRDefault="7FBECE79" w:rsidP="00603157">
      <w:pPr>
        <w:rPr>
          <w:noProof/>
          <w:lang w:val="en-IE"/>
        </w:rPr>
      </w:pPr>
      <w:r>
        <w:rPr>
          <w:noProof/>
          <w:lang w:val="en-IE"/>
        </w:rPr>
        <w:t xml:space="preserve">With regards to </w:t>
      </w:r>
      <w:r w:rsidR="11E6B375" w:rsidRPr="01161804">
        <w:rPr>
          <w:b/>
          <w:bCs/>
          <w:noProof/>
          <w:lang w:val="en-IE"/>
        </w:rPr>
        <w:t>health</w:t>
      </w:r>
      <w:r w:rsidR="11E6B375" w:rsidRPr="01161804">
        <w:rPr>
          <w:noProof/>
          <w:lang w:val="en-IE"/>
        </w:rPr>
        <w:t xml:space="preserve">, </w:t>
      </w:r>
      <w:r w:rsidR="11E6B375" w:rsidRPr="01161804">
        <w:rPr>
          <w:rFonts w:eastAsia="Calibri"/>
          <w:noProof/>
          <w:lang w:val="en-IE"/>
        </w:rPr>
        <w:t>EU</w:t>
      </w:r>
      <w:r w:rsidRPr="0030098A">
        <w:rPr>
          <w:rFonts w:eastAsia="Calibri"/>
          <w:noProof/>
          <w:lang w:val="en-IE"/>
        </w:rPr>
        <w:t xml:space="preserve"> programmes provide a coherent framework for tackling Europe's health issues</w:t>
      </w:r>
      <w:r w:rsidR="4905B573" w:rsidRPr="0030098A">
        <w:rPr>
          <w:rFonts w:eastAsia="Calibri"/>
          <w:noProof/>
          <w:lang w:val="en-IE"/>
        </w:rPr>
        <w:t>, including through</w:t>
      </w:r>
      <w:r w:rsidR="3393E216" w:rsidRPr="0030098A">
        <w:rPr>
          <w:rFonts w:eastAsia="Calibri"/>
          <w:noProof/>
          <w:lang w:val="en-IE"/>
        </w:rPr>
        <w:t xml:space="preserve"> EU4Health</w:t>
      </w:r>
      <w:r w:rsidR="4905B573" w:rsidRPr="00846210">
        <w:rPr>
          <w:rFonts w:eastAsia="Calibri"/>
          <w:noProof/>
          <w:lang w:val="en-IE"/>
        </w:rPr>
        <w:t xml:space="preserve"> actions </w:t>
      </w:r>
      <w:r w:rsidR="489E86D0" w:rsidRPr="00846210">
        <w:rPr>
          <w:rFonts w:eastAsia="Calibri"/>
          <w:noProof/>
          <w:lang w:val="en-IE"/>
        </w:rPr>
        <w:t xml:space="preserve">to </w:t>
      </w:r>
      <w:r w:rsidR="4905B573" w:rsidRPr="00846210">
        <w:rPr>
          <w:rFonts w:eastAsia="Calibri"/>
          <w:noProof/>
          <w:lang w:val="en-IE"/>
        </w:rPr>
        <w:t>strengthen health systems</w:t>
      </w:r>
      <w:r w:rsidR="098CA0D9" w:rsidRPr="00846210">
        <w:rPr>
          <w:rFonts w:eastAsia="Calibri"/>
          <w:noProof/>
          <w:lang w:val="en-IE"/>
        </w:rPr>
        <w:t>’</w:t>
      </w:r>
      <w:r w:rsidR="4905B573" w:rsidRPr="00846210">
        <w:rPr>
          <w:rFonts w:eastAsia="Calibri"/>
          <w:noProof/>
          <w:lang w:val="en-IE"/>
        </w:rPr>
        <w:t xml:space="preserve"> resilience and public health</w:t>
      </w:r>
      <w:r w:rsidRPr="0030098A">
        <w:rPr>
          <w:rFonts w:eastAsia="Calibri"/>
          <w:noProof/>
          <w:lang w:val="en-IE"/>
        </w:rPr>
        <w:t xml:space="preserve">. Horizon Europe has </w:t>
      </w:r>
      <w:r w:rsidR="00AA7D34">
        <w:rPr>
          <w:rFonts w:eastAsia="Calibri"/>
          <w:noProof/>
          <w:lang w:val="en-IE"/>
        </w:rPr>
        <w:t xml:space="preserve">also </w:t>
      </w:r>
      <w:r w:rsidRPr="0030098A">
        <w:rPr>
          <w:rFonts w:eastAsia="Calibri"/>
          <w:noProof/>
          <w:lang w:val="en-IE"/>
        </w:rPr>
        <w:t xml:space="preserve">been successful in </w:t>
      </w:r>
      <w:r w:rsidR="527EF4AC" w:rsidRPr="0030098A">
        <w:rPr>
          <w:rFonts w:eastAsia="Calibri"/>
          <w:noProof/>
          <w:lang w:val="en-IE"/>
        </w:rPr>
        <w:t xml:space="preserve">progressing </w:t>
      </w:r>
      <w:r w:rsidR="4858E804" w:rsidRPr="0030098A">
        <w:rPr>
          <w:rFonts w:eastAsia="Calibri"/>
          <w:noProof/>
          <w:lang w:val="en-IE"/>
        </w:rPr>
        <w:t>in health</w:t>
      </w:r>
      <w:r w:rsidRPr="0030098A">
        <w:rPr>
          <w:rFonts w:eastAsia="Calibri"/>
          <w:noProof/>
          <w:lang w:val="en-IE"/>
        </w:rPr>
        <w:t xml:space="preserve"> challenges, promoting innovative solutions, and making significant contributions to </w:t>
      </w:r>
      <w:r>
        <w:rPr>
          <w:rFonts w:eastAsia="Calibri"/>
          <w:noProof/>
          <w:lang w:val="en-IE"/>
        </w:rPr>
        <w:t>advances in research and treatment of diseases</w:t>
      </w:r>
      <w:r w:rsidR="00FC3D58" w:rsidRPr="0030098A">
        <w:rPr>
          <w:rStyle w:val="FootnoteReference"/>
          <w:noProof/>
          <w:lang w:val="en-IE"/>
        </w:rPr>
        <w:footnoteReference w:id="170"/>
      </w:r>
      <w:r>
        <w:rPr>
          <w:rFonts w:eastAsia="Calibri"/>
          <w:noProof/>
          <w:lang w:val="en-IE"/>
        </w:rPr>
        <w:t xml:space="preserve"> </w:t>
      </w:r>
      <w:r w:rsidR="00FC3D58" w:rsidRPr="0030098A">
        <w:rPr>
          <w:rStyle w:val="FootnoteReference"/>
          <w:noProof/>
          <w:lang w:val="en-IE"/>
        </w:rPr>
        <w:footnoteReference w:id="171"/>
      </w:r>
      <w:r>
        <w:rPr>
          <w:rFonts w:eastAsia="Calibri"/>
          <w:noProof/>
          <w:lang w:val="en-IE"/>
        </w:rPr>
        <w:t>.</w:t>
      </w:r>
      <w:r w:rsidRPr="0030098A">
        <w:rPr>
          <w:rFonts w:eastAsia="Calibri"/>
          <w:noProof/>
          <w:lang w:val="en-IE"/>
        </w:rPr>
        <w:t xml:space="preserve"> </w:t>
      </w:r>
    </w:p>
    <w:p w14:paraId="34003EEA" w14:textId="2E93FB8A" w:rsidR="00FC3D58" w:rsidRPr="0030098A" w:rsidRDefault="770A4B85" w:rsidP="00603157">
      <w:pPr>
        <w:rPr>
          <w:i/>
          <w:iCs/>
          <w:noProof/>
          <w:lang w:val="en-IE"/>
        </w:rPr>
      </w:pPr>
      <w:r w:rsidRPr="33033015">
        <w:rPr>
          <w:noProof/>
          <w:lang w:val="en-IE"/>
        </w:rPr>
        <w:t>Finally</w:t>
      </w:r>
      <w:r w:rsidRPr="33033015">
        <w:rPr>
          <w:b/>
          <w:bCs/>
          <w:noProof/>
          <w:lang w:val="en-IE"/>
        </w:rPr>
        <w:t xml:space="preserve">, </w:t>
      </w:r>
      <w:r w:rsidRPr="33033015">
        <w:rPr>
          <w:noProof/>
          <w:lang w:val="en-IE"/>
        </w:rPr>
        <w:t xml:space="preserve">on </w:t>
      </w:r>
      <w:r w:rsidRPr="33033015">
        <w:rPr>
          <w:b/>
          <w:bCs/>
          <w:noProof/>
          <w:lang w:val="en-IE"/>
        </w:rPr>
        <w:t xml:space="preserve">resilience, technological sovereignty, economic security, security of supply, </w:t>
      </w:r>
      <w:r w:rsidRPr="33033015">
        <w:rPr>
          <w:rFonts w:eastAsia="Calibri"/>
          <w:noProof/>
          <w:lang w:val="en-IE"/>
        </w:rPr>
        <w:t xml:space="preserve">the current EU funding landscape has made progress in enhancing strategic sectors, reducing external dependence, and promoting key technologies through initiatives </w:t>
      </w:r>
      <w:r w:rsidR="5269F221" w:rsidRPr="33033015">
        <w:rPr>
          <w:rFonts w:eastAsia="Calibri"/>
          <w:noProof/>
          <w:lang w:val="en-IE"/>
        </w:rPr>
        <w:t xml:space="preserve">including, for example, </w:t>
      </w:r>
      <w:r w:rsidRPr="33033015">
        <w:rPr>
          <w:rFonts w:eastAsia="Calibri"/>
          <w:noProof/>
          <w:lang w:val="en-IE"/>
        </w:rPr>
        <w:t xml:space="preserve">European Defence Fund, </w:t>
      </w:r>
      <w:r w:rsidR="2C379767" w:rsidRPr="33033015">
        <w:rPr>
          <w:rFonts w:eastAsia="Calibri"/>
          <w:noProof/>
          <w:lang w:val="en-IE"/>
        </w:rPr>
        <w:t xml:space="preserve">EU4Health </w:t>
      </w:r>
      <w:r w:rsidRPr="33033015">
        <w:rPr>
          <w:rFonts w:eastAsia="Calibri"/>
          <w:noProof/>
          <w:lang w:val="en-IE"/>
        </w:rPr>
        <w:t>and Horizon Europe. Existing programmes have shown to play a vital role in shaping relations between the EU and third countries. However, the baseline scenario also shows fragmented programmes, limited integration of defence technologies into the civil sector, and reliance on external funding sources</w:t>
      </w:r>
      <w:r w:rsidR="1F6F4917" w:rsidRPr="33033015">
        <w:rPr>
          <w:rFonts w:eastAsia="Calibri"/>
          <w:noProof/>
          <w:lang w:val="en-IE"/>
        </w:rPr>
        <w:t xml:space="preserve"> and technology</w:t>
      </w:r>
      <w:r w:rsidRPr="33033015">
        <w:rPr>
          <w:rFonts w:eastAsia="Calibri"/>
          <w:noProof/>
          <w:lang w:val="en-IE"/>
        </w:rPr>
        <w:t>, with impact on the EU's strategic autonomy and economic security.</w:t>
      </w:r>
    </w:p>
    <w:p w14:paraId="087A70B3" w14:textId="77777777" w:rsidR="00FC3D58" w:rsidRPr="009913E0" w:rsidRDefault="00FC3D58" w:rsidP="008C51EB">
      <w:pPr>
        <w:pStyle w:val="Heading3"/>
        <w:numPr>
          <w:ilvl w:val="2"/>
          <w:numId w:val="21"/>
        </w:numPr>
        <w:spacing w:before="120" w:after="120"/>
        <w:rPr>
          <w:noProof/>
          <w:lang w:val="en-IE"/>
        </w:rPr>
      </w:pPr>
      <w:bookmarkStart w:id="222" w:name="_Toc195700215"/>
      <w:r w:rsidRPr="009913E0">
        <w:rPr>
          <w:noProof/>
          <w:lang w:val="en-IE"/>
        </w:rPr>
        <w:t>Environmental impact</w:t>
      </w:r>
      <w:bookmarkEnd w:id="222"/>
    </w:p>
    <w:p w14:paraId="5C4246C3" w14:textId="1B53B69E" w:rsidR="00FC3D58" w:rsidRPr="0030098A" w:rsidRDefault="7FBEE070" w:rsidP="00603157">
      <w:pPr>
        <w:rPr>
          <w:noProof/>
          <w:sz w:val="22"/>
          <w:szCs w:val="22"/>
          <w:lang w:val="en-IE"/>
        </w:rPr>
      </w:pPr>
      <w:r w:rsidRPr="0030098A">
        <w:rPr>
          <w:noProof/>
          <w:lang w:val="en-IE"/>
        </w:rPr>
        <w:t xml:space="preserve">Under the baseline scenario, the </w:t>
      </w:r>
      <w:r w:rsidRPr="2A1AD167">
        <w:rPr>
          <w:b/>
          <w:bCs/>
          <w:noProof/>
          <w:lang w:val="en-IE"/>
        </w:rPr>
        <w:t>climate impact</w:t>
      </w:r>
      <w:r w:rsidR="67D340B8" w:rsidRPr="2A1AD167">
        <w:rPr>
          <w:b/>
          <w:bCs/>
          <w:noProof/>
          <w:lang w:val="en-IE"/>
        </w:rPr>
        <w:t xml:space="preserve">, as well as on environmental aspects </w:t>
      </w:r>
      <w:r w:rsidR="67D340B8" w:rsidRPr="00846210">
        <w:rPr>
          <w:noProof/>
          <w:lang w:val="en-IE"/>
        </w:rPr>
        <w:t xml:space="preserve">(i.e. </w:t>
      </w:r>
      <w:r w:rsidR="59708719" w:rsidRPr="00846210">
        <w:rPr>
          <w:noProof/>
          <w:lang w:val="en-IE"/>
        </w:rPr>
        <w:t>water resilience, circularity, nature as well as pollution prevention and control)</w:t>
      </w:r>
      <w:r w:rsidR="67D340B8" w:rsidRPr="00846210">
        <w:rPr>
          <w:noProof/>
          <w:lang w:val="en-IE"/>
        </w:rPr>
        <w:t xml:space="preserve"> </w:t>
      </w:r>
      <w:r w:rsidRPr="2A1AD167">
        <w:rPr>
          <w:rFonts w:eastAsia="Times New Roman"/>
          <w:noProof/>
          <w:lang w:val="en-IE"/>
        </w:rPr>
        <w:t xml:space="preserve">is </w:t>
      </w:r>
      <w:r w:rsidRPr="003D1C13">
        <w:rPr>
          <w:rFonts w:eastAsia="Times New Roman"/>
          <w:noProof/>
          <w:lang w:val="en-IE"/>
        </w:rPr>
        <w:t>expected</w:t>
      </w:r>
      <w:r w:rsidRPr="00BB184A">
        <w:rPr>
          <w:noProof/>
          <w:lang w:val="en-IE"/>
        </w:rPr>
        <w:t xml:space="preserve"> </w:t>
      </w:r>
      <w:r w:rsidR="5D6B9F43" w:rsidRPr="00BB184A">
        <w:rPr>
          <w:noProof/>
          <w:lang w:val="en-IE"/>
        </w:rPr>
        <w:t xml:space="preserve">to be </w:t>
      </w:r>
      <w:r w:rsidRPr="003D1C13">
        <w:rPr>
          <w:noProof/>
          <w:lang w:val="en-IE"/>
        </w:rPr>
        <w:t>consistent</w:t>
      </w:r>
      <w:r w:rsidRPr="0030098A">
        <w:rPr>
          <w:noProof/>
          <w:lang w:val="en-IE"/>
        </w:rPr>
        <w:t xml:space="preserve"> with the current situation</w:t>
      </w:r>
      <w:r w:rsidRPr="2A1AD167">
        <w:rPr>
          <w:b/>
          <w:bCs/>
          <w:noProof/>
          <w:lang w:val="en-IE"/>
        </w:rPr>
        <w:t>.</w:t>
      </w:r>
      <w:r w:rsidRPr="0030098A">
        <w:rPr>
          <w:noProof/>
          <w:lang w:val="en-IE"/>
        </w:rPr>
        <w:t xml:space="preserve"> Horizon Europe would still focus on </w:t>
      </w:r>
      <w:r w:rsidR="71958AF2" w:rsidRPr="2A1AD167">
        <w:rPr>
          <w:noProof/>
          <w:lang w:val="en-IE"/>
        </w:rPr>
        <w:t>research and development</w:t>
      </w:r>
      <w:r w:rsidR="00691E5D">
        <w:rPr>
          <w:rStyle w:val="FootnoteReference"/>
          <w:noProof/>
          <w:lang w:val="en-IE"/>
        </w:rPr>
        <w:footnoteReference w:id="172"/>
      </w:r>
      <w:r w:rsidR="71958AF2" w:rsidRPr="2A1AD167">
        <w:rPr>
          <w:noProof/>
          <w:lang w:val="en-IE"/>
        </w:rPr>
        <w:t xml:space="preserve"> </w:t>
      </w:r>
      <w:r w:rsidR="0C313D73">
        <w:rPr>
          <w:noProof/>
          <w:lang w:val="en-IE"/>
        </w:rPr>
        <w:t>a</w:t>
      </w:r>
      <w:r w:rsidR="387FA9E2">
        <w:rPr>
          <w:noProof/>
          <w:lang w:val="en-IE"/>
        </w:rPr>
        <w:t>n</w:t>
      </w:r>
      <w:r w:rsidR="0C313D73">
        <w:rPr>
          <w:noProof/>
          <w:lang w:val="en-IE"/>
        </w:rPr>
        <w:t>d</w:t>
      </w:r>
      <w:r w:rsidR="272EAD1A">
        <w:rPr>
          <w:noProof/>
          <w:lang w:val="en-IE"/>
        </w:rPr>
        <w:t xml:space="preserve"> </w:t>
      </w:r>
      <w:r w:rsidR="387FA9E2">
        <w:rPr>
          <w:noProof/>
          <w:lang w:val="en-IE"/>
        </w:rPr>
        <w:t>t</w:t>
      </w:r>
      <w:r w:rsidRPr="0030098A">
        <w:rPr>
          <w:noProof/>
          <w:lang w:val="en-IE"/>
        </w:rPr>
        <w:t>he Innovation Fund and LIFE will remain important funding sources</w:t>
      </w:r>
      <w:r w:rsidR="3C9853FA" w:rsidRPr="01161804">
        <w:rPr>
          <w:noProof/>
          <w:lang w:val="en-IE"/>
        </w:rPr>
        <w:t xml:space="preserve"> to bring innovative technologies to market (early-of-a-kind applications) and scale them up</w:t>
      </w:r>
      <w:r w:rsidRPr="0030098A">
        <w:rPr>
          <w:noProof/>
          <w:lang w:val="en-IE"/>
        </w:rPr>
        <w:t xml:space="preserve">. </w:t>
      </w:r>
    </w:p>
    <w:p w14:paraId="75A18878" w14:textId="77777777" w:rsidR="00FC3D58" w:rsidRPr="0030098A" w:rsidRDefault="00FC3D58" w:rsidP="008C51EB">
      <w:pPr>
        <w:pStyle w:val="Heading2"/>
        <w:numPr>
          <w:ilvl w:val="1"/>
          <w:numId w:val="19"/>
        </w:numPr>
        <w:tabs>
          <w:tab w:val="clear" w:pos="1200"/>
          <w:tab w:val="num" w:pos="10217"/>
        </w:tabs>
        <w:ind w:left="833"/>
        <w:rPr>
          <w:noProof/>
          <w:lang w:val="en-IE"/>
        </w:rPr>
      </w:pPr>
      <w:bookmarkStart w:id="223" w:name="_Toc195700216"/>
      <w:bookmarkStart w:id="224" w:name="_Toc203043650"/>
      <w:r w:rsidRPr="0030098A">
        <w:rPr>
          <w:noProof/>
          <w:lang w:val="en-IE"/>
        </w:rPr>
        <w:t>Assessment of the three options</w:t>
      </w:r>
      <w:bookmarkEnd w:id="223"/>
      <w:bookmarkEnd w:id="224"/>
    </w:p>
    <w:p w14:paraId="3CF84005" w14:textId="77777777" w:rsidR="00FC3D58" w:rsidRPr="0030098A" w:rsidRDefault="00FC3D58" w:rsidP="008C51EB">
      <w:pPr>
        <w:pStyle w:val="Heading3"/>
        <w:numPr>
          <w:ilvl w:val="2"/>
          <w:numId w:val="25"/>
        </w:numPr>
        <w:spacing w:before="120" w:after="120"/>
        <w:rPr>
          <w:noProof/>
          <w:lang w:val="en-IE"/>
        </w:rPr>
      </w:pPr>
      <w:bookmarkStart w:id="225" w:name="_Toc197111343"/>
      <w:bookmarkStart w:id="226" w:name="_Toc197111710"/>
      <w:bookmarkStart w:id="227" w:name="_Toc197111918"/>
      <w:bookmarkStart w:id="228" w:name="_Toc197111344"/>
      <w:bookmarkStart w:id="229" w:name="_Toc197111711"/>
      <w:bookmarkStart w:id="230" w:name="_Toc197111919"/>
      <w:bookmarkStart w:id="231" w:name="_Toc197111345"/>
      <w:bookmarkStart w:id="232" w:name="_Toc197111712"/>
      <w:bookmarkStart w:id="233" w:name="_Toc197111920"/>
      <w:bookmarkStart w:id="234" w:name="_Toc197111346"/>
      <w:bookmarkStart w:id="235" w:name="_Toc197111713"/>
      <w:bookmarkStart w:id="236" w:name="_Toc197111921"/>
      <w:bookmarkStart w:id="237" w:name="_Toc197111347"/>
      <w:bookmarkStart w:id="238" w:name="_Toc197111714"/>
      <w:bookmarkStart w:id="239" w:name="_Toc197111922"/>
      <w:bookmarkStart w:id="240" w:name="_Toc195700217"/>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30098A">
        <w:rPr>
          <w:noProof/>
          <w:lang w:val="en-IE"/>
        </w:rPr>
        <w:t>Option A - Business-as-usual-plus: light coordination</w:t>
      </w:r>
      <w:bookmarkEnd w:id="240"/>
    </w:p>
    <w:p w14:paraId="1ABCC6C7" w14:textId="0233CA6E" w:rsidR="00FC3D58" w:rsidRPr="00726378" w:rsidRDefault="00BD44A6" w:rsidP="00726378">
      <w:pPr>
        <w:pStyle w:val="Heading4"/>
        <w:numPr>
          <w:ilvl w:val="3"/>
          <w:numId w:val="25"/>
        </w:numPr>
        <w:tabs>
          <w:tab w:val="num" w:pos="1890"/>
        </w:tabs>
        <w:ind w:left="1890"/>
        <w:rPr>
          <w:b/>
          <w:bCs/>
          <w:noProof/>
        </w:rPr>
      </w:pPr>
      <w:r>
        <w:rPr>
          <w:b/>
          <w:bCs/>
          <w:noProof/>
        </w:rPr>
        <w:t>E</w:t>
      </w:r>
      <w:r w:rsidR="00FC3D58" w:rsidRPr="00726378">
        <w:rPr>
          <w:b/>
          <w:bCs/>
          <w:noProof/>
        </w:rPr>
        <w:t>conomic impact</w:t>
      </w:r>
    </w:p>
    <w:p w14:paraId="4C1CB778" w14:textId="77777777" w:rsidR="003128FD" w:rsidRDefault="003128FD" w:rsidP="00603157">
      <w:pPr>
        <w:rPr>
          <w:b/>
          <w:noProof/>
          <w:lang w:val="en-IE"/>
        </w:rPr>
      </w:pPr>
      <w:r w:rsidRPr="0030098A">
        <w:rPr>
          <w:b/>
          <w:noProof/>
          <w:lang w:val="en-IE"/>
        </w:rPr>
        <w:t>Macro-economic impact</w:t>
      </w:r>
    </w:p>
    <w:p w14:paraId="69CD8DD8" w14:textId="5B9A90F1" w:rsidR="00C25198" w:rsidRDefault="770A4B85" w:rsidP="00603157">
      <w:pPr>
        <w:rPr>
          <w:noProof/>
          <w:lang w:val="en-IE"/>
        </w:rPr>
      </w:pPr>
      <w:r w:rsidRPr="51E02097">
        <w:rPr>
          <w:noProof/>
          <w:lang w:val="en-IE"/>
        </w:rPr>
        <w:t xml:space="preserve">The economic impacts of Option A are expected to be similar to the baseline, as the minimal differences between the two scenarios </w:t>
      </w:r>
      <w:r w:rsidR="240EEE70" w:rsidRPr="51E02097">
        <w:rPr>
          <w:noProof/>
          <w:lang w:val="en-IE"/>
        </w:rPr>
        <w:t xml:space="preserve"> </w:t>
      </w:r>
      <w:r w:rsidR="240EEE70" w:rsidRPr="51E02097">
        <w:rPr>
          <w:rFonts w:eastAsia="Times New Roman"/>
          <w:noProof/>
          <w:lang w:val="en-IE"/>
        </w:rPr>
        <w:t>would not generate significant effects, making it</w:t>
      </w:r>
      <w:r w:rsidRPr="51E02097">
        <w:rPr>
          <w:noProof/>
          <w:lang w:val="en-IE"/>
        </w:rPr>
        <w:t xml:space="preserve"> challenging for macroeconomic modelling to distinguish between them. As a result, benefits and costs for stakeholders, including businesses, research </w:t>
      </w:r>
      <w:r w:rsidR="000B579E" w:rsidRPr="51E02097">
        <w:rPr>
          <w:noProof/>
          <w:lang w:val="en-IE"/>
        </w:rPr>
        <w:t>centres</w:t>
      </w:r>
      <w:r w:rsidRPr="51E02097">
        <w:rPr>
          <w:noProof/>
          <w:lang w:val="en-IE"/>
        </w:rPr>
        <w:t xml:space="preserve">, and financial entities, are likely to remain unchanged. </w:t>
      </w:r>
    </w:p>
    <w:p w14:paraId="04FA829A" w14:textId="2CA68011" w:rsidR="00FC3D58" w:rsidRPr="00726378" w:rsidRDefault="00FC3D58" w:rsidP="00603157">
      <w:pPr>
        <w:rPr>
          <w:noProof/>
        </w:rPr>
      </w:pPr>
      <w:r w:rsidRPr="0030098A">
        <w:rPr>
          <w:noProof/>
          <w:lang w:val="en-IE"/>
        </w:rPr>
        <w:t xml:space="preserve">Similarly, </w:t>
      </w:r>
      <w:r w:rsidRPr="0030098A">
        <w:rPr>
          <w:b/>
          <w:noProof/>
          <w:lang w:val="en-IE"/>
        </w:rPr>
        <w:t xml:space="preserve">market </w:t>
      </w:r>
      <w:r w:rsidRPr="009F2A96">
        <w:rPr>
          <w:b/>
          <w:noProof/>
          <w:lang w:val="en-IE"/>
        </w:rPr>
        <w:t xml:space="preserve">impacts, digitalisation, </w:t>
      </w:r>
      <w:r w:rsidR="0014521F">
        <w:rPr>
          <w:b/>
          <w:noProof/>
          <w:lang w:val="en-IE"/>
        </w:rPr>
        <w:t xml:space="preserve">security, </w:t>
      </w:r>
      <w:r w:rsidRPr="009F2A96">
        <w:rPr>
          <w:b/>
          <w:noProof/>
          <w:lang w:val="en-IE"/>
        </w:rPr>
        <w:t>defence and space</w:t>
      </w:r>
      <w:r w:rsidRPr="009F2A96">
        <w:rPr>
          <w:noProof/>
          <w:lang w:val="en-IE"/>
        </w:rPr>
        <w:t xml:space="preserve"> </w:t>
      </w:r>
      <w:r w:rsidRPr="009F2A96">
        <w:rPr>
          <w:b/>
          <w:noProof/>
          <w:lang w:val="en-IE"/>
        </w:rPr>
        <w:t>and R</w:t>
      </w:r>
      <w:r w:rsidRPr="0030098A">
        <w:rPr>
          <w:b/>
          <w:noProof/>
          <w:lang w:val="en-IE"/>
        </w:rPr>
        <w:t>&amp;I impacts</w:t>
      </w:r>
      <w:r w:rsidRPr="0030098A">
        <w:rPr>
          <w:noProof/>
          <w:lang w:val="en-IE"/>
        </w:rPr>
        <w:t xml:space="preserve"> under Option </w:t>
      </w:r>
      <w:r>
        <w:rPr>
          <w:noProof/>
          <w:lang w:val="en-IE"/>
        </w:rPr>
        <w:t>A</w:t>
      </w:r>
      <w:r w:rsidRPr="0030098A">
        <w:rPr>
          <w:noProof/>
          <w:lang w:val="en-IE"/>
        </w:rPr>
        <w:t xml:space="preserve"> </w:t>
      </w:r>
      <w:r w:rsidRPr="009D1FA4">
        <w:rPr>
          <w:noProof/>
          <w:lang w:val="en-IE"/>
        </w:rPr>
        <w:t>will also align with the baseline scenario. Companies, especially in strategic sectors, will still face challenges in scaling up or accessing new markets, affecting the EU's long-term global competitiveness. Individual programs will continue to contribute to job creation, growth, and economic benefits, similar to the baseline scenario</w:t>
      </w:r>
      <w:r w:rsidR="00CD1643">
        <w:rPr>
          <w:noProof/>
          <w:lang w:val="en-IE"/>
        </w:rPr>
        <w:t>.</w:t>
      </w:r>
      <w:r w:rsidR="00D417C8">
        <w:rPr>
          <w:noProof/>
          <w:lang w:val="en-IE"/>
        </w:rPr>
        <w:t xml:space="preserve"> From this point of view, option A will not address the issue of fragmented support through the investment journey, nor will it leverage sufficiently private investment. It will also not make the access to the EU funding much easier with sufficient coordination mechanism and flexibility of the funding instruments. </w:t>
      </w:r>
    </w:p>
    <w:p w14:paraId="180BEB46" w14:textId="1240BFE1" w:rsidR="00FC3D58" w:rsidRPr="00B03DD3" w:rsidRDefault="00FC3D58" w:rsidP="00603157">
      <w:pPr>
        <w:pStyle w:val="Heading4"/>
        <w:numPr>
          <w:ilvl w:val="3"/>
          <w:numId w:val="25"/>
        </w:numPr>
        <w:tabs>
          <w:tab w:val="num" w:pos="1890"/>
        </w:tabs>
        <w:ind w:left="1890"/>
        <w:rPr>
          <w:b/>
          <w:bCs/>
          <w:noProof/>
        </w:rPr>
      </w:pPr>
      <w:r w:rsidRPr="00B03DD3">
        <w:rPr>
          <w:b/>
          <w:bCs/>
          <w:noProof/>
        </w:rPr>
        <w:t xml:space="preserve"> Social and Environmental Impacts </w:t>
      </w:r>
    </w:p>
    <w:p w14:paraId="675E56B5" w14:textId="56A62020" w:rsidR="00FC3D58" w:rsidRPr="0030098A" w:rsidRDefault="120EBE67" w:rsidP="00603157">
      <w:pPr>
        <w:rPr>
          <w:noProof/>
          <w:lang w:val="en-IE"/>
        </w:rPr>
      </w:pPr>
      <w:r w:rsidRPr="00704EA8">
        <w:rPr>
          <w:noProof/>
          <w:lang w:val="en-IE"/>
        </w:rPr>
        <w:t xml:space="preserve">It is expected that the social and environmental impacts of Option A will be very similar to those outlined in the baseline scenario. Specifically, the impacts on </w:t>
      </w:r>
      <w:r w:rsidR="522CEF02" w:rsidRPr="01161804" w:rsidDel="120EBE67">
        <w:rPr>
          <w:noProof/>
          <w:lang w:val="en-IE"/>
        </w:rPr>
        <w:t xml:space="preserve">employment, </w:t>
      </w:r>
      <w:r w:rsidRPr="00704EA8">
        <w:rPr>
          <w:noProof/>
          <w:lang w:val="en-IE"/>
        </w:rPr>
        <w:t>skills, education and training, territorial dynamics, health, and resilience are expected to be minimal</w:t>
      </w:r>
      <w:r w:rsidR="3E2B1A4D">
        <w:rPr>
          <w:noProof/>
          <w:lang w:val="en-IE"/>
        </w:rPr>
        <w:t xml:space="preserve"> compared to the status quo</w:t>
      </w:r>
      <w:r w:rsidRPr="00704EA8">
        <w:rPr>
          <w:noProof/>
          <w:lang w:val="en-IE"/>
        </w:rPr>
        <w:t xml:space="preserve">. In terms of environmental impact, it is assumed that the current programmes will continue to invest as they have done so far in </w:t>
      </w:r>
      <w:r w:rsidR="124769F4" w:rsidRPr="00704EA8">
        <w:rPr>
          <w:noProof/>
          <w:lang w:val="en-IE"/>
        </w:rPr>
        <w:t xml:space="preserve">environment and </w:t>
      </w:r>
      <w:r w:rsidRPr="00704EA8">
        <w:rPr>
          <w:noProof/>
          <w:lang w:val="en-IE"/>
        </w:rPr>
        <w:t>climate-related research, innovation, and deployment, covering both R&amp;I and deployment. This will continue to strengthen the EU's role in clean tech and net zero technologies, allowing the EU to enhance its position in the sector</w:t>
      </w:r>
      <w:r w:rsidR="00FC3D58" w:rsidRPr="0030098A">
        <w:rPr>
          <w:rStyle w:val="FootnoteReference"/>
          <w:noProof/>
          <w:lang w:val="en-IE"/>
        </w:rPr>
        <w:footnoteReference w:id="173"/>
      </w:r>
      <w:r>
        <w:rPr>
          <w:noProof/>
          <w:lang w:val="en-IE"/>
        </w:rPr>
        <w:t>.</w:t>
      </w:r>
    </w:p>
    <w:p w14:paraId="29314D40" w14:textId="08BEED8E" w:rsidR="00FC3D58" w:rsidRPr="0030098A" w:rsidRDefault="00FC3D58" w:rsidP="008C51EB">
      <w:pPr>
        <w:pStyle w:val="Heading3"/>
        <w:keepLines/>
        <w:numPr>
          <w:ilvl w:val="2"/>
          <w:numId w:val="25"/>
        </w:numPr>
        <w:spacing w:before="120" w:after="120"/>
        <w:rPr>
          <w:noProof/>
          <w:lang w:val="en-IE"/>
        </w:rPr>
      </w:pPr>
      <w:bookmarkStart w:id="241" w:name="_Toc195700218"/>
      <w:r w:rsidRPr="0030098A">
        <w:rPr>
          <w:noProof/>
          <w:lang w:val="en-IE"/>
        </w:rPr>
        <w:t>Option B- Enhanced coordination between existing programmes</w:t>
      </w:r>
      <w:bookmarkEnd w:id="241"/>
      <w:r w:rsidR="00B5137A">
        <w:rPr>
          <w:noProof/>
          <w:lang w:val="en-IE"/>
        </w:rPr>
        <w:t xml:space="preserve"> and a common rulebook</w:t>
      </w:r>
    </w:p>
    <w:p w14:paraId="636D4E83" w14:textId="77777777" w:rsidR="00FC3D58" w:rsidRPr="00B03DD3" w:rsidRDefault="00FC3D58" w:rsidP="00603157">
      <w:pPr>
        <w:pStyle w:val="Heading4"/>
        <w:keepLines/>
        <w:numPr>
          <w:ilvl w:val="3"/>
          <w:numId w:val="25"/>
        </w:numPr>
        <w:tabs>
          <w:tab w:val="num" w:pos="1890"/>
        </w:tabs>
        <w:ind w:left="1890"/>
        <w:rPr>
          <w:b/>
          <w:bCs/>
          <w:noProof/>
        </w:rPr>
      </w:pPr>
      <w:r w:rsidRPr="00B03DD3">
        <w:rPr>
          <w:b/>
          <w:bCs/>
          <w:noProof/>
        </w:rPr>
        <w:t>Economic Impacts</w:t>
      </w:r>
    </w:p>
    <w:p w14:paraId="7369F59E" w14:textId="77777777" w:rsidR="00FC3D58" w:rsidRDefault="00FC3D58" w:rsidP="00603157">
      <w:pPr>
        <w:keepNext/>
        <w:keepLines/>
        <w:rPr>
          <w:b/>
          <w:noProof/>
          <w:lang w:val="en-IE"/>
        </w:rPr>
      </w:pPr>
      <w:r w:rsidRPr="0030098A">
        <w:rPr>
          <w:b/>
          <w:noProof/>
          <w:lang w:val="en-IE"/>
        </w:rPr>
        <w:t>Macro-economic impact</w:t>
      </w:r>
    </w:p>
    <w:p w14:paraId="55B9CD5C" w14:textId="4F3F31E3" w:rsidR="00FB2731" w:rsidRPr="00FB2731" w:rsidRDefault="120EBE67" w:rsidP="00F01C25">
      <w:pPr>
        <w:keepNext/>
        <w:keepLines/>
        <w:rPr>
          <w:noProof/>
          <w:lang w:val="en-IE"/>
        </w:rPr>
      </w:pPr>
      <w:r w:rsidRPr="0030098A">
        <w:rPr>
          <w:noProof/>
          <w:lang w:val="en-IE"/>
        </w:rPr>
        <w:t xml:space="preserve">For Option </w:t>
      </w:r>
      <w:r>
        <w:rPr>
          <w:noProof/>
          <w:lang w:val="en-IE"/>
        </w:rPr>
        <w:t>B</w:t>
      </w:r>
      <w:r w:rsidRPr="0030098A">
        <w:rPr>
          <w:noProof/>
          <w:lang w:val="en-IE"/>
        </w:rPr>
        <w:t xml:space="preserve">, the following conclusion </w:t>
      </w:r>
      <w:r w:rsidR="4216F466" w:rsidRPr="0030098A">
        <w:rPr>
          <w:noProof/>
          <w:lang w:val="en-IE"/>
        </w:rPr>
        <w:t xml:space="preserve">has </w:t>
      </w:r>
      <w:r w:rsidRPr="0030098A">
        <w:rPr>
          <w:noProof/>
          <w:lang w:val="en-IE"/>
        </w:rPr>
        <w:t xml:space="preserve">been made </w:t>
      </w:r>
      <w:r w:rsidR="4B599682" w:rsidRPr="0030098A">
        <w:rPr>
          <w:noProof/>
          <w:lang w:val="en-IE"/>
        </w:rPr>
        <w:t xml:space="preserve">by means of </w:t>
      </w:r>
      <w:r w:rsidRPr="0030098A">
        <w:rPr>
          <w:noProof/>
          <w:lang w:val="en-IE"/>
        </w:rPr>
        <w:t xml:space="preserve">the </w:t>
      </w:r>
      <w:r w:rsidR="03555650" w:rsidRPr="0030098A">
        <w:rPr>
          <w:noProof/>
          <w:lang w:val="en-IE"/>
        </w:rPr>
        <w:t xml:space="preserve">JRC’s </w:t>
      </w:r>
      <w:r w:rsidRPr="0030098A">
        <w:rPr>
          <w:noProof/>
          <w:lang w:val="en-IE"/>
        </w:rPr>
        <w:t>RHOMOLO modelling</w:t>
      </w:r>
      <w:r w:rsidR="2D8D58CB" w:rsidRPr="0030098A">
        <w:rPr>
          <w:noProof/>
          <w:lang w:val="en-IE"/>
        </w:rPr>
        <w:t xml:space="preserve"> framework</w:t>
      </w:r>
      <w:r w:rsidR="001733F3">
        <w:rPr>
          <w:rStyle w:val="FootnoteReference"/>
          <w:noProof/>
          <w:lang w:val="en-IE"/>
        </w:rPr>
        <w:footnoteReference w:id="174"/>
      </w:r>
      <w:r w:rsidRPr="0030098A">
        <w:rPr>
          <w:noProof/>
          <w:lang w:val="en-IE"/>
        </w:rPr>
        <w:t xml:space="preserve">: </w:t>
      </w:r>
      <w:r w:rsidR="00FB2731" w:rsidRPr="00FB2731">
        <w:rPr>
          <w:noProof/>
          <w:lang w:val="en-IE"/>
        </w:rPr>
        <w:t xml:space="preserve">the return on investment would be higher than in option A. Over 15 years, the total benefit </w:t>
      </w:r>
      <w:r w:rsidR="12886D76" w:rsidRPr="50A12219">
        <w:rPr>
          <w:noProof/>
          <w:lang w:val="en-IE"/>
        </w:rPr>
        <w:t>(measured as the 15-year GDP multiplier)</w:t>
      </w:r>
      <w:r w:rsidR="12886D76" w:rsidRPr="00FB2731">
        <w:rPr>
          <w:noProof/>
          <w:lang w:val="en-IE"/>
        </w:rPr>
        <w:t xml:space="preserve"> </w:t>
      </w:r>
      <w:r w:rsidR="00FB2731" w:rsidRPr="00FB2731">
        <w:rPr>
          <w:noProof/>
          <w:lang w:val="en-IE"/>
        </w:rPr>
        <w:t xml:space="preserve">of the investment </w:t>
      </w:r>
      <w:r w:rsidR="6E723FB0" w:rsidRPr="00FB2731">
        <w:rPr>
          <w:noProof/>
          <w:lang w:val="en-IE"/>
        </w:rPr>
        <w:t xml:space="preserve">per euro spent </w:t>
      </w:r>
      <w:r w:rsidR="00FB2731" w:rsidRPr="00FB2731">
        <w:rPr>
          <w:noProof/>
          <w:lang w:val="en-IE"/>
        </w:rPr>
        <w:t xml:space="preserve">would be 1.51% higher than expected. This extra benefit comes from two main sources: (1) making things simpler, which would make businesses more efficient and add 1.46% to the return; and (2) </w:t>
      </w:r>
      <w:r w:rsidR="4D29C7A6" w:rsidRPr="65F05E44">
        <w:rPr>
          <w:noProof/>
          <w:lang w:val="en-IE"/>
        </w:rPr>
        <w:t>attract</w:t>
      </w:r>
      <w:r w:rsidR="14319EEC" w:rsidRPr="65F05E44">
        <w:rPr>
          <w:noProof/>
          <w:lang w:val="en-IE"/>
        </w:rPr>
        <w:t>ing</w:t>
      </w:r>
      <w:r w:rsidR="4D29C7A6" w:rsidRPr="00FB2731">
        <w:rPr>
          <w:noProof/>
          <w:lang w:val="en-IE"/>
        </w:rPr>
        <w:t xml:space="preserve"> more private investment</w:t>
      </w:r>
      <w:r w:rsidR="00FB2731" w:rsidRPr="00FB2731">
        <w:rPr>
          <w:noProof/>
          <w:lang w:val="en-IE"/>
        </w:rPr>
        <w:t>, which would add a small extra boost of 0.05% to the return. The European Union would also export 30.48% more goods and services to the rest of the world compared to Option A</w:t>
      </w:r>
      <w:r w:rsidR="2993F5D6" w:rsidRPr="00FB2731">
        <w:rPr>
          <w:noProof/>
          <w:lang w:val="en-IE"/>
        </w:rPr>
        <w:t xml:space="preserve"> </w:t>
      </w:r>
      <w:r w:rsidR="2993F5D6" w:rsidRPr="51E02097">
        <w:rPr>
          <w:rFonts w:eastAsia="Times New Roman"/>
          <w:noProof/>
          <w:lang w:val="en-IE"/>
        </w:rPr>
        <w:t>due to the larger volume of private investment generated by the guarantees</w:t>
      </w:r>
      <w:r w:rsidRPr="51E02097">
        <w:rPr>
          <w:rFonts w:eastAsia="Times New Roman"/>
          <w:noProof/>
          <w:vertAlign w:val="superscript"/>
          <w:lang w:val="en-IE"/>
        </w:rPr>
        <w:footnoteReference w:id="175"/>
      </w:r>
      <w:r w:rsidR="2993F5D6" w:rsidRPr="51E02097">
        <w:rPr>
          <w:rFonts w:eastAsia="Times New Roman"/>
          <w:noProof/>
          <w:lang w:val="en-IE"/>
        </w:rPr>
        <w:t xml:space="preserve">. </w:t>
      </w:r>
    </w:p>
    <w:p w14:paraId="4F202BDB" w14:textId="12DE47D6" w:rsidR="00FC3D58" w:rsidRDefault="00FC3D58" w:rsidP="00F0281E">
      <w:pPr>
        <w:keepNext/>
        <w:keepLines/>
        <w:spacing w:before="0" w:after="0"/>
        <w:rPr>
          <w:noProof/>
          <w:lang w:val="en-IE"/>
        </w:rPr>
      </w:pPr>
      <w:r w:rsidRPr="2F99EE5A">
        <w:rPr>
          <w:rFonts w:eastAsia="Times New Roman"/>
          <w:b/>
          <w:bCs/>
          <w:noProof/>
          <w:color w:val="000000" w:themeColor="text1"/>
          <w:lang w:val="en-IE"/>
        </w:rPr>
        <w:t>Benefits and costs for relevant beneficiaries</w:t>
      </w:r>
    </w:p>
    <w:p w14:paraId="3538D232" w14:textId="2CE3B7D0" w:rsidR="00FC3D58" w:rsidRDefault="00FC3D58" w:rsidP="00603157">
      <w:pPr>
        <w:pStyle w:val="Text2"/>
        <w:ind w:left="0"/>
        <w:rPr>
          <w:noProof/>
          <w:lang w:val="en-IE"/>
        </w:rPr>
      </w:pPr>
      <w:r w:rsidRPr="39E966C6">
        <w:rPr>
          <w:noProof/>
          <w:lang w:val="en-IE"/>
        </w:rPr>
        <w:t>The improved coordination between programs under Option B would create synergies by combining EU funding, making it easier for businesses to access financial support. A unified rulebook would simplify compliance, reduce barriers, and streamline application processes, making funding more predictable and transparent. This would benefit SMEs, start-ups, and large companies, allowing them to combine funding streams and scale innovation projects more efficiently.</w:t>
      </w:r>
    </w:p>
    <w:p w14:paraId="25464C3F" w14:textId="45D2014A" w:rsidR="00A76030" w:rsidRDefault="00A76030" w:rsidP="00603157">
      <w:pPr>
        <w:pStyle w:val="BodyText1"/>
        <w:rPr>
          <w:rFonts w:ascii="Times New Roman" w:hAnsi="Times New Roman"/>
          <w:sz w:val="24"/>
          <w:szCs w:val="24"/>
          <w:lang w:val="en-IE"/>
        </w:rPr>
      </w:pPr>
      <w:r w:rsidRPr="13403F9F">
        <w:rPr>
          <w:rFonts w:ascii="Times New Roman" w:hAnsi="Times New Roman"/>
          <w:sz w:val="24"/>
          <w:szCs w:val="24"/>
          <w:lang w:val="en-IE"/>
        </w:rPr>
        <w:t>The common rulebook is expected to save applicants time in understanding the specific rules for each programme they might be interested in. However, applicants will still have to navigate the opportunities available under the different funds.</w:t>
      </w:r>
      <w:r w:rsidR="00175524" w:rsidRPr="13403F9F">
        <w:rPr>
          <w:rFonts w:ascii="Times New Roman" w:hAnsi="Times New Roman"/>
          <w:sz w:val="24"/>
          <w:szCs w:val="24"/>
          <w:lang w:val="en-IE"/>
        </w:rPr>
        <w:t xml:space="preserve"> </w:t>
      </w:r>
      <w:r w:rsidR="00EE1F18" w:rsidRPr="13403F9F">
        <w:rPr>
          <w:rFonts w:ascii="Times New Roman" w:hAnsi="Times New Roman"/>
          <w:sz w:val="24"/>
          <w:szCs w:val="24"/>
          <w:lang w:val="en-IE"/>
        </w:rPr>
        <w:t xml:space="preserve">It is expected that </w:t>
      </w:r>
      <w:r w:rsidR="000A66C3" w:rsidRPr="13403F9F">
        <w:rPr>
          <w:rFonts w:ascii="Times New Roman" w:hAnsi="Times New Roman"/>
          <w:sz w:val="24"/>
          <w:szCs w:val="24"/>
          <w:lang w:val="en-IE"/>
        </w:rPr>
        <w:t>under Option B,</w:t>
      </w:r>
      <w:r w:rsidR="00B45B9F" w:rsidRPr="13403F9F">
        <w:rPr>
          <w:rFonts w:ascii="Times New Roman" w:hAnsi="Times New Roman"/>
          <w:sz w:val="24"/>
          <w:szCs w:val="24"/>
          <w:lang w:val="en-IE"/>
        </w:rPr>
        <w:t xml:space="preserve"> the </w:t>
      </w:r>
      <w:r w:rsidR="00B45B9F" w:rsidRPr="6472FDEA">
        <w:rPr>
          <w:rFonts w:ascii="Times New Roman" w:hAnsi="Times New Roman"/>
          <w:b/>
          <w:bCs/>
          <w:sz w:val="24"/>
          <w:szCs w:val="24"/>
          <w:lang w:val="en-IE"/>
        </w:rPr>
        <w:t xml:space="preserve">cost to prepare the proposal </w:t>
      </w:r>
      <w:r w:rsidR="00BB6D47" w:rsidRPr="6472FDEA">
        <w:rPr>
          <w:rFonts w:ascii="Times New Roman" w:hAnsi="Times New Roman"/>
          <w:b/>
          <w:bCs/>
          <w:sz w:val="24"/>
          <w:szCs w:val="24"/>
          <w:lang w:val="en-IE"/>
        </w:rPr>
        <w:t>will</w:t>
      </w:r>
      <w:r w:rsidR="00B45B9F" w:rsidRPr="13403F9F">
        <w:rPr>
          <w:rFonts w:ascii="Times New Roman" w:hAnsi="Times New Roman"/>
          <w:sz w:val="24"/>
          <w:szCs w:val="24"/>
          <w:lang w:val="en-IE"/>
        </w:rPr>
        <w:t xml:space="preserve"> </w:t>
      </w:r>
      <w:r w:rsidR="00B45B9F" w:rsidRPr="6472FDEA">
        <w:rPr>
          <w:rFonts w:ascii="Times New Roman" w:hAnsi="Times New Roman"/>
          <w:b/>
          <w:bCs/>
          <w:sz w:val="24"/>
          <w:szCs w:val="24"/>
          <w:lang w:val="en-IE"/>
        </w:rPr>
        <w:t>decrease by 5%</w:t>
      </w:r>
      <w:r w:rsidR="00B00A85" w:rsidRPr="6472FDEA">
        <w:rPr>
          <w:rStyle w:val="FootnoteReference"/>
          <w:rFonts w:ascii="Times New Roman" w:hAnsi="Times New Roman"/>
          <w:b/>
          <w:bCs/>
          <w:sz w:val="24"/>
          <w:szCs w:val="24"/>
          <w:lang w:val="en-IE"/>
        </w:rPr>
        <w:footnoteReference w:id="176"/>
      </w:r>
      <w:r w:rsidR="00266DFD" w:rsidRPr="13403F9F">
        <w:rPr>
          <w:rFonts w:ascii="Times New Roman" w:hAnsi="Times New Roman"/>
          <w:sz w:val="24"/>
          <w:szCs w:val="24"/>
          <w:lang w:val="en-IE"/>
        </w:rPr>
        <w:t xml:space="preserve"> compared to the baseline, lowering </w:t>
      </w:r>
      <w:r w:rsidR="002E5702" w:rsidRPr="13403F9F">
        <w:rPr>
          <w:rFonts w:ascii="Times New Roman" w:hAnsi="Times New Roman"/>
          <w:sz w:val="24"/>
          <w:szCs w:val="24"/>
          <w:lang w:val="en-IE"/>
        </w:rPr>
        <w:t>the</w:t>
      </w:r>
      <w:r w:rsidR="004F003B" w:rsidRPr="13403F9F">
        <w:rPr>
          <w:rFonts w:ascii="Times New Roman" w:hAnsi="Times New Roman"/>
          <w:sz w:val="24"/>
          <w:szCs w:val="24"/>
          <w:lang w:val="en-IE"/>
        </w:rPr>
        <w:t xml:space="preserve"> proposal preparation </w:t>
      </w:r>
      <w:r w:rsidR="0020560A" w:rsidRPr="13403F9F">
        <w:rPr>
          <w:rFonts w:ascii="Times New Roman" w:hAnsi="Times New Roman"/>
          <w:sz w:val="24"/>
          <w:szCs w:val="24"/>
          <w:lang w:val="en-IE"/>
        </w:rPr>
        <w:t xml:space="preserve">cost </w:t>
      </w:r>
      <w:r w:rsidR="004F003B" w:rsidRPr="13403F9F">
        <w:rPr>
          <w:rFonts w:ascii="Times New Roman" w:hAnsi="Times New Roman"/>
          <w:sz w:val="24"/>
          <w:szCs w:val="24"/>
          <w:lang w:val="en-IE"/>
        </w:rPr>
        <w:t xml:space="preserve">to </w:t>
      </w:r>
      <w:r w:rsidR="00E8276A" w:rsidRPr="13403F9F">
        <w:rPr>
          <w:rFonts w:ascii="Times New Roman" w:hAnsi="Times New Roman"/>
          <w:sz w:val="24"/>
          <w:szCs w:val="24"/>
          <w:lang w:val="en-IE"/>
        </w:rPr>
        <w:t xml:space="preserve">the range between </w:t>
      </w:r>
      <w:r w:rsidR="004979B3" w:rsidRPr="13403F9F">
        <w:rPr>
          <w:rFonts w:ascii="Times New Roman" w:hAnsi="Times New Roman"/>
          <w:sz w:val="24"/>
          <w:szCs w:val="24"/>
          <w:lang w:val="en-IE"/>
        </w:rPr>
        <w:t xml:space="preserve">EUR </w:t>
      </w:r>
      <w:r w:rsidR="0084465D" w:rsidRPr="13403F9F">
        <w:rPr>
          <w:rFonts w:ascii="Times New Roman" w:hAnsi="Times New Roman"/>
          <w:sz w:val="24"/>
          <w:szCs w:val="24"/>
          <w:lang w:val="en-IE"/>
        </w:rPr>
        <w:t>4 750</w:t>
      </w:r>
      <w:r w:rsidR="004979B3" w:rsidRPr="13403F9F">
        <w:rPr>
          <w:rFonts w:ascii="Times New Roman" w:hAnsi="Times New Roman"/>
          <w:sz w:val="24"/>
          <w:szCs w:val="24"/>
          <w:lang w:val="en-IE"/>
        </w:rPr>
        <w:t xml:space="preserve"> </w:t>
      </w:r>
      <w:r w:rsidR="00E8276A" w:rsidRPr="13403F9F">
        <w:rPr>
          <w:rFonts w:ascii="Times New Roman" w:hAnsi="Times New Roman"/>
          <w:sz w:val="24"/>
          <w:szCs w:val="24"/>
          <w:lang w:val="en-IE"/>
        </w:rPr>
        <w:t>and EUR 30 400</w:t>
      </w:r>
      <w:r w:rsidR="00C214D8" w:rsidRPr="13403F9F">
        <w:rPr>
          <w:rFonts w:ascii="Times New Roman" w:hAnsi="Times New Roman"/>
          <w:sz w:val="24"/>
          <w:szCs w:val="24"/>
          <w:lang w:val="en-IE"/>
        </w:rPr>
        <w:t xml:space="preserve"> depending on the complexity of a programme</w:t>
      </w:r>
      <w:r w:rsidR="00BB6129" w:rsidRPr="13403F9F">
        <w:rPr>
          <w:rFonts w:ascii="Times New Roman" w:hAnsi="Times New Roman"/>
          <w:sz w:val="24"/>
          <w:szCs w:val="24"/>
          <w:lang w:val="en-IE"/>
        </w:rPr>
        <w:t xml:space="preserve">. </w:t>
      </w:r>
      <w:r w:rsidR="740291BE" w:rsidRPr="00F01C25">
        <w:rPr>
          <w:rFonts w:ascii="Times New Roman" w:eastAsiaTheme="minorEastAsia" w:hAnsi="Times New Roman"/>
          <w:sz w:val="24"/>
          <w:szCs w:val="24"/>
        </w:rPr>
        <w:t>A</w:t>
      </w:r>
      <w:r w:rsidR="3A6C1767" w:rsidRPr="00F01C25">
        <w:rPr>
          <w:rFonts w:ascii="Times New Roman" w:eastAsiaTheme="minorEastAsia" w:hAnsi="Times New Roman"/>
          <w:sz w:val="24"/>
          <w:szCs w:val="24"/>
        </w:rPr>
        <w:t xml:space="preserve"> slighty lower </w:t>
      </w:r>
      <w:r w:rsidR="321ED1C0" w:rsidRPr="00F01C25">
        <w:rPr>
          <w:rFonts w:ascii="Times New Roman" w:eastAsiaTheme="minorEastAsia" w:hAnsi="Times New Roman"/>
          <w:sz w:val="24"/>
          <w:szCs w:val="24"/>
        </w:rPr>
        <w:t xml:space="preserve">effort by consortium coordinator would be needed </w:t>
      </w:r>
      <w:r w:rsidR="3A6C1767" w:rsidRPr="00F0281E">
        <w:rPr>
          <w:rFonts w:ascii="Times New Roman" w:eastAsiaTheme="minorEastAsia" w:hAnsi="Times New Roman"/>
          <w:sz w:val="24"/>
          <w:szCs w:val="24"/>
        </w:rPr>
        <w:t xml:space="preserve"> to prepare a proposal compared to the baseline option (34-4</w:t>
      </w:r>
      <w:r w:rsidR="0CC2E74F" w:rsidRPr="00F0281E">
        <w:rPr>
          <w:rFonts w:ascii="Times New Roman" w:eastAsiaTheme="minorEastAsia" w:hAnsi="Times New Roman"/>
          <w:sz w:val="24"/>
          <w:szCs w:val="24"/>
        </w:rPr>
        <w:t>3</w:t>
      </w:r>
      <w:r w:rsidR="3A6C1767" w:rsidRPr="00F0281E">
        <w:rPr>
          <w:rFonts w:ascii="Times New Roman" w:eastAsiaTheme="minorEastAsia" w:hAnsi="Times New Roman"/>
          <w:sz w:val="24"/>
          <w:szCs w:val="24"/>
        </w:rPr>
        <w:t xml:space="preserve"> person days), as well as </w:t>
      </w:r>
      <w:r w:rsidR="7BABF722" w:rsidRPr="00F01C25">
        <w:rPr>
          <w:rFonts w:ascii="Times New Roman" w:eastAsiaTheme="minorEastAsia" w:hAnsi="Times New Roman"/>
          <w:sz w:val="24"/>
          <w:szCs w:val="24"/>
        </w:rPr>
        <w:t>by</w:t>
      </w:r>
      <w:r w:rsidR="00190A53" w:rsidRPr="00F01C25">
        <w:rPr>
          <w:rFonts w:ascii="Times New Roman" w:eastAsiaTheme="minorEastAsia" w:hAnsi="Times New Roman"/>
          <w:sz w:val="24"/>
          <w:szCs w:val="24"/>
        </w:rPr>
        <w:t>contributing</w:t>
      </w:r>
      <w:r w:rsidR="3A6C1767" w:rsidRPr="00F01C25">
        <w:rPr>
          <w:rFonts w:ascii="Times New Roman" w:eastAsiaTheme="minorEastAsia" w:hAnsi="Times New Roman"/>
          <w:sz w:val="24"/>
          <w:szCs w:val="24"/>
        </w:rPr>
        <w:t xml:space="preserve"> consortium partners (1</w:t>
      </w:r>
      <w:r w:rsidR="58D55A06" w:rsidRPr="00F01C25">
        <w:rPr>
          <w:rFonts w:ascii="Times New Roman" w:eastAsiaTheme="minorEastAsia" w:hAnsi="Times New Roman"/>
          <w:sz w:val="24"/>
          <w:szCs w:val="24"/>
        </w:rPr>
        <w:t>5</w:t>
      </w:r>
      <w:r w:rsidR="3A6C1767" w:rsidRPr="00F01C25">
        <w:rPr>
          <w:rFonts w:ascii="Times New Roman" w:eastAsiaTheme="minorEastAsia" w:hAnsi="Times New Roman"/>
          <w:sz w:val="24"/>
          <w:szCs w:val="24"/>
        </w:rPr>
        <w:t>-2</w:t>
      </w:r>
      <w:r w:rsidR="140DA67E" w:rsidRPr="00F01C25">
        <w:rPr>
          <w:rFonts w:ascii="Times New Roman" w:eastAsiaTheme="minorEastAsia" w:hAnsi="Times New Roman"/>
          <w:sz w:val="24"/>
          <w:szCs w:val="24"/>
        </w:rPr>
        <w:t>4</w:t>
      </w:r>
      <w:r w:rsidR="3A6C1767" w:rsidRPr="00F01C25">
        <w:rPr>
          <w:rFonts w:ascii="Times New Roman" w:eastAsiaTheme="minorEastAsia" w:hAnsi="Times New Roman"/>
          <w:sz w:val="24"/>
          <w:szCs w:val="24"/>
        </w:rPr>
        <w:t xml:space="preserve"> person days).</w:t>
      </w:r>
      <w:r w:rsidR="3A6C1767" w:rsidRPr="00F01C25">
        <w:rPr>
          <w:rFonts w:ascii="Times New Roman" w:eastAsiaTheme="minorEastAsia" w:hAnsi="Times New Roman"/>
          <w:sz w:val="24"/>
          <w:szCs w:val="24"/>
          <w:lang w:val="en-IE"/>
        </w:rPr>
        <w:t xml:space="preserve"> </w:t>
      </w:r>
      <w:r w:rsidR="00742388" w:rsidRPr="00F01C25">
        <w:rPr>
          <w:rFonts w:asciiTheme="minorHAnsi" w:eastAsiaTheme="minorEastAsia" w:hAnsiTheme="minorHAnsi" w:cstheme="minorBidi"/>
          <w:sz w:val="24"/>
          <w:szCs w:val="24"/>
          <w:lang w:val="en-IE"/>
        </w:rPr>
        <w:t>T</w:t>
      </w:r>
      <w:r w:rsidR="00742388" w:rsidRPr="6472FDEA">
        <w:rPr>
          <w:rFonts w:ascii="Times New Roman" w:hAnsi="Times New Roman"/>
          <w:b/>
          <w:bCs/>
          <w:sz w:val="24"/>
          <w:szCs w:val="24"/>
          <w:lang w:val="en-IE"/>
        </w:rPr>
        <w:t xml:space="preserve">he </w:t>
      </w:r>
      <w:r w:rsidR="00F40E3D" w:rsidRPr="6472FDEA">
        <w:rPr>
          <w:rFonts w:ascii="Times New Roman" w:hAnsi="Times New Roman"/>
          <w:b/>
          <w:bCs/>
          <w:sz w:val="24"/>
          <w:szCs w:val="24"/>
          <w:lang w:val="en-IE"/>
        </w:rPr>
        <w:t>time-to-inform</w:t>
      </w:r>
      <w:r w:rsidR="00F40E3D" w:rsidRPr="13403F9F">
        <w:rPr>
          <w:rFonts w:ascii="Times New Roman" w:hAnsi="Times New Roman"/>
          <w:sz w:val="24"/>
          <w:szCs w:val="24"/>
          <w:lang w:val="en-IE"/>
        </w:rPr>
        <w:t xml:space="preserve"> </w:t>
      </w:r>
      <w:r w:rsidR="003D5EDF" w:rsidRPr="13403F9F">
        <w:rPr>
          <w:rFonts w:ascii="Times New Roman" w:hAnsi="Times New Roman"/>
          <w:sz w:val="24"/>
          <w:szCs w:val="24"/>
          <w:lang w:val="en-IE"/>
        </w:rPr>
        <w:t xml:space="preserve">and </w:t>
      </w:r>
      <w:r w:rsidR="003D5EDF" w:rsidRPr="6472FDEA">
        <w:rPr>
          <w:rFonts w:ascii="Times New Roman" w:hAnsi="Times New Roman"/>
          <w:b/>
          <w:bCs/>
          <w:sz w:val="24"/>
          <w:szCs w:val="24"/>
          <w:lang w:val="en-IE"/>
        </w:rPr>
        <w:t xml:space="preserve">the </w:t>
      </w:r>
      <w:r w:rsidR="002652D4" w:rsidRPr="6472FDEA">
        <w:rPr>
          <w:rFonts w:ascii="Times New Roman" w:hAnsi="Times New Roman"/>
          <w:b/>
          <w:bCs/>
          <w:sz w:val="24"/>
          <w:szCs w:val="24"/>
          <w:lang w:val="en-IE"/>
        </w:rPr>
        <w:t xml:space="preserve">overall </w:t>
      </w:r>
      <w:r w:rsidR="003D5EDF" w:rsidRPr="6472FDEA">
        <w:rPr>
          <w:rFonts w:ascii="Times New Roman" w:hAnsi="Times New Roman"/>
          <w:b/>
          <w:bCs/>
          <w:sz w:val="24"/>
          <w:szCs w:val="24"/>
          <w:lang w:val="en-IE"/>
        </w:rPr>
        <w:t>time-to-grant</w:t>
      </w:r>
      <w:r w:rsidR="003D5EDF" w:rsidRPr="13403F9F">
        <w:rPr>
          <w:rFonts w:ascii="Times New Roman" w:hAnsi="Times New Roman"/>
          <w:sz w:val="24"/>
          <w:szCs w:val="24"/>
          <w:lang w:val="en-IE"/>
        </w:rPr>
        <w:t xml:space="preserve"> </w:t>
      </w:r>
      <w:r w:rsidR="003F2918" w:rsidRPr="13403F9F">
        <w:rPr>
          <w:rFonts w:ascii="Times New Roman" w:hAnsi="Times New Roman"/>
          <w:sz w:val="24"/>
          <w:szCs w:val="24"/>
          <w:lang w:val="en-IE"/>
        </w:rPr>
        <w:t>is</w:t>
      </w:r>
      <w:r w:rsidR="00746F32" w:rsidRPr="13403F9F">
        <w:rPr>
          <w:rFonts w:ascii="Times New Roman" w:hAnsi="Times New Roman"/>
          <w:sz w:val="24"/>
          <w:szCs w:val="24"/>
          <w:lang w:val="en-IE"/>
        </w:rPr>
        <w:t xml:space="preserve"> also</w:t>
      </w:r>
      <w:r w:rsidR="003F2918" w:rsidRPr="13403F9F">
        <w:rPr>
          <w:rFonts w:ascii="Times New Roman" w:hAnsi="Times New Roman"/>
          <w:sz w:val="24"/>
          <w:szCs w:val="24"/>
          <w:lang w:val="en-IE"/>
        </w:rPr>
        <w:t xml:space="preserve"> expected to be </w:t>
      </w:r>
      <w:r w:rsidR="003F2918" w:rsidRPr="6472FDEA">
        <w:rPr>
          <w:rFonts w:ascii="Times New Roman" w:hAnsi="Times New Roman"/>
          <w:b/>
          <w:bCs/>
          <w:sz w:val="24"/>
          <w:szCs w:val="24"/>
          <w:lang w:val="en-IE"/>
        </w:rPr>
        <w:t xml:space="preserve">reduced </w:t>
      </w:r>
      <w:r w:rsidR="00DA6DC8" w:rsidRPr="6472FDEA">
        <w:rPr>
          <w:rFonts w:ascii="Times New Roman" w:hAnsi="Times New Roman"/>
          <w:b/>
          <w:bCs/>
          <w:sz w:val="24"/>
          <w:szCs w:val="24"/>
          <w:lang w:val="en-IE"/>
        </w:rPr>
        <w:t xml:space="preserve">by </w:t>
      </w:r>
      <w:r w:rsidR="00A1609E" w:rsidRPr="6472FDEA">
        <w:rPr>
          <w:rFonts w:ascii="Times New Roman" w:hAnsi="Times New Roman"/>
          <w:b/>
          <w:bCs/>
          <w:sz w:val="24"/>
          <w:szCs w:val="24"/>
          <w:lang w:val="en-IE"/>
        </w:rPr>
        <w:t>5-10</w:t>
      </w:r>
      <w:r w:rsidR="0009090C" w:rsidRPr="6472FDEA">
        <w:rPr>
          <w:rStyle w:val="FootnoteReference"/>
          <w:rFonts w:ascii="Times New Roman" w:hAnsi="Times New Roman"/>
          <w:b/>
          <w:bCs/>
          <w:sz w:val="24"/>
          <w:szCs w:val="24"/>
          <w:lang w:val="en-IE"/>
        </w:rPr>
        <w:footnoteReference w:id="177"/>
      </w:r>
      <w:r w:rsidR="002E2C70" w:rsidRPr="13403F9F">
        <w:rPr>
          <w:rFonts w:ascii="Times New Roman" w:hAnsi="Times New Roman"/>
          <w:sz w:val="24"/>
          <w:szCs w:val="24"/>
          <w:lang w:val="en-IE"/>
        </w:rPr>
        <w:t xml:space="preserve"> </w:t>
      </w:r>
      <w:r w:rsidR="00C174C0" w:rsidRPr="13403F9F">
        <w:rPr>
          <w:rFonts w:ascii="Times New Roman" w:hAnsi="Times New Roman"/>
          <w:sz w:val="24"/>
          <w:szCs w:val="24"/>
          <w:lang w:val="en-IE"/>
        </w:rPr>
        <w:t xml:space="preserve">for applicants </w:t>
      </w:r>
      <w:r w:rsidR="00575BE0" w:rsidRPr="13403F9F">
        <w:rPr>
          <w:rFonts w:ascii="Times New Roman" w:hAnsi="Times New Roman"/>
          <w:sz w:val="24"/>
          <w:szCs w:val="24"/>
          <w:lang w:val="en-IE"/>
        </w:rPr>
        <w:t xml:space="preserve">under grant-based instruments, especially for frequent or multi-programme applicants, without generating changes under financial instruments. </w:t>
      </w:r>
      <w:r w:rsidR="008D1CE5" w:rsidRPr="13403F9F">
        <w:rPr>
          <w:rFonts w:ascii="Times New Roman" w:hAnsi="Times New Roman"/>
          <w:sz w:val="24"/>
          <w:szCs w:val="24"/>
          <w:lang w:val="en-IE"/>
        </w:rPr>
        <w:t>Option B</w:t>
      </w:r>
      <w:r w:rsidR="00EF6B3A" w:rsidRPr="13403F9F">
        <w:rPr>
          <w:rFonts w:ascii="Times New Roman" w:hAnsi="Times New Roman"/>
          <w:sz w:val="24"/>
          <w:szCs w:val="24"/>
          <w:lang w:val="en-IE"/>
        </w:rPr>
        <w:t xml:space="preserve"> may have a </w:t>
      </w:r>
      <w:r w:rsidR="006118A7" w:rsidRPr="13403F9F">
        <w:rPr>
          <w:rFonts w:ascii="Times New Roman" w:hAnsi="Times New Roman"/>
          <w:sz w:val="24"/>
          <w:szCs w:val="24"/>
          <w:lang w:val="en-IE"/>
        </w:rPr>
        <w:t>moderately</w:t>
      </w:r>
      <w:r w:rsidR="00EF6B3A" w:rsidRPr="13403F9F">
        <w:rPr>
          <w:rFonts w:ascii="Times New Roman" w:hAnsi="Times New Roman"/>
          <w:sz w:val="24"/>
          <w:szCs w:val="24"/>
          <w:lang w:val="en-IE"/>
        </w:rPr>
        <w:t xml:space="preserve"> positive impact on the programme’s success rate</w:t>
      </w:r>
      <w:r w:rsidR="00C7682F" w:rsidRPr="13403F9F">
        <w:rPr>
          <w:rFonts w:ascii="Times New Roman" w:hAnsi="Times New Roman"/>
          <w:sz w:val="24"/>
          <w:szCs w:val="24"/>
          <w:lang w:val="en-IE"/>
        </w:rPr>
        <w:t>.</w:t>
      </w:r>
    </w:p>
    <w:p w14:paraId="5FE49B1C" w14:textId="1C4A5DE3" w:rsidR="00FC3D58" w:rsidRPr="00225B9D" w:rsidRDefault="00CE66B2" w:rsidP="00603157">
      <w:pPr>
        <w:pStyle w:val="Text2"/>
        <w:ind w:left="0"/>
        <w:rPr>
          <w:noProof/>
          <w:lang w:val="en-IE"/>
        </w:rPr>
      </w:pPr>
      <w:r w:rsidRPr="00BB184A">
        <w:rPr>
          <w:b/>
          <w:noProof/>
          <w:lang w:val="en-IE"/>
        </w:rPr>
        <w:t>The adjustment costs</w:t>
      </w:r>
      <w:r w:rsidRPr="00BB184A">
        <w:rPr>
          <w:noProof/>
          <w:lang w:val="en-IE"/>
        </w:rPr>
        <w:t xml:space="preserve"> for applicants and beneficiaries under this option would be </w:t>
      </w:r>
      <w:r w:rsidRPr="00BB184A">
        <w:rPr>
          <w:b/>
          <w:noProof/>
          <w:lang w:val="en-IE"/>
        </w:rPr>
        <w:t>moderate</w:t>
      </w:r>
      <w:r w:rsidRPr="00BB184A">
        <w:rPr>
          <w:noProof/>
          <w:lang w:val="en-IE"/>
        </w:rPr>
        <w:t xml:space="preserve">. </w:t>
      </w:r>
      <w:r w:rsidRPr="00225B9D">
        <w:rPr>
          <w:noProof/>
          <w:lang w:val="en-IE"/>
        </w:rPr>
        <w:t xml:space="preserve">The introduction of a </w:t>
      </w:r>
      <w:r w:rsidR="00573D17" w:rsidRPr="00225B9D">
        <w:rPr>
          <w:noProof/>
          <w:lang w:val="en-IE"/>
        </w:rPr>
        <w:t>single rulebook would generate short-term adjustment costs, modifying operational procedures and requiring applicants to adjust to new rules. However, this would lower administrative costs associated with applications, removing barriers to entry for stakeholders with limited resources and providing economies of scale to the public sector.</w:t>
      </w:r>
      <w:r w:rsidR="00EF557A">
        <w:rPr>
          <w:noProof/>
          <w:lang w:val="en-IE"/>
        </w:rPr>
        <w:t xml:space="preserve"> </w:t>
      </w:r>
      <w:r w:rsidR="00FC3D58" w:rsidRPr="00225B9D">
        <w:rPr>
          <w:noProof/>
          <w:lang w:val="en-IE"/>
        </w:rPr>
        <w:t>Greater strategic alignment would help businesses and financial entities align their investment strategies with EU policy objectives. Harmonized rules and requirements would facilitate the deployment of blended instruments, improving risk management for financial entities and providing tailored financial solutions for final beneficiaries. Streamlined communication would also improve information about funding opportunities.</w:t>
      </w:r>
    </w:p>
    <w:p w14:paraId="5352F836" w14:textId="75565C2C" w:rsidR="00FC3D58" w:rsidRPr="00225B9D" w:rsidRDefault="00FC3D58" w:rsidP="00603157">
      <w:pPr>
        <w:pStyle w:val="Text2"/>
        <w:ind w:left="0"/>
        <w:rPr>
          <w:noProof/>
          <w:lang w:val="en-IE"/>
        </w:rPr>
      </w:pPr>
      <w:r w:rsidRPr="33033015">
        <w:rPr>
          <w:noProof/>
          <w:lang w:val="en-IE"/>
        </w:rPr>
        <w:t xml:space="preserve">However, Option B does not fully address the issue of complexity, as multiple entry points and distinct applications would persist. SMEs and start-ups would still face difficulties in finding funding sources and managing administrative procedures. The </w:t>
      </w:r>
      <w:r w:rsidR="00FC6E7E" w:rsidRPr="33033015">
        <w:rPr>
          <w:noProof/>
          <w:lang w:val="en-IE"/>
        </w:rPr>
        <w:t xml:space="preserve">challenges </w:t>
      </w:r>
      <w:r w:rsidR="32CB7839" w:rsidRPr="33033015">
        <w:rPr>
          <w:noProof/>
          <w:lang w:val="en-IE"/>
        </w:rPr>
        <w:t xml:space="preserve">stemming from </w:t>
      </w:r>
      <w:r w:rsidR="00951A45" w:rsidRPr="33033015">
        <w:rPr>
          <w:noProof/>
          <w:lang w:val="en-IE"/>
        </w:rPr>
        <w:t>insufficient funding</w:t>
      </w:r>
      <w:r w:rsidR="00216AB7" w:rsidRPr="33033015">
        <w:rPr>
          <w:noProof/>
          <w:lang w:val="en-IE"/>
        </w:rPr>
        <w:t xml:space="preserve"> coordination </w:t>
      </w:r>
      <w:r w:rsidR="006431E6" w:rsidRPr="33033015">
        <w:rPr>
          <w:noProof/>
          <w:lang w:val="en-IE"/>
        </w:rPr>
        <w:t>and</w:t>
      </w:r>
      <w:r w:rsidRPr="33033015">
        <w:rPr>
          <w:noProof/>
          <w:lang w:val="en-IE"/>
        </w:rPr>
        <w:t xml:space="preserve"> flexibility would remain, particularly affecting deep-tech start-ups, climate tech ventures, and strategic innovation projects.</w:t>
      </w:r>
    </w:p>
    <w:p w14:paraId="006D27CC" w14:textId="6C009AB7" w:rsidR="00CC2FA6" w:rsidRDefault="00BD5057" w:rsidP="00603157">
      <w:pPr>
        <w:pStyle w:val="Text2"/>
        <w:spacing w:before="0" w:after="0"/>
        <w:ind w:left="0"/>
        <w:rPr>
          <w:noProof/>
          <w:lang w:val="en-IE"/>
        </w:rPr>
      </w:pPr>
      <w:r>
        <w:rPr>
          <w:noProof/>
          <w:lang w:val="en-US" w:eastAsia="it-IT"/>
        </w:rPr>
        <w:t>B</w:t>
      </w:r>
      <w:r w:rsidRPr="00063744">
        <w:rPr>
          <w:noProof/>
          <w:lang w:val="en-US" w:eastAsia="it-IT"/>
        </w:rPr>
        <w:t>y introducing a common rulebook and aligned implementation tools across programmes</w:t>
      </w:r>
      <w:r>
        <w:rPr>
          <w:noProof/>
          <w:lang w:val="en-US" w:eastAsia="it-IT"/>
        </w:rPr>
        <w:t>, o</w:t>
      </w:r>
      <w:r w:rsidR="00CC2FA6">
        <w:rPr>
          <w:noProof/>
          <w:lang w:val="en-US" w:eastAsia="it-IT"/>
        </w:rPr>
        <w:t xml:space="preserve">ption B </w:t>
      </w:r>
      <w:r w:rsidR="00CC2FA6" w:rsidRPr="00063744">
        <w:rPr>
          <w:noProof/>
          <w:lang w:val="en-US" w:eastAsia="it-IT"/>
        </w:rPr>
        <w:t xml:space="preserve">would </w:t>
      </w:r>
      <w:r w:rsidR="00270A8D">
        <w:rPr>
          <w:noProof/>
          <w:lang w:val="en-US" w:eastAsia="it-IT"/>
        </w:rPr>
        <w:t xml:space="preserve">have </w:t>
      </w:r>
      <w:r w:rsidR="00270A8D" w:rsidRPr="00BB184A">
        <w:rPr>
          <w:b/>
          <w:bCs/>
          <w:noProof/>
          <w:lang w:val="en-US" w:eastAsia="it-IT"/>
        </w:rPr>
        <w:t>a bigger</w:t>
      </w:r>
      <w:r w:rsidR="002729D5" w:rsidRPr="00BB184A">
        <w:rPr>
          <w:b/>
          <w:bCs/>
          <w:noProof/>
          <w:lang w:val="en-US" w:eastAsia="it-IT"/>
        </w:rPr>
        <w:t xml:space="preserve"> </w:t>
      </w:r>
      <w:r w:rsidR="00CC2FA6" w:rsidRPr="00BB184A">
        <w:rPr>
          <w:b/>
          <w:bCs/>
          <w:noProof/>
          <w:lang w:val="en-US" w:eastAsia="it-IT"/>
        </w:rPr>
        <w:t>simplification</w:t>
      </w:r>
      <w:r w:rsidR="002729D5" w:rsidRPr="00BB184A">
        <w:rPr>
          <w:b/>
          <w:bCs/>
          <w:noProof/>
          <w:lang w:val="en-US" w:eastAsia="it-IT"/>
        </w:rPr>
        <w:t xml:space="preserve"> </w:t>
      </w:r>
      <w:r w:rsidR="00270A8D" w:rsidRPr="00BB184A">
        <w:rPr>
          <w:b/>
          <w:bCs/>
          <w:noProof/>
          <w:lang w:val="en-US" w:eastAsia="it-IT"/>
        </w:rPr>
        <w:t xml:space="preserve">potential </w:t>
      </w:r>
      <w:r w:rsidR="002729D5" w:rsidRPr="00BB184A">
        <w:rPr>
          <w:b/>
          <w:bCs/>
          <w:noProof/>
          <w:lang w:val="en-US" w:eastAsia="it-IT"/>
        </w:rPr>
        <w:t>than Option</w:t>
      </w:r>
      <w:r w:rsidR="00270A8D" w:rsidRPr="00BB184A">
        <w:rPr>
          <w:b/>
          <w:bCs/>
          <w:noProof/>
          <w:lang w:val="en-US" w:eastAsia="it-IT"/>
        </w:rPr>
        <w:t xml:space="preserve"> A</w:t>
      </w:r>
      <w:r w:rsidR="00504961">
        <w:rPr>
          <w:noProof/>
          <w:lang w:val="en-US" w:eastAsia="it-IT"/>
        </w:rPr>
        <w:t xml:space="preserve">. </w:t>
      </w:r>
      <w:r w:rsidR="00CC2FA6" w:rsidRPr="00063744">
        <w:rPr>
          <w:noProof/>
          <w:lang w:val="en-US" w:eastAsia="it-IT"/>
        </w:rPr>
        <w:t>This would reduce the learning curve, facilitate fund blending, and streamline proposal preparation, particularly for those applying to multiple programmes. However, sectoral distinctions would still require beneficiaries to engage with different application tracks and portals.</w:t>
      </w:r>
      <w:r w:rsidR="00504961">
        <w:rPr>
          <w:noProof/>
          <w:lang w:val="en-US" w:eastAsia="it-IT"/>
        </w:rPr>
        <w:t xml:space="preserve"> </w:t>
      </w:r>
      <w:r w:rsidR="00B77AA1">
        <w:rPr>
          <w:noProof/>
          <w:lang w:val="en-US" w:eastAsia="it-IT"/>
        </w:rPr>
        <w:t>Option B</w:t>
      </w:r>
      <w:r w:rsidR="00504961" w:rsidRPr="00945AC0">
        <w:rPr>
          <w:noProof/>
          <w:lang w:val="en-US" w:eastAsia="it-IT"/>
        </w:rPr>
        <w:t xml:space="preserve"> </w:t>
      </w:r>
      <w:r w:rsidR="00B77AA1">
        <w:rPr>
          <w:noProof/>
          <w:lang w:val="en-US" w:eastAsia="it-IT"/>
        </w:rPr>
        <w:t>is also expected to</w:t>
      </w:r>
      <w:r w:rsidR="00504961">
        <w:rPr>
          <w:noProof/>
          <w:lang w:val="en-US" w:eastAsia="it-IT"/>
        </w:rPr>
        <w:t xml:space="preserve"> </w:t>
      </w:r>
      <w:r w:rsidR="00504961" w:rsidRPr="00BB184A">
        <w:rPr>
          <w:b/>
          <w:bCs/>
          <w:noProof/>
          <w:lang w:val="en-US" w:eastAsia="it-IT"/>
        </w:rPr>
        <w:t>moderately i</w:t>
      </w:r>
      <w:r w:rsidR="00504961" w:rsidRPr="00BB184A">
        <w:rPr>
          <w:b/>
          <w:bCs/>
          <w:noProof/>
        </w:rPr>
        <w:t>mprove speed and flexibility</w:t>
      </w:r>
      <w:r w:rsidR="0063637D">
        <w:rPr>
          <w:noProof/>
        </w:rPr>
        <w:t xml:space="preserve">. Harmonised rules could lead to faster evaluation and grant agreement processes. However, improvements would still be bounded by the limits of multi-programme governance. </w:t>
      </w:r>
    </w:p>
    <w:p w14:paraId="22C47133" w14:textId="77777777" w:rsidR="00FC3D58" w:rsidRPr="0028115E" w:rsidRDefault="00FC3D58" w:rsidP="00603157">
      <w:pPr>
        <w:rPr>
          <w:b/>
          <w:noProof/>
          <w:lang w:val="en-IE"/>
        </w:rPr>
      </w:pPr>
      <w:r>
        <w:rPr>
          <w:b/>
          <w:noProof/>
          <w:lang w:val="en-IE"/>
        </w:rPr>
        <w:t>Market impacts</w:t>
      </w:r>
    </w:p>
    <w:p w14:paraId="6537775C" w14:textId="0FD4FB7C" w:rsidR="00FC3D58" w:rsidRPr="0030098A" w:rsidRDefault="00934431" w:rsidP="00603157">
      <w:pPr>
        <w:rPr>
          <w:noProof/>
          <w:lang w:val="en-IE"/>
        </w:rPr>
      </w:pPr>
      <w:r>
        <w:rPr>
          <w:noProof/>
          <w:lang w:val="en-IE"/>
        </w:rPr>
        <w:t>C</w:t>
      </w:r>
      <w:r w:rsidR="00FC3D58" w:rsidRPr="0030098A">
        <w:rPr>
          <w:b/>
          <w:noProof/>
          <w:lang w:val="en-IE"/>
        </w:rPr>
        <w:t>ompetitiveness</w:t>
      </w:r>
      <w:r w:rsidR="001A109D">
        <w:rPr>
          <w:b/>
          <w:noProof/>
          <w:lang w:val="en-IE"/>
        </w:rPr>
        <w:t xml:space="preserve"> </w:t>
      </w:r>
      <w:r w:rsidR="00FC3D58" w:rsidRPr="0030098A">
        <w:rPr>
          <w:noProof/>
          <w:lang w:val="en-IE"/>
        </w:rPr>
        <w:t>would be improve</w:t>
      </w:r>
      <w:r>
        <w:rPr>
          <w:noProof/>
          <w:lang w:val="en-IE"/>
        </w:rPr>
        <w:t>d</w:t>
      </w:r>
      <w:r w:rsidR="001D7955">
        <w:rPr>
          <w:noProof/>
          <w:lang w:val="en-IE"/>
        </w:rPr>
        <w:t xml:space="preserve"> </w:t>
      </w:r>
      <w:r w:rsidR="00FC3D58" w:rsidRPr="0030098A">
        <w:rPr>
          <w:noProof/>
          <w:lang w:val="en-IE"/>
        </w:rPr>
        <w:t xml:space="preserve">compared to the baseline scenario. A stronger strategic direction and a unified rulebook would positively impact companies access to finance, particularly benefitting </w:t>
      </w:r>
      <w:r w:rsidR="00FC3D58" w:rsidRPr="0030098A">
        <w:rPr>
          <w:b/>
          <w:noProof/>
          <w:lang w:val="en-IE"/>
        </w:rPr>
        <w:t>SMEs, start-ups and scale-ups</w:t>
      </w:r>
      <w:r w:rsidR="00FC3D58" w:rsidRPr="0030098A">
        <w:rPr>
          <w:noProof/>
          <w:lang w:val="en-IE"/>
        </w:rPr>
        <w:t>.</w:t>
      </w:r>
      <w:r w:rsidR="00FC3D58" w:rsidRPr="0030098A">
        <w:rPr>
          <w:b/>
          <w:noProof/>
          <w:lang w:val="en-IE"/>
        </w:rPr>
        <w:t xml:space="preserve"> </w:t>
      </w:r>
    </w:p>
    <w:p w14:paraId="6816AECA" w14:textId="0F7F22DA" w:rsidR="009672BD" w:rsidRDefault="00934431" w:rsidP="00603157">
      <w:pPr>
        <w:rPr>
          <w:noProof/>
          <w:lang w:val="en-IE"/>
        </w:rPr>
      </w:pPr>
      <w:r>
        <w:rPr>
          <w:noProof/>
          <w:lang w:val="en-IE"/>
        </w:rPr>
        <w:t>W</w:t>
      </w:r>
      <w:r w:rsidR="00FC3D58" w:rsidRPr="0030098A">
        <w:rPr>
          <w:noProof/>
          <w:lang w:val="en-IE"/>
        </w:rPr>
        <w:t xml:space="preserve">hile the situation would be marginally improved compared to </w:t>
      </w:r>
      <w:r w:rsidR="002E18A8">
        <w:rPr>
          <w:noProof/>
          <w:lang w:val="en-IE"/>
        </w:rPr>
        <w:t>to</w:t>
      </w:r>
      <w:r w:rsidR="00FC3D58" w:rsidRPr="0030098A">
        <w:rPr>
          <w:noProof/>
          <w:lang w:val="en-IE"/>
        </w:rPr>
        <w:t>day due to the enhanced strategic steer, many competitiveness issues identified earlier would remain unaddressed. These include the effective mobili</w:t>
      </w:r>
      <w:r w:rsidR="00FC3D58">
        <w:rPr>
          <w:noProof/>
          <w:lang w:val="en-IE"/>
        </w:rPr>
        <w:t>s</w:t>
      </w:r>
      <w:r w:rsidR="00FC3D58" w:rsidRPr="0030098A">
        <w:rPr>
          <w:noProof/>
          <w:lang w:val="en-IE"/>
        </w:rPr>
        <w:t xml:space="preserve">ation of private capital, fund inflexibility, and overlaps between existing programmes. </w:t>
      </w:r>
    </w:p>
    <w:p w14:paraId="1E06EEE0" w14:textId="77777777" w:rsidR="00FC3D58" w:rsidRPr="0030098A" w:rsidRDefault="00FC3D58" w:rsidP="00603157">
      <w:pPr>
        <w:keepNext/>
        <w:rPr>
          <w:noProof/>
          <w:lang w:val="en-IE"/>
        </w:rPr>
      </w:pPr>
      <w:r w:rsidRPr="0030098A">
        <w:rPr>
          <w:b/>
          <w:noProof/>
          <w:lang w:val="en-IE"/>
        </w:rPr>
        <w:t xml:space="preserve">Research and Innovation impacts </w:t>
      </w:r>
    </w:p>
    <w:p w14:paraId="25163B65" w14:textId="36A6AEA6" w:rsidR="00CC2E58" w:rsidRPr="0030098A" w:rsidRDefault="770A4B85" w:rsidP="00603157">
      <w:pPr>
        <w:rPr>
          <w:noProof/>
          <w:lang w:val="en-IE"/>
        </w:rPr>
      </w:pPr>
      <w:r w:rsidRPr="2A1AD167">
        <w:rPr>
          <w:noProof/>
          <w:lang w:val="en-IE"/>
        </w:rPr>
        <w:t xml:space="preserve">By improving coordination between programmes, Option B </w:t>
      </w:r>
      <w:r w:rsidR="004D754C" w:rsidRPr="2A1AD167">
        <w:rPr>
          <w:noProof/>
          <w:lang w:val="en-IE"/>
        </w:rPr>
        <w:t xml:space="preserve">will </w:t>
      </w:r>
      <w:r w:rsidR="004D754C">
        <w:rPr>
          <w:noProof/>
          <w:lang w:val="en-IE"/>
        </w:rPr>
        <w:t>facilitate</w:t>
      </w:r>
      <w:r w:rsidRPr="2A1AD167">
        <w:rPr>
          <w:noProof/>
          <w:lang w:val="en-IE"/>
        </w:rPr>
        <w:t xml:space="preserve"> </w:t>
      </w:r>
      <w:r w:rsidR="004D754C">
        <w:rPr>
          <w:noProof/>
          <w:lang w:val="en-IE"/>
        </w:rPr>
        <w:t>to some exten</w:t>
      </w:r>
      <w:r w:rsidR="007B3D80">
        <w:rPr>
          <w:noProof/>
          <w:lang w:val="en-IE"/>
        </w:rPr>
        <w:t>t</w:t>
      </w:r>
      <w:r w:rsidR="004D754C">
        <w:rPr>
          <w:noProof/>
          <w:lang w:val="en-IE"/>
        </w:rPr>
        <w:t xml:space="preserve"> the</w:t>
      </w:r>
      <w:r w:rsidRPr="2A1AD167">
        <w:rPr>
          <w:noProof/>
          <w:lang w:val="en-IE"/>
        </w:rPr>
        <w:t xml:space="preserve"> transition between different stages of the innovation cycle, allowing a better market uptake of research results. Alongside this, key features of the current landscape (e.g. support for bottom-up, groundbreaking ideas and collaboration opportunities) will continue to exist in the same way as they do under the baseline.</w:t>
      </w:r>
      <w:r w:rsidR="00CC2E58">
        <w:rPr>
          <w:noProof/>
          <w:lang w:val="en-IE"/>
        </w:rPr>
        <w:t xml:space="preserve"> R&amp;I would be</w:t>
      </w:r>
      <w:r w:rsidR="00CC2E58" w:rsidRPr="0030098A">
        <w:rPr>
          <w:noProof/>
          <w:lang w:val="en-IE"/>
        </w:rPr>
        <w:t xml:space="preserve"> funded </w:t>
      </w:r>
      <w:r w:rsidR="00CC2E58">
        <w:rPr>
          <w:noProof/>
          <w:lang w:val="en-IE"/>
        </w:rPr>
        <w:t>in a similar manner to today.</w:t>
      </w:r>
      <w:r w:rsidR="00CC2E58" w:rsidRPr="0030098A">
        <w:rPr>
          <w:noProof/>
          <w:lang w:val="en-IE"/>
        </w:rPr>
        <w:t xml:space="preserve"> </w:t>
      </w:r>
    </w:p>
    <w:p w14:paraId="51F1696E" w14:textId="496388F0" w:rsidR="00FC3D58" w:rsidRPr="00B03DD3" w:rsidRDefault="7D0D5915" w:rsidP="00603157">
      <w:pPr>
        <w:pStyle w:val="Heading4"/>
        <w:tabs>
          <w:tab w:val="num" w:pos="1890"/>
        </w:tabs>
        <w:ind w:left="1890"/>
        <w:rPr>
          <w:b/>
          <w:noProof/>
        </w:rPr>
      </w:pPr>
      <w:r w:rsidRPr="58BF9D30">
        <w:rPr>
          <w:b/>
          <w:bCs/>
          <w:noProof/>
        </w:rPr>
        <w:t xml:space="preserve">6.2.2.2 </w:t>
      </w:r>
      <w:r w:rsidR="00FC3D58" w:rsidRPr="00B03DD3">
        <w:rPr>
          <w:b/>
          <w:noProof/>
        </w:rPr>
        <w:t>Social impacts</w:t>
      </w:r>
    </w:p>
    <w:p w14:paraId="76A676F7" w14:textId="24885EA8" w:rsidR="00FC3D58" w:rsidRPr="00FF392A" w:rsidRDefault="00FC3D58" w:rsidP="51E02097">
      <w:pPr>
        <w:spacing w:before="0" w:after="0"/>
        <w:rPr>
          <w:rFonts w:ascii="Aptos" w:eastAsia="Aptos" w:hAnsi="Aptos" w:cs="Aptos"/>
          <w:b/>
          <w:bCs/>
          <w:noProof/>
          <w:sz w:val="22"/>
          <w:szCs w:val="22"/>
          <w:lang w:val="en-US"/>
        </w:rPr>
      </w:pPr>
      <w:r w:rsidRPr="51E02097">
        <w:rPr>
          <w:noProof/>
          <w:lang w:val="en-IE"/>
        </w:rPr>
        <w:t xml:space="preserve">With regards to </w:t>
      </w:r>
      <w:r w:rsidRPr="51E02097">
        <w:rPr>
          <w:b/>
          <w:bCs/>
          <w:noProof/>
          <w:lang w:val="en-IE"/>
        </w:rPr>
        <w:t xml:space="preserve">employment, </w:t>
      </w:r>
      <w:r w:rsidRPr="51E02097">
        <w:rPr>
          <w:noProof/>
          <w:lang w:val="en-IE"/>
        </w:rPr>
        <w:t>results from JRC</w:t>
      </w:r>
      <w:r w:rsidR="2AF31163" w:rsidRPr="51E02097">
        <w:rPr>
          <w:noProof/>
          <w:lang w:val="en-IE"/>
        </w:rPr>
        <w:t>’s RHOMOLO modelling framework</w:t>
      </w:r>
      <w:r w:rsidRPr="51E02097">
        <w:rPr>
          <w:noProof/>
          <w:lang w:val="en-IE"/>
        </w:rPr>
        <w:t xml:space="preserve"> portray that </w:t>
      </w:r>
      <w:r>
        <w:rPr>
          <w:noProof/>
        </w:rPr>
        <w:t>the impact of Option B in year 15 is 28% higher than in Option A</w:t>
      </w:r>
      <w:r w:rsidR="6F9BB855">
        <w:rPr>
          <w:noProof/>
        </w:rPr>
        <w:t xml:space="preserve"> (again due to the higher volume of investment)</w:t>
      </w:r>
      <w:r>
        <w:rPr>
          <w:noProof/>
        </w:rPr>
        <w:t xml:space="preserve">. </w:t>
      </w:r>
      <w:r w:rsidRPr="51E02097">
        <w:rPr>
          <w:noProof/>
          <w:lang w:val="en-IE"/>
        </w:rPr>
        <w:t xml:space="preserve">Regarding </w:t>
      </w:r>
      <w:r w:rsidRPr="51E02097">
        <w:rPr>
          <w:b/>
          <w:bCs/>
          <w:noProof/>
          <w:lang w:val="en-IE"/>
        </w:rPr>
        <w:t>skills, education and training</w:t>
      </w:r>
      <w:r w:rsidRPr="51E02097">
        <w:rPr>
          <w:noProof/>
          <w:lang w:val="en-IE"/>
        </w:rPr>
        <w:t xml:space="preserve">, </w:t>
      </w:r>
      <w:r w:rsidRPr="51E02097">
        <w:rPr>
          <w:noProof/>
          <w:lang w:val="en-US"/>
        </w:rPr>
        <w:t xml:space="preserve">Option B would foster greater coherence in skills development, particularly in strategic sectors like </w:t>
      </w:r>
      <w:r w:rsidRPr="51E02097">
        <w:rPr>
          <w:noProof/>
          <w:lang w:val="en-IE"/>
        </w:rPr>
        <w:t>AI, cybersecurity or green technologies</w:t>
      </w:r>
      <w:r w:rsidRPr="51E02097">
        <w:rPr>
          <w:rFonts w:eastAsia="Times New Roman"/>
          <w:noProof/>
          <w:lang w:val="en-IE"/>
        </w:rPr>
        <w:t xml:space="preserve">. In the area of </w:t>
      </w:r>
      <w:r w:rsidRPr="51E02097">
        <w:rPr>
          <w:rFonts w:eastAsia="Times New Roman"/>
          <w:b/>
          <w:bCs/>
          <w:noProof/>
          <w:lang w:val="en-IE"/>
        </w:rPr>
        <w:t xml:space="preserve">health, </w:t>
      </w:r>
      <w:r w:rsidRPr="51E02097">
        <w:rPr>
          <w:noProof/>
          <w:lang w:val="en-IE"/>
        </w:rPr>
        <w:t>effects are expected to be very similar, though the further flexibility of the budgetary allocation would enable a timely and adequate reaction to unforeseen health crises. Finally, in terms of</w:t>
      </w:r>
      <w:r w:rsidRPr="51E02097">
        <w:rPr>
          <w:b/>
          <w:bCs/>
          <w:noProof/>
          <w:lang w:val="en-IE"/>
        </w:rPr>
        <w:t xml:space="preserve"> resilience, technological sovereignty, economic security, security of supply,</w:t>
      </w:r>
      <w:r w:rsidRPr="51E02097">
        <w:rPr>
          <w:noProof/>
          <w:lang w:val="en-IE"/>
        </w:rPr>
        <w:t xml:space="preserve"> through enhanced coordination and strategic steer, programmes can better respond to emerging challenges, enhancing resilience and technological sovereignty. This approach can bolster economic security by protecting domestic industries and jobs and ensuring supply chain security. However, it could also limit access to global markets and expertise</w:t>
      </w:r>
      <w:r w:rsidR="00352C26" w:rsidRPr="51E02097">
        <w:rPr>
          <w:noProof/>
          <w:lang w:val="en-IE"/>
        </w:rPr>
        <w:t>.</w:t>
      </w:r>
    </w:p>
    <w:p w14:paraId="6B2ECD53" w14:textId="07546563" w:rsidR="00FC3D58" w:rsidRPr="00B03DD3" w:rsidRDefault="0079242A" w:rsidP="00603157">
      <w:pPr>
        <w:pStyle w:val="Heading4"/>
        <w:tabs>
          <w:tab w:val="num" w:pos="1890"/>
        </w:tabs>
        <w:ind w:left="1890"/>
        <w:rPr>
          <w:b/>
          <w:bCs/>
          <w:noProof/>
        </w:rPr>
      </w:pPr>
      <w:r w:rsidRPr="58BF9D30">
        <w:rPr>
          <w:b/>
          <w:bCs/>
          <w:noProof/>
        </w:rPr>
        <w:t xml:space="preserve">6.2.2.3 </w:t>
      </w:r>
      <w:r w:rsidRPr="00B03DD3">
        <w:rPr>
          <w:b/>
          <w:bCs/>
          <w:noProof/>
        </w:rPr>
        <w:t>Environmental</w:t>
      </w:r>
      <w:r w:rsidR="00FC3D58" w:rsidRPr="00B03DD3">
        <w:rPr>
          <w:b/>
          <w:bCs/>
          <w:noProof/>
        </w:rPr>
        <w:t xml:space="preserve"> Impacts</w:t>
      </w:r>
    </w:p>
    <w:p w14:paraId="611EA4AB" w14:textId="4BC22A2E" w:rsidR="00FC3D58" w:rsidRDefault="00FC3D58" w:rsidP="00603157">
      <w:pPr>
        <w:rPr>
          <w:noProof/>
          <w:lang w:val="en-IE"/>
        </w:rPr>
      </w:pPr>
      <w:r w:rsidRPr="00350144">
        <w:rPr>
          <w:noProof/>
          <w:lang w:val="en-IE"/>
        </w:rPr>
        <w:t xml:space="preserve">The environmental impacts of Option B are expected to be </w:t>
      </w:r>
      <w:r w:rsidR="008F322E" w:rsidRPr="00350144">
        <w:rPr>
          <w:noProof/>
          <w:lang w:val="en-IE"/>
        </w:rPr>
        <w:t>like</w:t>
      </w:r>
      <w:r w:rsidRPr="00350144">
        <w:rPr>
          <w:noProof/>
          <w:lang w:val="en-IE"/>
        </w:rPr>
        <w:t xml:space="preserve"> those of the baseline, with some potential for greater positive impacts due to the enhanced strategic steer across programs. Existing programs such as LIFE, the Innovation Fund, Horizon Europe, and InvestEU are expected to positively contribute to the environment. Overall, the environmental impacts of Option B are expected to be somewhat greater than the baseline, but not of a sufficient magnitude to be significantly noticeable.</w:t>
      </w:r>
    </w:p>
    <w:p w14:paraId="6FA01573" w14:textId="5BB41690" w:rsidR="00FC3D58" w:rsidRPr="0030098A" w:rsidRDefault="00FC3D58" w:rsidP="008C51EB">
      <w:pPr>
        <w:pStyle w:val="Heading3"/>
        <w:keepLines/>
        <w:numPr>
          <w:ilvl w:val="2"/>
          <w:numId w:val="25"/>
        </w:numPr>
        <w:spacing w:before="120" w:after="120"/>
        <w:rPr>
          <w:noProof/>
          <w:lang w:val="en-IE"/>
        </w:rPr>
      </w:pPr>
      <w:bookmarkStart w:id="242" w:name="_Toc195700219"/>
      <w:r w:rsidRPr="0030098A">
        <w:rPr>
          <w:noProof/>
          <w:lang w:val="en-IE"/>
        </w:rPr>
        <w:t>Option C- Consolidation of programmes in a new European Competitiveness Fund</w:t>
      </w:r>
      <w:bookmarkEnd w:id="242"/>
    </w:p>
    <w:p w14:paraId="6B63DB1B" w14:textId="77777777" w:rsidR="00FC3D58" w:rsidRPr="00B03DD3" w:rsidRDefault="00FC3D58" w:rsidP="00603157">
      <w:pPr>
        <w:pStyle w:val="Heading4"/>
        <w:keepLines/>
        <w:numPr>
          <w:ilvl w:val="3"/>
          <w:numId w:val="25"/>
        </w:numPr>
        <w:tabs>
          <w:tab w:val="num" w:pos="1890"/>
        </w:tabs>
        <w:ind w:left="1890"/>
        <w:rPr>
          <w:b/>
          <w:bCs/>
          <w:noProof/>
        </w:rPr>
      </w:pPr>
      <w:r w:rsidRPr="00B03DD3">
        <w:rPr>
          <w:b/>
          <w:bCs/>
          <w:noProof/>
        </w:rPr>
        <w:t>Economic Impacts</w:t>
      </w:r>
    </w:p>
    <w:p w14:paraId="70D97E3C" w14:textId="77777777" w:rsidR="00FC3D58" w:rsidRPr="0030098A" w:rsidRDefault="00FC3D58" w:rsidP="00603157">
      <w:pPr>
        <w:keepNext/>
        <w:keepLines/>
        <w:rPr>
          <w:noProof/>
          <w:lang w:val="en-IE"/>
        </w:rPr>
      </w:pPr>
      <w:r w:rsidRPr="0030098A">
        <w:rPr>
          <w:b/>
          <w:noProof/>
          <w:lang w:val="en-IE"/>
        </w:rPr>
        <w:t>Macro-economic impact</w:t>
      </w:r>
    </w:p>
    <w:p w14:paraId="0FEF1429" w14:textId="407A3147" w:rsidR="002248F6" w:rsidRPr="002248F6" w:rsidRDefault="002248F6" w:rsidP="51E02097">
      <w:pPr>
        <w:keepNext/>
        <w:keepLines/>
        <w:rPr>
          <w:rFonts w:eastAsia="Times New Roman"/>
          <w:noProof/>
          <w:lang w:val="en-IE"/>
        </w:rPr>
      </w:pPr>
      <w:r w:rsidRPr="002248F6">
        <w:rPr>
          <w:noProof/>
          <w:lang w:val="en-IE"/>
        </w:rPr>
        <w:t xml:space="preserve">Option C would provide a higher return on investment over 15 years, with the total benefit </w:t>
      </w:r>
      <w:r w:rsidR="46F7D9A1" w:rsidRPr="50A12219">
        <w:rPr>
          <w:noProof/>
          <w:lang w:val="en-IE"/>
        </w:rPr>
        <w:t xml:space="preserve">per euro spent </w:t>
      </w:r>
      <w:r w:rsidRPr="002248F6">
        <w:rPr>
          <w:noProof/>
          <w:lang w:val="en-IE"/>
        </w:rPr>
        <w:t xml:space="preserve">being 15.74% higher than Option A. This extra benefit can be broken down into three main factors: (1) simplifying processes, which would make businesses more efficient and add 3.79% to the return; (2) </w:t>
      </w:r>
      <w:r w:rsidR="6AF68D9F" w:rsidRPr="65F05E44">
        <w:rPr>
          <w:noProof/>
          <w:lang w:val="en-IE"/>
        </w:rPr>
        <w:t>attract</w:t>
      </w:r>
      <w:r w:rsidR="5804D196" w:rsidRPr="65F05E44">
        <w:rPr>
          <w:noProof/>
          <w:lang w:val="en-IE"/>
        </w:rPr>
        <w:t>ing</w:t>
      </w:r>
      <w:r w:rsidR="6AF68D9F" w:rsidRPr="50A12219">
        <w:rPr>
          <w:noProof/>
          <w:lang w:val="en-IE"/>
        </w:rPr>
        <w:t xml:space="preserve"> </w:t>
      </w:r>
      <w:r w:rsidR="2CB4307A" w:rsidRPr="50A12219">
        <w:rPr>
          <w:noProof/>
          <w:lang w:val="en-IE"/>
        </w:rPr>
        <w:t xml:space="preserve">more </w:t>
      </w:r>
      <w:r w:rsidR="31AFEF2B" w:rsidRPr="50A12219">
        <w:rPr>
          <w:noProof/>
          <w:lang w:val="en-IE"/>
        </w:rPr>
        <w:t>private investment</w:t>
      </w:r>
      <w:r w:rsidRPr="002248F6">
        <w:rPr>
          <w:noProof/>
          <w:lang w:val="en-IE"/>
        </w:rPr>
        <w:t xml:space="preserve">, although this would actually have a </w:t>
      </w:r>
      <w:r w:rsidR="1F768B75" w:rsidRPr="50A12219">
        <w:rPr>
          <w:noProof/>
          <w:lang w:val="en-IE"/>
        </w:rPr>
        <w:t xml:space="preserve">very </w:t>
      </w:r>
      <w:r w:rsidRPr="002248F6">
        <w:rPr>
          <w:noProof/>
          <w:lang w:val="en-IE"/>
        </w:rPr>
        <w:t>small negative effect of -0.07% because of the larger volumes</w:t>
      </w:r>
      <w:r w:rsidRPr="50A12219">
        <w:rPr>
          <w:noProof/>
          <w:vertAlign w:val="superscript"/>
          <w:lang w:val="en-IE"/>
        </w:rPr>
        <w:footnoteReference w:id="178"/>
      </w:r>
      <w:r w:rsidRPr="002248F6">
        <w:rPr>
          <w:noProof/>
          <w:lang w:val="en-IE"/>
        </w:rPr>
        <w:t xml:space="preserve">; and (3) spending the investment money sooner, which would have a big positive impact of 12.02% because it would generate benefits earlier on. The European Union would also </w:t>
      </w:r>
      <w:r w:rsidR="009F4B98" w:rsidRPr="009F4B98">
        <w:rPr>
          <w:noProof/>
          <w:lang w:val="en-IE"/>
        </w:rPr>
        <w:t>experience an increase in exports which is 5</w:t>
      </w:r>
      <w:r w:rsidR="0047091F">
        <w:rPr>
          <w:noProof/>
          <w:lang w:val="en-IE"/>
        </w:rPr>
        <w:t>7.53</w:t>
      </w:r>
      <w:r w:rsidR="009F4B98" w:rsidRPr="009F4B98">
        <w:rPr>
          <w:noProof/>
          <w:lang w:val="en-IE"/>
        </w:rPr>
        <w:t>% higher compared to the first option, mainly because of the larger volume of investments</w:t>
      </w:r>
      <w:r w:rsidRPr="002248F6">
        <w:rPr>
          <w:noProof/>
          <w:lang w:val="en-IE"/>
        </w:rPr>
        <w:t>.</w:t>
      </w:r>
      <w:r w:rsidR="01A52308" w:rsidRPr="002248F6">
        <w:rPr>
          <w:noProof/>
          <w:lang w:val="en-IE"/>
        </w:rPr>
        <w:t xml:space="preserve"> </w:t>
      </w:r>
      <w:r w:rsidR="01A52308" w:rsidRPr="51E02097">
        <w:rPr>
          <w:rFonts w:eastAsia="Times New Roman"/>
          <w:noProof/>
          <w:lang w:val="en-IE"/>
        </w:rPr>
        <w:t xml:space="preserve">The Annex </w:t>
      </w:r>
      <w:r w:rsidR="00E43C36">
        <w:rPr>
          <w:rFonts w:eastAsia="Times New Roman"/>
          <w:noProof/>
          <w:lang w:val="en-IE"/>
        </w:rPr>
        <w:t xml:space="preserve">4 </w:t>
      </w:r>
      <w:r w:rsidR="01A52308" w:rsidRPr="51E02097">
        <w:rPr>
          <w:rFonts w:eastAsia="Times New Roman"/>
          <w:noProof/>
          <w:lang w:val="en-IE"/>
        </w:rPr>
        <w:t>contains additional results obtained with a sensitivity analysis varying the key parameters of the analysis (essentially providing a range of macroeconomic results). The results of such sensitivity analysis confirm the robustness of the simulation, as explained in the Annex.</w:t>
      </w:r>
    </w:p>
    <w:p w14:paraId="7989BD8B" w14:textId="6166F303" w:rsidR="00FC3D58" w:rsidRPr="007C0B04" w:rsidRDefault="6A6E838C" w:rsidP="00603157">
      <w:pPr>
        <w:rPr>
          <w:b/>
          <w:bCs/>
          <w:noProof/>
          <w:lang w:val="en-IE"/>
        </w:rPr>
      </w:pPr>
      <w:r w:rsidRPr="009E3DF3">
        <w:rPr>
          <w:noProof/>
          <w:lang w:val="en-IE"/>
        </w:rPr>
        <w:t xml:space="preserve">The main driver of the </w:t>
      </w:r>
      <w:r w:rsidR="18551ABF" w:rsidRPr="38D7F2E3">
        <w:rPr>
          <w:noProof/>
          <w:lang w:val="en-IE"/>
        </w:rPr>
        <w:t xml:space="preserve">GDP </w:t>
      </w:r>
      <w:r w:rsidR="18551ABF" w:rsidRPr="337287C5">
        <w:rPr>
          <w:noProof/>
          <w:lang w:val="en-IE"/>
        </w:rPr>
        <w:t xml:space="preserve">multiplier </w:t>
      </w:r>
      <w:r w:rsidRPr="337287C5">
        <w:rPr>
          <w:noProof/>
          <w:lang w:val="en-IE"/>
        </w:rPr>
        <w:t>increase</w:t>
      </w:r>
      <w:r w:rsidRPr="009E3DF3">
        <w:rPr>
          <w:noProof/>
          <w:lang w:val="en-IE"/>
        </w:rPr>
        <w:t xml:space="preserve"> is the frontloading of investment</w:t>
      </w:r>
      <w:r w:rsidR="00FC3D58" w:rsidRPr="58BF9D30">
        <w:rPr>
          <w:noProof/>
          <w:vertAlign w:val="superscript"/>
          <w:lang w:val="en-IE"/>
        </w:rPr>
        <w:footnoteReference w:id="179"/>
      </w:r>
      <w:r w:rsidRPr="009E3DF3">
        <w:rPr>
          <w:noProof/>
          <w:lang w:val="en-IE"/>
        </w:rPr>
        <w:t xml:space="preserve">, which brings forward the benefits of the interventions and leads to larger cumulative GDP gains over time. Effective implementation of budget frontloading is crucial for achieving this </w:t>
      </w:r>
      <w:r w:rsidR="36F0BFFD" w:rsidRPr="009E3DF3">
        <w:rPr>
          <w:noProof/>
          <w:lang w:val="en-IE"/>
        </w:rPr>
        <w:t xml:space="preserve">potential </w:t>
      </w:r>
      <w:r w:rsidRPr="009E3DF3">
        <w:rPr>
          <w:noProof/>
          <w:lang w:val="en-IE"/>
        </w:rPr>
        <w:t>macro-economic impact.</w:t>
      </w:r>
      <w:r w:rsidR="32B4B61A">
        <w:rPr>
          <w:noProof/>
          <w:lang w:val="en-IE"/>
        </w:rPr>
        <w:t xml:space="preserve"> </w:t>
      </w:r>
      <w:r w:rsidRPr="00B80457">
        <w:rPr>
          <w:noProof/>
          <w:lang w:val="en-IE"/>
        </w:rPr>
        <w:t xml:space="preserve">To </w:t>
      </w:r>
      <w:r w:rsidR="00F108D7" w:rsidRPr="00B80457">
        <w:rPr>
          <w:noProof/>
          <w:lang w:val="en-IE"/>
        </w:rPr>
        <w:t>maximi</w:t>
      </w:r>
      <w:r w:rsidR="00F108D7">
        <w:rPr>
          <w:noProof/>
          <w:lang w:val="en-IE"/>
        </w:rPr>
        <w:t>s</w:t>
      </w:r>
      <w:r w:rsidR="00F108D7" w:rsidRPr="00B80457">
        <w:rPr>
          <w:noProof/>
          <w:lang w:val="en-IE"/>
        </w:rPr>
        <w:t xml:space="preserve">e </w:t>
      </w:r>
      <w:r w:rsidRPr="00B80457">
        <w:rPr>
          <w:noProof/>
          <w:lang w:val="en-IE"/>
        </w:rPr>
        <w:t>productivity gains, it</w:t>
      </w:r>
      <w:r>
        <w:rPr>
          <w:noProof/>
          <w:lang w:val="en-IE"/>
        </w:rPr>
        <w:t xml:space="preserve"> is</w:t>
      </w:r>
      <w:r w:rsidRPr="00B80457">
        <w:rPr>
          <w:noProof/>
          <w:lang w:val="en-IE"/>
        </w:rPr>
        <w:t xml:space="preserve"> essential to strike a balance between supporting strategic technologies and maintaining competitive business dynamics. Competitive-based instruments, a focus on disruptive innovation, and evidence-based priority setting can help achieve this balance</w:t>
      </w:r>
      <w:r w:rsidR="58B33EBE" w:rsidRPr="00B80457">
        <w:rPr>
          <w:noProof/>
          <w:lang w:val="en-IE"/>
        </w:rPr>
        <w:t xml:space="preserve">. </w:t>
      </w:r>
      <w:r>
        <w:rPr>
          <w:noProof/>
          <w:lang w:val="en-IE"/>
        </w:rPr>
        <w:t>Budget flexibility can affect the proportion of the budget used for each instrument</w:t>
      </w:r>
      <w:r w:rsidR="619C849F">
        <w:rPr>
          <w:noProof/>
          <w:lang w:val="en-IE"/>
        </w:rPr>
        <w:t xml:space="preserve">, and </w:t>
      </w:r>
      <w:r w:rsidR="74FE4322">
        <w:rPr>
          <w:noProof/>
          <w:lang w:val="en-IE"/>
        </w:rPr>
        <w:t xml:space="preserve">achieving </w:t>
      </w:r>
      <w:r w:rsidR="619C849F">
        <w:rPr>
          <w:noProof/>
          <w:lang w:val="en-IE"/>
        </w:rPr>
        <w:t xml:space="preserve">the necessary balance between flexibility and predictability will </w:t>
      </w:r>
      <w:r w:rsidR="74FE4322">
        <w:rPr>
          <w:noProof/>
          <w:lang w:val="en-IE"/>
        </w:rPr>
        <w:t>be an important success driver</w:t>
      </w:r>
      <w:r>
        <w:rPr>
          <w:noProof/>
          <w:lang w:val="en-IE"/>
        </w:rPr>
        <w:t xml:space="preserve">. </w:t>
      </w:r>
      <w:r w:rsidR="478A5DBE" w:rsidRPr="007C0B04">
        <w:rPr>
          <w:b/>
          <w:bCs/>
          <w:noProof/>
          <w:lang w:val="en-IE"/>
        </w:rPr>
        <w:t>The</w:t>
      </w:r>
      <w:r w:rsidRPr="007C0B04">
        <w:rPr>
          <w:b/>
          <w:bCs/>
          <w:noProof/>
          <w:lang w:val="en-IE"/>
        </w:rPr>
        <w:t xml:space="preserve"> overall impact of Option C on EU productivity </w:t>
      </w:r>
      <w:r w:rsidR="2B4FBBF0" w:rsidRPr="007C0B04">
        <w:rPr>
          <w:b/>
          <w:bCs/>
          <w:noProof/>
          <w:lang w:val="en-IE"/>
        </w:rPr>
        <w:t xml:space="preserve">is likely to </w:t>
      </w:r>
      <w:r w:rsidRPr="007C0B04">
        <w:rPr>
          <w:b/>
          <w:bCs/>
          <w:noProof/>
          <w:lang w:val="en-IE"/>
        </w:rPr>
        <w:t>be positive, driven by its ability to allocate resources more efficiently and effectively.</w:t>
      </w:r>
    </w:p>
    <w:p w14:paraId="3439765B" w14:textId="77777777" w:rsidR="00FC3D58" w:rsidRPr="0030098A" w:rsidRDefault="00FC3D58" w:rsidP="00603157">
      <w:pPr>
        <w:rPr>
          <w:b/>
          <w:noProof/>
          <w:lang w:val="en-IE"/>
        </w:rPr>
      </w:pPr>
      <w:r w:rsidRPr="0030098A">
        <w:rPr>
          <w:b/>
          <w:noProof/>
          <w:lang w:val="en-IE"/>
        </w:rPr>
        <w:t xml:space="preserve">Benefits and costs for relevant beneficiaries </w:t>
      </w:r>
    </w:p>
    <w:p w14:paraId="1540D56A" w14:textId="77777777" w:rsidR="008C6AAD" w:rsidRDefault="770A4B85" w:rsidP="00603157">
      <w:pPr>
        <w:rPr>
          <w:noProof/>
        </w:rPr>
      </w:pPr>
      <w:r>
        <w:rPr>
          <w:noProof/>
        </w:rPr>
        <w:t xml:space="preserve">Option C is expected to reduce administrative costs for beneficiaries by integrating access points and introducing a common rulebook, simplifying the funding process and creating a more efficient, business-friendly environment, particularly benefiting high-growth industries, innovative start-ups, and top-down projects requiring long-term investment support. </w:t>
      </w:r>
    </w:p>
    <w:p w14:paraId="7D4A16A7" w14:textId="602FAE98" w:rsidR="00890016" w:rsidRDefault="002221F4" w:rsidP="00603157">
      <w:pPr>
        <w:rPr>
          <w:noProof/>
        </w:rPr>
      </w:pPr>
      <w:r w:rsidRPr="00890016">
        <w:rPr>
          <w:noProof/>
        </w:rPr>
        <w:t xml:space="preserve">Based on the quantitative estimates, this option emerges as the one with the </w:t>
      </w:r>
      <w:r w:rsidRPr="0093416E">
        <w:rPr>
          <w:noProof/>
        </w:rPr>
        <w:t xml:space="preserve">lowest unit cost per proposal in terms time to search for opportunities for grants and advisory services. This reduction in search time results from applicants being able to focus their search within the Competitiveness Fund, rather than navigating multiple program frameworks. Furthermore, this option is expected to have the </w:t>
      </w:r>
      <w:r w:rsidRPr="0093416E">
        <w:rPr>
          <w:b/>
          <w:bCs/>
          <w:noProof/>
        </w:rPr>
        <w:t>sho</w:t>
      </w:r>
      <w:r w:rsidR="59B0B0B9" w:rsidRPr="0093416E">
        <w:rPr>
          <w:b/>
          <w:bCs/>
          <w:noProof/>
        </w:rPr>
        <w:t>r</w:t>
      </w:r>
      <w:r w:rsidRPr="0093416E">
        <w:rPr>
          <w:b/>
          <w:bCs/>
          <w:noProof/>
        </w:rPr>
        <w:t>test</w:t>
      </w:r>
      <w:r w:rsidRPr="204CA1C3">
        <w:rPr>
          <w:b/>
          <w:bCs/>
          <w:noProof/>
        </w:rPr>
        <w:t xml:space="preserve"> proposal preparation time</w:t>
      </w:r>
      <w:r w:rsidRPr="0093416E">
        <w:rPr>
          <w:noProof/>
        </w:rPr>
        <w:t xml:space="preserve"> for grants</w:t>
      </w:r>
      <w:r w:rsidR="003E2F03" w:rsidRPr="0093416E">
        <w:rPr>
          <w:noProof/>
        </w:rPr>
        <w:t>,</w:t>
      </w:r>
      <w:r w:rsidR="00EC30E4" w:rsidRPr="0093416E">
        <w:rPr>
          <w:noProof/>
        </w:rPr>
        <w:t xml:space="preserve"> ex</w:t>
      </w:r>
      <w:r w:rsidR="007B0556" w:rsidRPr="0093416E">
        <w:rPr>
          <w:noProof/>
        </w:rPr>
        <w:t xml:space="preserve">pected to </w:t>
      </w:r>
      <w:r w:rsidR="00E029FC" w:rsidRPr="204CA1C3">
        <w:rPr>
          <w:b/>
          <w:bCs/>
          <w:noProof/>
        </w:rPr>
        <w:t>decrease by 10%</w:t>
      </w:r>
      <w:r w:rsidR="000866AE" w:rsidRPr="0093416E">
        <w:rPr>
          <w:rStyle w:val="FootnoteReference"/>
          <w:b/>
          <w:bCs/>
          <w:noProof/>
        </w:rPr>
        <w:footnoteReference w:id="180"/>
      </w:r>
      <w:r w:rsidR="00E029FC" w:rsidRPr="204CA1C3">
        <w:rPr>
          <w:b/>
          <w:bCs/>
          <w:noProof/>
        </w:rPr>
        <w:t xml:space="preserve"> compared to the baseline</w:t>
      </w:r>
      <w:r w:rsidR="00446A7A" w:rsidRPr="0093416E">
        <w:rPr>
          <w:noProof/>
        </w:rPr>
        <w:t xml:space="preserve">, translating into </w:t>
      </w:r>
      <w:r w:rsidR="008C3953" w:rsidRPr="0093416E">
        <w:rPr>
          <w:noProof/>
        </w:rPr>
        <w:t xml:space="preserve">monetary </w:t>
      </w:r>
      <w:r w:rsidR="00A415DD" w:rsidRPr="0093416E">
        <w:rPr>
          <w:noProof/>
        </w:rPr>
        <w:t xml:space="preserve">costs </w:t>
      </w:r>
      <w:r w:rsidR="00996E9E" w:rsidRPr="0093416E">
        <w:rPr>
          <w:noProof/>
        </w:rPr>
        <w:t>in</w:t>
      </w:r>
      <w:r w:rsidR="00A415DD" w:rsidRPr="0093416E">
        <w:rPr>
          <w:noProof/>
        </w:rPr>
        <w:t xml:space="preserve"> the range of </w:t>
      </w:r>
      <w:r w:rsidR="00676134" w:rsidRPr="204CA1C3">
        <w:rPr>
          <w:b/>
          <w:bCs/>
          <w:noProof/>
        </w:rPr>
        <w:t xml:space="preserve">EUR 4500 </w:t>
      </w:r>
      <w:r w:rsidR="009260C7" w:rsidRPr="204CA1C3">
        <w:rPr>
          <w:b/>
          <w:bCs/>
          <w:noProof/>
        </w:rPr>
        <w:t>–</w:t>
      </w:r>
      <w:r w:rsidR="00DD2352" w:rsidRPr="204CA1C3">
        <w:rPr>
          <w:b/>
          <w:bCs/>
          <w:noProof/>
        </w:rPr>
        <w:t xml:space="preserve"> </w:t>
      </w:r>
      <w:r w:rsidR="009260C7" w:rsidRPr="204CA1C3">
        <w:rPr>
          <w:b/>
          <w:bCs/>
          <w:noProof/>
        </w:rPr>
        <w:t>EUR 28 800 per proposal</w:t>
      </w:r>
      <w:r w:rsidR="009260C7" w:rsidRPr="0093416E">
        <w:rPr>
          <w:noProof/>
        </w:rPr>
        <w:t>.</w:t>
      </w:r>
      <w:r w:rsidR="001110CB" w:rsidRPr="0093416E">
        <w:rPr>
          <w:rStyle w:val="FootnoteReference"/>
          <w:noProof/>
        </w:rPr>
        <w:footnoteReference w:id="181"/>
      </w:r>
      <w:r w:rsidR="00890016">
        <w:rPr>
          <w:noProof/>
        </w:rPr>
        <w:t xml:space="preserve"> </w:t>
      </w:r>
      <w:r w:rsidR="5AEA1E50">
        <w:rPr>
          <w:noProof/>
        </w:rPr>
        <w:t xml:space="preserve">This option is also the one that </w:t>
      </w:r>
      <w:r w:rsidR="2F5AB546">
        <w:rPr>
          <w:noProof/>
        </w:rPr>
        <w:t>requires the lowest</w:t>
      </w:r>
      <w:r w:rsidR="1F897962">
        <w:rPr>
          <w:noProof/>
        </w:rPr>
        <w:t xml:space="preserve"> </w:t>
      </w:r>
      <w:r w:rsidR="47EFED7B">
        <w:rPr>
          <w:noProof/>
        </w:rPr>
        <w:t>efforts by</w:t>
      </w:r>
      <w:r w:rsidR="5AEA1E50">
        <w:rPr>
          <w:noProof/>
        </w:rPr>
        <w:t xml:space="preserve"> consortium coordinators to prepare a proposal (32-41 person days), as well as </w:t>
      </w:r>
      <w:r w:rsidR="1A116905">
        <w:rPr>
          <w:noProof/>
        </w:rPr>
        <w:t xml:space="preserve">by </w:t>
      </w:r>
      <w:r w:rsidR="5AEA1E50">
        <w:rPr>
          <w:noProof/>
        </w:rPr>
        <w:t>contributing consortium partners (14-23 person days).</w:t>
      </w:r>
      <w:r w:rsidRPr="6472FDEA">
        <w:rPr>
          <w:noProof/>
          <w:vertAlign w:val="superscript"/>
        </w:rPr>
        <w:footnoteReference w:id="182"/>
      </w:r>
    </w:p>
    <w:p w14:paraId="6D69345D" w14:textId="51FE230D" w:rsidR="00EC63EC" w:rsidRDefault="007C3D74" w:rsidP="00603157">
      <w:pPr>
        <w:pStyle w:val="BodyText1"/>
        <w:rPr>
          <w:rFonts w:ascii="Times New Roman" w:hAnsi="Times New Roman"/>
          <w:sz w:val="24"/>
          <w:szCs w:val="24"/>
          <w:lang w:val="en-IE"/>
        </w:rPr>
      </w:pPr>
      <w:r w:rsidRPr="51E02097">
        <w:rPr>
          <w:rFonts w:ascii="Times New Roman" w:hAnsi="Times New Roman"/>
          <w:b/>
          <w:bCs/>
          <w:sz w:val="24"/>
          <w:szCs w:val="24"/>
          <w:lang w:val="en-IE"/>
        </w:rPr>
        <w:t>T</w:t>
      </w:r>
      <w:r w:rsidR="009C4B7A" w:rsidRPr="51E02097">
        <w:rPr>
          <w:rFonts w:ascii="Times New Roman" w:hAnsi="Times New Roman"/>
          <w:b/>
          <w:bCs/>
          <w:sz w:val="24"/>
          <w:szCs w:val="24"/>
          <w:lang w:val="en-IE"/>
        </w:rPr>
        <w:t>ime-to-inform</w:t>
      </w:r>
      <w:r w:rsidR="009C4B7A" w:rsidRPr="75158EAF">
        <w:rPr>
          <w:rFonts w:ascii="Times New Roman" w:hAnsi="Times New Roman"/>
          <w:sz w:val="24"/>
          <w:szCs w:val="24"/>
          <w:lang w:val="en-IE"/>
        </w:rPr>
        <w:t xml:space="preserve"> and </w:t>
      </w:r>
      <w:r w:rsidR="009C4B7A" w:rsidRPr="51E02097">
        <w:rPr>
          <w:rFonts w:ascii="Times New Roman" w:hAnsi="Times New Roman"/>
          <w:b/>
          <w:bCs/>
          <w:sz w:val="24"/>
          <w:szCs w:val="24"/>
          <w:lang w:val="en-IE"/>
        </w:rPr>
        <w:t>the time-to-grant</w:t>
      </w:r>
      <w:r w:rsidR="009C4B7A" w:rsidRPr="75158EAF">
        <w:rPr>
          <w:rFonts w:ascii="Times New Roman" w:hAnsi="Times New Roman"/>
          <w:sz w:val="24"/>
          <w:szCs w:val="24"/>
          <w:lang w:val="en-IE"/>
        </w:rPr>
        <w:t xml:space="preserve"> is also expected to be </w:t>
      </w:r>
      <w:r w:rsidR="009C4B7A" w:rsidRPr="51E02097">
        <w:rPr>
          <w:rFonts w:ascii="Times New Roman" w:hAnsi="Times New Roman"/>
          <w:b/>
          <w:bCs/>
          <w:sz w:val="24"/>
          <w:szCs w:val="24"/>
          <w:lang w:val="en-IE"/>
        </w:rPr>
        <w:t xml:space="preserve">reduced by </w:t>
      </w:r>
      <w:r w:rsidR="00237375" w:rsidRPr="51E02097">
        <w:rPr>
          <w:rFonts w:ascii="Times New Roman" w:hAnsi="Times New Roman"/>
          <w:b/>
          <w:bCs/>
          <w:sz w:val="24"/>
          <w:szCs w:val="24"/>
          <w:lang w:val="en-IE"/>
        </w:rPr>
        <w:t>up to 10-15 days</w:t>
      </w:r>
      <w:r w:rsidR="008B7DBA" w:rsidRPr="51E02097">
        <w:rPr>
          <w:rStyle w:val="FootnoteReference"/>
          <w:rFonts w:ascii="Times New Roman" w:hAnsi="Times New Roman"/>
          <w:b/>
          <w:bCs/>
          <w:sz w:val="24"/>
          <w:szCs w:val="24"/>
          <w:lang w:val="en-IE"/>
        </w:rPr>
        <w:footnoteReference w:id="183"/>
      </w:r>
      <w:r w:rsidR="009C4B7A" w:rsidRPr="75158EAF">
        <w:rPr>
          <w:rFonts w:ascii="Times New Roman" w:hAnsi="Times New Roman"/>
          <w:sz w:val="24"/>
          <w:szCs w:val="24"/>
          <w:lang w:val="en-IE"/>
        </w:rPr>
        <w:t xml:space="preserve"> for applicants under grant-based instruments, especially for frequent or multi-programme applicants, without generating changes under financial instruments. </w:t>
      </w:r>
      <w:r w:rsidR="00271C15">
        <w:rPr>
          <w:rFonts w:ascii="Times New Roman" w:hAnsi="Times New Roman"/>
          <w:sz w:val="24"/>
          <w:szCs w:val="24"/>
          <w:lang w:val="en-IE"/>
        </w:rPr>
        <w:t>Op</w:t>
      </w:r>
      <w:r w:rsidR="00271C15" w:rsidRPr="00271C15">
        <w:rPr>
          <w:rFonts w:ascii="Times New Roman" w:hAnsi="Times New Roman"/>
          <w:sz w:val="24"/>
          <w:szCs w:val="24"/>
          <w:lang w:val="en-IE"/>
        </w:rPr>
        <w:t>tio</w:t>
      </w:r>
      <w:r w:rsidR="00271C15">
        <w:rPr>
          <w:rFonts w:ascii="Times New Roman" w:hAnsi="Times New Roman"/>
          <w:sz w:val="24"/>
          <w:szCs w:val="24"/>
          <w:lang w:val="en-IE"/>
        </w:rPr>
        <w:t xml:space="preserve">n C </w:t>
      </w:r>
      <w:r w:rsidR="00271C15" w:rsidRPr="00BB184A">
        <w:rPr>
          <w:rFonts w:ascii="Times New Roman" w:hAnsi="Times New Roman"/>
          <w:sz w:val="24"/>
          <w:szCs w:val="24"/>
          <w:lang w:val="en-IE"/>
        </w:rPr>
        <w:t xml:space="preserve">could </w:t>
      </w:r>
      <w:r w:rsidR="00172B2D">
        <w:rPr>
          <w:rFonts w:ascii="Times New Roman" w:hAnsi="Times New Roman"/>
          <w:sz w:val="24"/>
          <w:szCs w:val="24"/>
          <w:lang w:val="en-IE"/>
        </w:rPr>
        <w:t>potentially increase the average</w:t>
      </w:r>
      <w:r w:rsidR="00271C15" w:rsidRPr="00BB184A">
        <w:rPr>
          <w:rFonts w:ascii="Times New Roman" w:hAnsi="Times New Roman"/>
          <w:sz w:val="24"/>
          <w:szCs w:val="24"/>
          <w:lang w:val="en-IE"/>
        </w:rPr>
        <w:t xml:space="preserve"> </w:t>
      </w:r>
      <w:r w:rsidR="00271C15" w:rsidRPr="00BB184A">
        <w:rPr>
          <w:rFonts w:ascii="Times New Roman" w:hAnsi="Times New Roman"/>
          <w:b/>
          <w:bCs/>
          <w:sz w:val="24"/>
          <w:szCs w:val="24"/>
          <w:lang w:val="en-IE"/>
        </w:rPr>
        <w:t>success rate</w:t>
      </w:r>
      <w:r w:rsidR="00271C15" w:rsidRPr="00BB184A">
        <w:rPr>
          <w:rFonts w:ascii="Times New Roman" w:hAnsi="Times New Roman"/>
          <w:sz w:val="24"/>
          <w:szCs w:val="24"/>
          <w:lang w:val="en-IE"/>
        </w:rPr>
        <w:t xml:space="preserve"> of most oversubscribed programmes.</w:t>
      </w:r>
      <w:r w:rsidR="00A65646">
        <w:rPr>
          <w:rFonts w:ascii="Times New Roman" w:hAnsi="Times New Roman"/>
          <w:sz w:val="24"/>
          <w:szCs w:val="24"/>
          <w:lang w:val="en-IE"/>
        </w:rPr>
        <w:t xml:space="preserve"> </w:t>
      </w:r>
      <w:r w:rsidR="00A65646" w:rsidRPr="00BB184A">
        <w:rPr>
          <w:rFonts w:ascii="Times New Roman" w:hAnsi="Times New Roman"/>
          <w:sz w:val="24"/>
          <w:szCs w:val="24"/>
          <w:lang w:val="en-IE"/>
        </w:rPr>
        <w:t xml:space="preserve">However, success rates for specific types of applicants </w:t>
      </w:r>
      <w:r w:rsidR="002E3F34">
        <w:rPr>
          <w:rFonts w:ascii="Times New Roman" w:hAnsi="Times New Roman"/>
          <w:sz w:val="24"/>
          <w:szCs w:val="24"/>
          <w:lang w:val="en-IE"/>
        </w:rPr>
        <w:t xml:space="preserve">such as SMEs </w:t>
      </w:r>
      <w:r w:rsidR="00A65646" w:rsidRPr="00BB184A">
        <w:rPr>
          <w:rFonts w:ascii="Times New Roman" w:hAnsi="Times New Roman"/>
          <w:sz w:val="24"/>
          <w:szCs w:val="24"/>
          <w:lang w:val="en-IE"/>
        </w:rPr>
        <w:t>or projects could even decline. The option could either empower or sideline SMEs, depending on whether the fund design actively incorporates SME-friendly features</w:t>
      </w:r>
      <w:r w:rsidR="00A65646">
        <w:rPr>
          <w:rFonts w:ascii="Times New Roman" w:hAnsi="Times New Roman"/>
          <w:sz w:val="24"/>
          <w:szCs w:val="24"/>
          <w:lang w:val="en-IE"/>
        </w:rPr>
        <w:t>.</w:t>
      </w:r>
    </w:p>
    <w:p w14:paraId="4DA35563" w14:textId="17A64083" w:rsidR="007D08EA" w:rsidRPr="00BB184A" w:rsidRDefault="69633B1C" w:rsidP="00603157">
      <w:pPr>
        <w:pStyle w:val="BodyText1"/>
        <w:rPr>
          <w:lang w:val="en-IE"/>
        </w:rPr>
      </w:pPr>
      <w:r w:rsidRPr="7DF17599">
        <w:rPr>
          <w:rFonts w:ascii="Times New Roman" w:hAnsi="Times New Roman"/>
          <w:b/>
          <w:bCs/>
          <w:sz w:val="24"/>
          <w:szCs w:val="24"/>
          <w:lang w:val="en-IE"/>
        </w:rPr>
        <w:t>Some</w:t>
      </w:r>
      <w:r w:rsidR="007D08EA" w:rsidRPr="00BB184A">
        <w:rPr>
          <w:rFonts w:ascii="Times New Roman" w:hAnsi="Times New Roman"/>
          <w:b/>
          <w:sz w:val="24"/>
          <w:szCs w:val="24"/>
          <w:lang w:val="en-IE"/>
        </w:rPr>
        <w:t xml:space="preserve"> adjustment costs</w:t>
      </w:r>
      <w:r w:rsidR="007D08EA" w:rsidRPr="00BB184A">
        <w:rPr>
          <w:rFonts w:ascii="Times New Roman" w:hAnsi="Times New Roman"/>
          <w:sz w:val="24"/>
          <w:szCs w:val="24"/>
          <w:lang w:val="en-IE"/>
        </w:rPr>
        <w:t xml:space="preserve"> for applicants and beneficiaries would likely </w:t>
      </w:r>
      <w:r w:rsidR="5E504E5E" w:rsidRPr="7DF17599">
        <w:rPr>
          <w:rFonts w:ascii="Times New Roman" w:hAnsi="Times New Roman"/>
          <w:b/>
          <w:bCs/>
          <w:sz w:val="24"/>
          <w:szCs w:val="24"/>
          <w:lang w:val="en-IE"/>
        </w:rPr>
        <w:t>materialise</w:t>
      </w:r>
      <w:r w:rsidR="007D08EA" w:rsidRPr="7DF17599">
        <w:rPr>
          <w:rFonts w:ascii="Times New Roman" w:hAnsi="Times New Roman"/>
          <w:b/>
          <w:bCs/>
          <w:sz w:val="24"/>
          <w:szCs w:val="24"/>
          <w:lang w:val="en-IE"/>
        </w:rPr>
        <w:t>.</w:t>
      </w:r>
      <w:r w:rsidR="007D08EA" w:rsidRPr="00BB184A">
        <w:rPr>
          <w:rFonts w:ascii="Times New Roman" w:hAnsi="Times New Roman"/>
          <w:sz w:val="24"/>
          <w:szCs w:val="24"/>
          <w:lang w:val="en-IE"/>
        </w:rPr>
        <w:t xml:space="preserve"> The transition to a single, integrated fund would require adaptation by organisations accustomed to the current structure. However, while initial adaptation to the new fund </w:t>
      </w:r>
      <w:r w:rsidR="008B45F4">
        <w:rPr>
          <w:rFonts w:ascii="Times New Roman" w:hAnsi="Times New Roman"/>
          <w:sz w:val="24"/>
          <w:szCs w:val="24"/>
          <w:lang w:val="en-IE"/>
        </w:rPr>
        <w:t>would</w:t>
      </w:r>
      <w:r w:rsidR="007D08EA" w:rsidRPr="00BB184A">
        <w:rPr>
          <w:rFonts w:ascii="Times New Roman" w:hAnsi="Times New Roman"/>
          <w:sz w:val="24"/>
          <w:szCs w:val="24"/>
          <w:lang w:val="en-IE"/>
        </w:rPr>
        <w:t xml:space="preserve"> </w:t>
      </w:r>
      <w:r w:rsidR="008B45F4">
        <w:rPr>
          <w:rFonts w:ascii="Times New Roman" w:hAnsi="Times New Roman"/>
          <w:sz w:val="24"/>
          <w:szCs w:val="24"/>
          <w:lang w:val="en-IE"/>
        </w:rPr>
        <w:t>be needed</w:t>
      </w:r>
      <w:r w:rsidR="007D08EA" w:rsidRPr="00BB184A">
        <w:rPr>
          <w:rFonts w:ascii="Times New Roman" w:hAnsi="Times New Roman"/>
          <w:sz w:val="24"/>
          <w:szCs w:val="24"/>
          <w:lang w:val="en-IE"/>
        </w:rPr>
        <w:t>, beneficiaries would only need to undertake this learning process once, rather than repeatedly for multiple programmes.</w:t>
      </w:r>
      <w:r w:rsidR="00711122" w:rsidRPr="00BB184A">
        <w:rPr>
          <w:rFonts w:ascii="Times New Roman" w:hAnsi="Times New Roman"/>
          <w:sz w:val="24"/>
          <w:szCs w:val="24"/>
          <w:lang w:val="en-IE"/>
        </w:rPr>
        <w:t xml:space="preserve"> Building upon existing features, such as the Funding &amp; Tenders portal</w:t>
      </w:r>
      <w:r w:rsidR="00352C26">
        <w:rPr>
          <w:rFonts w:ascii="Times New Roman" w:hAnsi="Times New Roman"/>
          <w:sz w:val="24"/>
          <w:szCs w:val="24"/>
          <w:lang w:val="en-IE"/>
        </w:rPr>
        <w:t xml:space="preserve"> and the STEP Portal</w:t>
      </w:r>
      <w:r w:rsidR="00711122" w:rsidRPr="00BB184A">
        <w:rPr>
          <w:rFonts w:ascii="Times New Roman" w:hAnsi="Times New Roman"/>
          <w:sz w:val="24"/>
          <w:szCs w:val="24"/>
          <w:lang w:val="en-IE"/>
        </w:rPr>
        <w:t>can help mitigate disruptions, and robust governance structures can help manage the transition. Ultimately, a simpler and more readable structure could broaden access to funding programmes to new beneficiaries, and stimulating innovation across sectors</w:t>
      </w:r>
      <w:r w:rsidR="001E4DC2">
        <w:rPr>
          <w:rFonts w:ascii="Times New Roman" w:hAnsi="Times New Roman"/>
          <w:sz w:val="24"/>
          <w:szCs w:val="24"/>
          <w:lang w:val="en-IE"/>
        </w:rPr>
        <w:t>.</w:t>
      </w:r>
    </w:p>
    <w:p w14:paraId="1B7E5A73" w14:textId="67234E68" w:rsidR="00FC3D58" w:rsidRDefault="700626F8" w:rsidP="00603157">
      <w:pPr>
        <w:rPr>
          <w:noProof/>
        </w:rPr>
      </w:pPr>
      <w:r>
        <w:rPr>
          <w:noProof/>
        </w:rPr>
        <w:t>Preserving predictability for bottom</w:t>
      </w:r>
      <w:r w:rsidR="4C2D1BEE">
        <w:rPr>
          <w:noProof/>
        </w:rPr>
        <w:t>-</w:t>
      </w:r>
      <w:r>
        <w:rPr>
          <w:noProof/>
        </w:rPr>
        <w:t xml:space="preserve">up research will </w:t>
      </w:r>
      <w:r w:rsidR="4325D39A">
        <w:rPr>
          <w:noProof/>
        </w:rPr>
        <w:t xml:space="preserve">help </w:t>
      </w:r>
      <w:r w:rsidR="0160D907">
        <w:rPr>
          <w:noProof/>
        </w:rPr>
        <w:t xml:space="preserve">safeguard </w:t>
      </w:r>
      <w:r w:rsidR="770A4B85">
        <w:rPr>
          <w:noProof/>
        </w:rPr>
        <w:t>the innovation capacity of the EU. A unified application process would increase certainty for applicants about possible funding opportunities, but the flexibility of Option C can also increase uncertainty due to changing political priorities</w:t>
      </w:r>
      <w:r w:rsidR="00421BBF">
        <w:rPr>
          <w:noProof/>
        </w:rPr>
        <w:t xml:space="preserve">. </w:t>
      </w:r>
      <w:r w:rsidR="4C2D1BEE">
        <w:rPr>
          <w:noProof/>
        </w:rPr>
        <w:t xml:space="preserve">It will be important to ensure the appropriate balance between predictability and flexibility. </w:t>
      </w:r>
    </w:p>
    <w:p w14:paraId="655CAB95" w14:textId="77777777" w:rsidR="00E1316E" w:rsidRPr="004B222C" w:rsidRDefault="00FC3D58" w:rsidP="00603157">
      <w:pPr>
        <w:rPr>
          <w:noProof/>
        </w:rPr>
      </w:pPr>
      <w:r>
        <w:rPr>
          <w:noProof/>
        </w:rPr>
        <w:t xml:space="preserve">Option C would expand access to financial tools, and integrate advisory and business support services, enhancing access to finance and improving project bankability. </w:t>
      </w:r>
      <w:r w:rsidR="00E1316E" w:rsidRPr="00EE1452">
        <w:rPr>
          <w:noProof/>
        </w:rPr>
        <w:t>As option C will also include a standardised advisory offer with a focus on value-added and maximised efficiency of leveraging public funds to attract private investments, it will allow to coordinate the choice of financial instruments that are most suitable for different types of beneficiaries and for the objective of mobilising private capital.</w:t>
      </w:r>
    </w:p>
    <w:p w14:paraId="5960BC00" w14:textId="4622A85C" w:rsidR="00FC3D58" w:rsidRDefault="6A6E838C" w:rsidP="00603157">
      <w:pPr>
        <w:rPr>
          <w:noProof/>
        </w:rPr>
      </w:pPr>
      <w:r>
        <w:rPr>
          <w:noProof/>
        </w:rPr>
        <w:t>Consistency across implementing tools and horizontal legal provisions would reduce administrative costs</w:t>
      </w:r>
      <w:r w:rsidR="286E2C87">
        <w:rPr>
          <w:noProof/>
        </w:rPr>
        <w:t>.</w:t>
      </w:r>
    </w:p>
    <w:p w14:paraId="4CA9D158" w14:textId="5083EB76" w:rsidR="005161DB" w:rsidRPr="00BB184A" w:rsidRDefault="00042AE2" w:rsidP="00603157">
      <w:pPr>
        <w:pStyle w:val="BodyText1"/>
        <w:rPr>
          <w:rFonts w:ascii="Times New Roman" w:eastAsiaTheme="minorHAnsi" w:hAnsi="Times New Roman"/>
          <w:sz w:val="24"/>
          <w:szCs w:val="24"/>
        </w:rPr>
      </w:pPr>
      <w:r w:rsidRPr="00BB184A">
        <w:rPr>
          <w:rFonts w:ascii="Times New Roman" w:eastAsiaTheme="minorHAnsi" w:hAnsi="Times New Roman"/>
          <w:sz w:val="24"/>
          <w:szCs w:val="24"/>
        </w:rPr>
        <w:t>T</w:t>
      </w:r>
      <w:r w:rsidR="005161DB" w:rsidRPr="00BB184A">
        <w:rPr>
          <w:rFonts w:ascii="Times New Roman" w:eastAsiaTheme="minorHAnsi" w:hAnsi="Times New Roman"/>
          <w:sz w:val="24"/>
          <w:szCs w:val="24"/>
        </w:rPr>
        <w:t>he consolidation into a single fund</w:t>
      </w:r>
      <w:r w:rsidR="00FA2A22" w:rsidRPr="00BB184A">
        <w:rPr>
          <w:rFonts w:ascii="Times New Roman" w:eastAsiaTheme="minorHAnsi" w:hAnsi="Times New Roman"/>
          <w:sz w:val="24"/>
          <w:szCs w:val="24"/>
        </w:rPr>
        <w:t xml:space="preserve"> would likely be advantageous</w:t>
      </w:r>
      <w:r w:rsidRPr="00BB184A">
        <w:rPr>
          <w:rFonts w:ascii="Times New Roman" w:eastAsiaTheme="minorHAnsi" w:hAnsi="Times New Roman"/>
          <w:sz w:val="24"/>
          <w:szCs w:val="24"/>
        </w:rPr>
        <w:t xml:space="preserve"> for SMEs</w:t>
      </w:r>
      <w:r w:rsidR="00FA2A22" w:rsidRPr="00BB184A">
        <w:rPr>
          <w:rFonts w:ascii="Times New Roman" w:eastAsiaTheme="minorHAnsi" w:hAnsi="Times New Roman"/>
          <w:sz w:val="24"/>
          <w:szCs w:val="24"/>
        </w:rPr>
        <w:t xml:space="preserve"> as </w:t>
      </w:r>
      <w:r w:rsidRPr="00BB184A">
        <w:rPr>
          <w:rFonts w:ascii="Times New Roman" w:eastAsiaTheme="minorHAnsi" w:hAnsi="Times New Roman"/>
          <w:sz w:val="24"/>
          <w:szCs w:val="24"/>
        </w:rPr>
        <w:t>they</w:t>
      </w:r>
      <w:r w:rsidR="00FA2A22" w:rsidRPr="00BB184A">
        <w:rPr>
          <w:rFonts w:ascii="Times New Roman" w:eastAsiaTheme="minorHAnsi" w:hAnsi="Times New Roman"/>
          <w:sz w:val="24"/>
          <w:szCs w:val="24"/>
        </w:rPr>
        <w:t xml:space="preserve"> typically lack the resources to navigate complex, fragmented systems.</w:t>
      </w:r>
      <w:r w:rsidR="002D6F60" w:rsidRPr="00BB184A">
        <w:rPr>
          <w:rFonts w:ascii="Times New Roman" w:eastAsiaTheme="minorHAnsi" w:hAnsi="Times New Roman"/>
          <w:sz w:val="24"/>
          <w:szCs w:val="24"/>
        </w:rPr>
        <w:t xml:space="preserve"> </w:t>
      </w:r>
      <w:r w:rsidR="006A5EBE" w:rsidRPr="00BB184A">
        <w:rPr>
          <w:rFonts w:ascii="Times New Roman" w:eastAsiaTheme="minorHAnsi" w:hAnsi="Times New Roman"/>
          <w:sz w:val="24"/>
          <w:szCs w:val="24"/>
        </w:rPr>
        <w:t>Moreover</w:t>
      </w:r>
      <w:r w:rsidR="0089170A">
        <w:rPr>
          <w:rFonts w:ascii="Times New Roman" w:eastAsiaTheme="minorHAnsi" w:hAnsi="Times New Roman"/>
          <w:sz w:val="24"/>
          <w:szCs w:val="24"/>
        </w:rPr>
        <w:t>,</w:t>
      </w:r>
      <w:r w:rsidR="006A5EBE" w:rsidRPr="00BB184A">
        <w:rPr>
          <w:rFonts w:ascii="Times New Roman" w:eastAsiaTheme="minorHAnsi" w:hAnsi="Times New Roman"/>
          <w:sz w:val="24"/>
          <w:szCs w:val="24"/>
        </w:rPr>
        <w:t xml:space="preserve"> </w:t>
      </w:r>
      <w:r w:rsidR="002D6F60" w:rsidRPr="00BB184A">
        <w:rPr>
          <w:rFonts w:ascii="Times New Roman" w:eastAsiaTheme="minorHAnsi" w:hAnsi="Times New Roman"/>
          <w:sz w:val="24"/>
          <w:szCs w:val="24"/>
        </w:rPr>
        <w:t>the strategic focus on disruptive innovation could offer SMEs new opportunities in high-growth areas</w:t>
      </w:r>
      <w:r w:rsidR="006A298A" w:rsidRPr="00BB184A">
        <w:rPr>
          <w:rFonts w:ascii="Times New Roman" w:eastAsiaTheme="minorHAnsi" w:hAnsi="Times New Roman"/>
          <w:sz w:val="24"/>
          <w:szCs w:val="24"/>
        </w:rPr>
        <w:t>.</w:t>
      </w:r>
      <w:r w:rsidR="00C84712">
        <w:rPr>
          <w:rFonts w:ascii="Times New Roman" w:eastAsiaTheme="minorHAnsi" w:hAnsi="Times New Roman"/>
          <w:sz w:val="24"/>
          <w:szCs w:val="24"/>
        </w:rPr>
        <w:t xml:space="preserve"> </w:t>
      </w:r>
    </w:p>
    <w:p w14:paraId="443E4B06" w14:textId="2127C7BA" w:rsidR="00FC3D58" w:rsidRDefault="770A4B85" w:rsidP="00603157">
      <w:pPr>
        <w:rPr>
          <w:noProof/>
        </w:rPr>
      </w:pPr>
      <w:r w:rsidRPr="39E315CF">
        <w:rPr>
          <w:noProof/>
        </w:rPr>
        <w:t xml:space="preserve">Option C will </w:t>
      </w:r>
      <w:r w:rsidR="6198C9D3" w:rsidRPr="39E315CF">
        <w:rPr>
          <w:noProof/>
        </w:rPr>
        <w:t>increase</w:t>
      </w:r>
      <w:r w:rsidRPr="39E315CF">
        <w:rPr>
          <w:noProof/>
        </w:rPr>
        <w:t xml:space="preserve"> budget flexibility, allowing for strategic allocation of resources</w:t>
      </w:r>
      <w:r w:rsidR="6198C9D3" w:rsidRPr="39E315CF">
        <w:rPr>
          <w:noProof/>
        </w:rPr>
        <w:t xml:space="preserve"> with the appropriate safeguards</w:t>
      </w:r>
      <w:r w:rsidRPr="39E315CF">
        <w:rPr>
          <w:noProof/>
        </w:rPr>
        <w:t>, and provide an opportunity to offer a diverse range of financing instruments, while respecting the need for continuity of funding for certain activities. Overall, Option C aims to create a more efficient and business-friendly funding environment</w:t>
      </w:r>
      <w:r w:rsidR="00F20B86" w:rsidRPr="39E315CF">
        <w:rPr>
          <w:noProof/>
        </w:rPr>
        <w:t xml:space="preserve"> </w:t>
      </w:r>
      <w:r w:rsidR="00F9080A" w:rsidRPr="39E315CF">
        <w:rPr>
          <w:noProof/>
        </w:rPr>
        <w:t>with potential for simplification, flexibility and speed</w:t>
      </w:r>
      <w:r w:rsidR="7F3F1400" w:rsidRPr="39E315CF">
        <w:rPr>
          <w:noProof/>
        </w:rPr>
        <w:t>.</w:t>
      </w:r>
      <w:r w:rsidR="462B2D28" w:rsidRPr="39E315CF">
        <w:rPr>
          <w:noProof/>
        </w:rPr>
        <w:t xml:space="preserve"> I</w:t>
      </w:r>
      <w:r w:rsidRPr="39E315CF">
        <w:rPr>
          <w:noProof/>
        </w:rPr>
        <w:t xml:space="preserve">ts implementation will </w:t>
      </w:r>
      <w:r w:rsidR="03929EC0" w:rsidRPr="39E315CF">
        <w:rPr>
          <w:noProof/>
        </w:rPr>
        <w:t xml:space="preserve">be supported by </w:t>
      </w:r>
      <w:r w:rsidR="00E1316E">
        <w:rPr>
          <w:noProof/>
        </w:rPr>
        <w:t>a</w:t>
      </w:r>
      <w:r w:rsidR="03929EC0" w:rsidRPr="39E315CF">
        <w:rPr>
          <w:noProof/>
        </w:rPr>
        <w:t xml:space="preserve"> transition process, enabling</w:t>
      </w:r>
      <w:r w:rsidRPr="39E315CF">
        <w:rPr>
          <w:noProof/>
        </w:rPr>
        <w:t xml:space="preserve"> stakeholders</w:t>
      </w:r>
      <w:r w:rsidR="01B90F82" w:rsidRPr="39E315CF">
        <w:rPr>
          <w:noProof/>
        </w:rPr>
        <w:t xml:space="preserve"> to adjust to new opportunities</w:t>
      </w:r>
      <w:r w:rsidRPr="39E315CF">
        <w:rPr>
          <w:noProof/>
        </w:rPr>
        <w:t>.</w:t>
      </w:r>
    </w:p>
    <w:p w14:paraId="190836F3" w14:textId="2049F482" w:rsidR="00031AB5" w:rsidRDefault="00031AB5" w:rsidP="00031AB5">
      <w:pPr>
        <w:rPr>
          <w:noProof/>
        </w:rPr>
      </w:pPr>
      <w:r>
        <w:rPr>
          <w:noProof/>
          <w:lang w:val="en-IE"/>
        </w:rPr>
        <w:t xml:space="preserve">As such, option C addresses the issues of fragmented support through the investment journey, it offers the highest </w:t>
      </w:r>
      <w:r w:rsidR="00D50E32">
        <w:rPr>
          <w:noProof/>
          <w:lang w:val="en-IE"/>
        </w:rPr>
        <w:t>potential for</w:t>
      </w:r>
      <w:r>
        <w:rPr>
          <w:noProof/>
          <w:lang w:val="en-IE"/>
        </w:rPr>
        <w:t xml:space="preserve"> leveraging private investments, making the access to the EU funding much easier with sufficient coordination mechanism and flexibility of the funding instruments.</w:t>
      </w:r>
    </w:p>
    <w:p w14:paraId="465C38CA" w14:textId="107B91D3" w:rsidR="00FC3D58" w:rsidRPr="00CE0C30" w:rsidRDefault="00FC3D58" w:rsidP="00603157">
      <w:pPr>
        <w:rPr>
          <w:b/>
          <w:noProof/>
          <w:lang w:val="en-IE"/>
        </w:rPr>
      </w:pPr>
      <w:r>
        <w:rPr>
          <w:b/>
          <w:noProof/>
          <w:lang w:val="en-IE"/>
        </w:rPr>
        <w:t>Market impacts</w:t>
      </w:r>
    </w:p>
    <w:p w14:paraId="5AFB6636" w14:textId="6113CEA2" w:rsidR="00FC3D58" w:rsidRPr="00E0244B" w:rsidRDefault="00FC3D58" w:rsidP="00603157">
      <w:pPr>
        <w:rPr>
          <w:noProof/>
          <w:lang w:val="en-IE"/>
        </w:rPr>
      </w:pPr>
      <w:r w:rsidRPr="00E0244B">
        <w:rPr>
          <w:noProof/>
          <w:lang w:val="en-IE"/>
        </w:rPr>
        <w:t xml:space="preserve">The proposed consolidation of multiple programs into a single structure is expected to have </w:t>
      </w:r>
      <w:r w:rsidR="004450AB">
        <w:rPr>
          <w:noProof/>
          <w:lang w:val="en-IE"/>
        </w:rPr>
        <w:t>a</w:t>
      </w:r>
      <w:r w:rsidR="004450AB" w:rsidRPr="00E0244B">
        <w:rPr>
          <w:noProof/>
          <w:lang w:val="en-IE"/>
        </w:rPr>
        <w:t xml:space="preserve"> </w:t>
      </w:r>
      <w:r w:rsidRPr="00E0244B">
        <w:rPr>
          <w:noProof/>
          <w:lang w:val="en-IE"/>
        </w:rPr>
        <w:t>positive market impact</w:t>
      </w:r>
      <w:r w:rsidR="004450AB">
        <w:rPr>
          <w:noProof/>
          <w:lang w:val="en-IE"/>
        </w:rPr>
        <w:t xml:space="preserve"> if </w:t>
      </w:r>
      <w:r w:rsidR="006C2711">
        <w:rPr>
          <w:noProof/>
          <w:lang w:val="en-IE"/>
        </w:rPr>
        <w:t xml:space="preserve">carefully </w:t>
      </w:r>
      <w:r w:rsidR="004450AB">
        <w:rPr>
          <w:noProof/>
          <w:lang w:val="en-IE"/>
        </w:rPr>
        <w:t>implemented</w:t>
      </w:r>
      <w:r w:rsidR="006C2711">
        <w:rPr>
          <w:noProof/>
          <w:lang w:val="en-IE"/>
        </w:rPr>
        <w:t>:</w:t>
      </w:r>
      <w:r w:rsidRPr="00E0244B">
        <w:rPr>
          <w:noProof/>
          <w:lang w:val="en-IE"/>
        </w:rPr>
        <w:t xml:space="preserve"> </w:t>
      </w:r>
      <w:r w:rsidR="006C2711">
        <w:rPr>
          <w:noProof/>
          <w:lang w:val="en-IE"/>
        </w:rPr>
        <w:t>I</w:t>
      </w:r>
      <w:r w:rsidRPr="00E0244B">
        <w:rPr>
          <w:noProof/>
          <w:lang w:val="en-IE"/>
        </w:rPr>
        <w:t xml:space="preserve">t would enhance the competitiveness of European companies, including SMEs, start-ups, scale-ups, and large enterprises, by making the funding landscape more accessible and strategically aligned. This would support European strategic autonomy by reducing reliance on foreign supply chains and mitigating </w:t>
      </w:r>
      <w:r w:rsidR="004C69F1">
        <w:rPr>
          <w:noProof/>
          <w:lang w:val="en-IE"/>
        </w:rPr>
        <w:t xml:space="preserve">critical </w:t>
      </w:r>
      <w:r w:rsidRPr="00E0244B">
        <w:rPr>
          <w:noProof/>
          <w:lang w:val="en-IE"/>
        </w:rPr>
        <w:t>dependencies on external actors, ultimately improving the market position of EU companies both within the Single Market and globally</w:t>
      </w:r>
      <w:r w:rsidR="00671E3B">
        <w:rPr>
          <w:noProof/>
          <w:lang w:val="en-IE"/>
        </w:rPr>
        <w:t xml:space="preserve">, in coherence with </w:t>
      </w:r>
      <w:r w:rsidR="00617A8D">
        <w:rPr>
          <w:noProof/>
          <w:lang w:val="en-IE"/>
        </w:rPr>
        <w:t>Global Europe</w:t>
      </w:r>
      <w:r w:rsidR="004C69F1">
        <w:rPr>
          <w:noProof/>
          <w:lang w:val="en-IE"/>
        </w:rPr>
        <w:t xml:space="preserve"> and synergies that </w:t>
      </w:r>
      <w:r w:rsidR="000C3A05">
        <w:rPr>
          <w:noProof/>
          <w:lang w:val="en-IE"/>
        </w:rPr>
        <w:t>both programmes create</w:t>
      </w:r>
      <w:r w:rsidRPr="00E0244B">
        <w:rPr>
          <w:noProof/>
          <w:lang w:val="en-IE"/>
        </w:rPr>
        <w:t>.</w:t>
      </w:r>
    </w:p>
    <w:p w14:paraId="32AC5DFB" w14:textId="77777777" w:rsidR="003C6D52" w:rsidRDefault="770A4B85">
      <w:pPr>
        <w:rPr>
          <w:noProof/>
          <w:lang w:val="en-IE"/>
        </w:rPr>
      </w:pPr>
      <w:r w:rsidRPr="2A1AD167">
        <w:rPr>
          <w:noProof/>
          <w:lang w:val="en-IE"/>
        </w:rPr>
        <w:t>The consolidation would also provide additional flexibility, expanded opportunities for mobilising private capital, and a substantial reduction in complexity, overlaps, and administrative burdens. It would offer effective and streamlined support to companies, particularly SMEs, with reduced administrative burdens, greater visibility of EU funding opportunities, and simpler access to support.</w:t>
      </w:r>
      <w:r w:rsidR="2CE32F5F" w:rsidRPr="2A1AD167">
        <w:rPr>
          <w:noProof/>
          <w:lang w:val="en-IE"/>
        </w:rPr>
        <w:t xml:space="preserve"> I</w:t>
      </w:r>
      <w:r w:rsidR="77FA35B7" w:rsidRPr="14924671">
        <w:rPr>
          <w:noProof/>
          <w:lang w:val="en-IE"/>
        </w:rPr>
        <w:t>t</w:t>
      </w:r>
      <w:r w:rsidR="2CE32F5F" w:rsidRPr="2A1AD167">
        <w:rPr>
          <w:noProof/>
          <w:lang w:val="en-IE"/>
        </w:rPr>
        <w:t xml:space="preserve"> would also better connect </w:t>
      </w:r>
      <w:r w:rsidR="00171B5A" w:rsidRPr="2A1AD167">
        <w:rPr>
          <w:noProof/>
          <w:lang w:val="en-IE"/>
        </w:rPr>
        <w:t>research</w:t>
      </w:r>
      <w:r w:rsidR="2CE32F5F" w:rsidRPr="2A1AD167">
        <w:rPr>
          <w:noProof/>
          <w:lang w:val="en-IE"/>
        </w:rPr>
        <w:t xml:space="preserve"> with market </w:t>
      </w:r>
      <w:r w:rsidR="00171B5A" w:rsidRPr="2A1AD167">
        <w:rPr>
          <w:noProof/>
          <w:lang w:val="en-IE"/>
        </w:rPr>
        <w:t>development</w:t>
      </w:r>
      <w:r w:rsidR="2CE32F5F" w:rsidRPr="2A1AD167">
        <w:rPr>
          <w:noProof/>
          <w:lang w:val="en-IE"/>
        </w:rPr>
        <w:t xml:space="preserve">, and conversely better align research priorities with </w:t>
      </w:r>
      <w:r w:rsidR="004B6BA1" w:rsidRPr="2A1AD167">
        <w:rPr>
          <w:noProof/>
          <w:lang w:val="en-IE"/>
        </w:rPr>
        <w:t>industrial</w:t>
      </w:r>
      <w:r w:rsidR="2CE32F5F" w:rsidRPr="2A1AD167">
        <w:rPr>
          <w:noProof/>
          <w:lang w:val="en-IE"/>
        </w:rPr>
        <w:t xml:space="preserve"> needs – while </w:t>
      </w:r>
      <w:r w:rsidR="004B6BA1" w:rsidRPr="2A1AD167">
        <w:rPr>
          <w:noProof/>
          <w:lang w:val="en-IE"/>
        </w:rPr>
        <w:t>maintaining</w:t>
      </w:r>
      <w:r w:rsidR="2CE32F5F" w:rsidRPr="2A1AD167">
        <w:rPr>
          <w:noProof/>
          <w:lang w:val="en-IE"/>
        </w:rPr>
        <w:t xml:space="preserve"> </w:t>
      </w:r>
      <w:r w:rsidR="00245ED9">
        <w:rPr>
          <w:noProof/>
          <w:lang w:val="en-IE"/>
        </w:rPr>
        <w:t xml:space="preserve">a </w:t>
      </w:r>
      <w:r w:rsidR="2CE32F5F" w:rsidRPr="2A1AD167">
        <w:rPr>
          <w:noProof/>
          <w:lang w:val="en-IE"/>
        </w:rPr>
        <w:t xml:space="preserve">bottom-up </w:t>
      </w:r>
      <w:r w:rsidR="00245ED9">
        <w:rPr>
          <w:noProof/>
          <w:lang w:val="en-IE"/>
        </w:rPr>
        <w:t>approach</w:t>
      </w:r>
      <w:r w:rsidR="00245ED9" w:rsidRPr="2A1AD167">
        <w:rPr>
          <w:noProof/>
          <w:lang w:val="en-IE"/>
        </w:rPr>
        <w:t xml:space="preserve"> </w:t>
      </w:r>
      <w:r w:rsidR="2CE32F5F" w:rsidRPr="2A1AD167">
        <w:rPr>
          <w:noProof/>
          <w:lang w:val="en-IE"/>
        </w:rPr>
        <w:t xml:space="preserve">especially for </w:t>
      </w:r>
      <w:r w:rsidR="00572F8C" w:rsidRPr="2A1AD167">
        <w:rPr>
          <w:noProof/>
          <w:lang w:val="en-IE"/>
        </w:rPr>
        <w:t>fundamental</w:t>
      </w:r>
      <w:r w:rsidR="2CE32F5F" w:rsidRPr="2A1AD167">
        <w:rPr>
          <w:noProof/>
          <w:lang w:val="en-IE"/>
        </w:rPr>
        <w:t xml:space="preserve"> research</w:t>
      </w:r>
      <w:r w:rsidR="003C6D52">
        <w:rPr>
          <w:noProof/>
          <w:lang w:val="en-IE"/>
        </w:rPr>
        <w:t xml:space="preserve">. </w:t>
      </w:r>
    </w:p>
    <w:p w14:paraId="0F9F5A37" w14:textId="7119E2DC" w:rsidR="00FC3D58" w:rsidRDefault="009B73E8" w:rsidP="00603157">
      <w:pPr>
        <w:rPr>
          <w:noProof/>
          <w:lang w:val="en-IE"/>
        </w:rPr>
      </w:pPr>
      <w:r w:rsidRPr="51E02097">
        <w:rPr>
          <w:noProof/>
          <w:lang w:val="en-IE"/>
        </w:rPr>
        <w:t xml:space="preserve">This is based on the experience with the </w:t>
      </w:r>
      <w:r w:rsidR="00175AEA" w:rsidRPr="51E02097">
        <w:rPr>
          <w:rFonts w:eastAsiaTheme="minorEastAsia"/>
          <w:noProof/>
          <w:lang w:val="en-IE"/>
        </w:rPr>
        <w:t xml:space="preserve">InvestEU Programme, which is </w:t>
      </w:r>
      <w:r w:rsidR="3C37D893" w:rsidRPr="00F0281E">
        <w:rPr>
          <w:rFonts w:eastAsiaTheme="minorEastAsia"/>
          <w:noProof/>
          <w:lang w:val="en-IE"/>
        </w:rPr>
        <w:t>h</w:t>
      </w:r>
      <w:r w:rsidR="3C37D893" w:rsidRPr="00A137E6">
        <w:rPr>
          <w:rFonts w:eastAsiaTheme="minorEastAsia"/>
          <w:noProof/>
        </w:rPr>
        <w:t xml:space="preserve">e most useful benchmark of an </w:t>
      </w:r>
      <w:r w:rsidR="003C6D52">
        <w:rPr>
          <w:rFonts w:eastAsiaTheme="minorEastAsia"/>
          <w:noProof/>
        </w:rPr>
        <w:t xml:space="preserve">EU </w:t>
      </w:r>
      <w:r w:rsidR="3C37D893" w:rsidRPr="00A137E6">
        <w:rPr>
          <w:rFonts w:eastAsiaTheme="minorEastAsia"/>
          <w:noProof/>
        </w:rPr>
        <w:t xml:space="preserve">initiative that pooled a number of financial instruments under a single, streamlined framework </w:t>
      </w:r>
      <w:r w:rsidR="00175AEA" w:rsidRPr="51E02097">
        <w:rPr>
          <w:rFonts w:eastAsiaTheme="minorEastAsia"/>
          <w:noProof/>
        </w:rPr>
        <w:t>and</w:t>
      </w:r>
      <w:r w:rsidR="3C37D893" w:rsidRPr="00A137E6">
        <w:rPr>
          <w:rFonts w:eastAsiaTheme="minorEastAsia"/>
          <w:noProof/>
        </w:rPr>
        <w:t xml:space="preserve"> the EU’s flagship investment programme aimed at mobilizing public and private financing to support </w:t>
      </w:r>
      <w:r w:rsidR="39DA1FD7" w:rsidRPr="00A137E6">
        <w:rPr>
          <w:rFonts w:eastAsiaTheme="minorEastAsia"/>
          <w:noProof/>
        </w:rPr>
        <w:t>EU priorities and ultimately in</w:t>
      </w:r>
      <w:r w:rsidR="007B0270" w:rsidRPr="00A137E6">
        <w:rPr>
          <w:rFonts w:eastAsiaTheme="minorEastAsia"/>
          <w:noProof/>
        </w:rPr>
        <w:t>creasing</w:t>
      </w:r>
      <w:r w:rsidR="39DA1FD7" w:rsidRPr="00A137E6">
        <w:rPr>
          <w:rFonts w:eastAsiaTheme="minorEastAsia"/>
          <w:noProof/>
        </w:rPr>
        <w:t xml:space="preserve"> </w:t>
      </w:r>
      <w:r w:rsidR="00115AC4" w:rsidRPr="00A137E6">
        <w:rPr>
          <w:rFonts w:eastAsiaTheme="minorEastAsia"/>
          <w:noProof/>
        </w:rPr>
        <w:t xml:space="preserve">the </w:t>
      </w:r>
      <w:r w:rsidR="39DA1FD7" w:rsidRPr="00A137E6">
        <w:rPr>
          <w:rFonts w:eastAsiaTheme="minorEastAsia"/>
          <w:noProof/>
        </w:rPr>
        <w:t>EU</w:t>
      </w:r>
      <w:r w:rsidR="00115AC4" w:rsidRPr="00A137E6">
        <w:rPr>
          <w:rFonts w:eastAsiaTheme="minorEastAsia"/>
          <w:noProof/>
        </w:rPr>
        <w:t>’s</w:t>
      </w:r>
      <w:r w:rsidR="39DA1FD7" w:rsidRPr="00A137E6">
        <w:rPr>
          <w:rFonts w:eastAsiaTheme="minorEastAsia"/>
          <w:noProof/>
        </w:rPr>
        <w:t xml:space="preserve"> competitiveness.</w:t>
      </w:r>
      <w:r w:rsidR="00B209A9" w:rsidRPr="00A137E6">
        <w:rPr>
          <w:noProof/>
          <w:lang w:val="en-IE"/>
        </w:rPr>
        <w:t xml:space="preserve">As of June 2024 </w:t>
      </w:r>
      <w:r w:rsidR="00A162E7" w:rsidRPr="00A137E6">
        <w:rPr>
          <w:noProof/>
          <w:lang w:val="en-IE"/>
        </w:rPr>
        <w:t>InvestEU</w:t>
      </w:r>
      <w:r w:rsidR="00B209A9" w:rsidRPr="00A137E6">
        <w:rPr>
          <w:noProof/>
          <w:lang w:val="en-IE"/>
        </w:rPr>
        <w:t xml:space="preserve"> has successfully mobilized EUR 280 billion in investments using a EUR 26,2 billion guarantee. It built on the success of EFSI, which mobilised over EUR 500 billion in investments over a few years, using a relatively modest EU guarantee. InvestEU streamlined the EU ’investment landscape by pooling EFSI and a number of other financial instruments, bringing them under a single, streamlines framework. According to the mid-term evaluation published in October 2024, InvestEU is on track to meet its objectives. It performed strongly in three critical areas by (a) generating private investment, providing additionality (supporting projects that wouldn’t otherwise have happened) and aligning with EU policy goals.  </w:t>
      </w:r>
      <w:r w:rsidR="00B209A9" w:rsidRPr="009119D7">
        <w:rPr>
          <w:rStyle w:val="FootnoteReference"/>
          <w:rFonts w:eastAsia="Times New Roman"/>
          <w:b/>
          <w:bCs/>
          <w:noProof/>
        </w:rPr>
        <w:footnoteReference w:id="184"/>
      </w:r>
      <w:r w:rsidR="0B2D5028" w:rsidRPr="2A1AD167">
        <w:rPr>
          <w:noProof/>
          <w:lang w:val="en-IE"/>
        </w:rPr>
        <w:t>However, t</w:t>
      </w:r>
      <w:r w:rsidR="770A4B85" w:rsidRPr="2A1AD167">
        <w:rPr>
          <w:noProof/>
          <w:lang w:val="en-IE"/>
        </w:rPr>
        <w:t xml:space="preserve">he success of the proposed option depends on careful implementation and a nuanced steering mechanism that considers economic and market-based criteria to avoid market imbalances and </w:t>
      </w:r>
      <w:r w:rsidR="1F8B7563" w:rsidRPr="2A1AD167">
        <w:rPr>
          <w:noProof/>
          <w:lang w:val="en-IE"/>
        </w:rPr>
        <w:t>maintain the</w:t>
      </w:r>
      <w:r w:rsidR="770A4B85" w:rsidRPr="2A1AD167">
        <w:rPr>
          <w:noProof/>
          <w:lang w:val="en-IE"/>
        </w:rPr>
        <w:t xml:space="preserve"> playing field. Overall, the proposed consolidation has the potential to substantially strengthen the competitiveness of the Single Market, fostering innovation, investment, and sustainable economic growth</w:t>
      </w:r>
      <w:r w:rsidR="6D9C3C31" w:rsidRPr="2A1AD167">
        <w:rPr>
          <w:noProof/>
          <w:lang w:val="en-IE"/>
        </w:rPr>
        <w:t xml:space="preserve">. </w:t>
      </w:r>
    </w:p>
    <w:p w14:paraId="0C1CAA2B" w14:textId="2D30B6C5" w:rsidR="00FC3D58" w:rsidRPr="0030098A" w:rsidRDefault="00FC3D58" w:rsidP="00603157">
      <w:pPr>
        <w:rPr>
          <w:noProof/>
          <w:lang w:val="en-IE"/>
        </w:rPr>
      </w:pPr>
      <w:r w:rsidRPr="0030098A">
        <w:rPr>
          <w:b/>
          <w:noProof/>
          <w:lang w:val="en-IE"/>
        </w:rPr>
        <w:t>Research and innovation</w:t>
      </w:r>
      <w:r w:rsidR="00701543">
        <w:rPr>
          <w:b/>
          <w:noProof/>
          <w:lang w:val="en-IE"/>
        </w:rPr>
        <w:t xml:space="preserve"> impacts</w:t>
      </w:r>
    </w:p>
    <w:p w14:paraId="6C09DCBB" w14:textId="034F3D02" w:rsidR="00FC3D58" w:rsidRDefault="591DE82C" w:rsidP="00603157">
      <w:pPr>
        <w:rPr>
          <w:noProof/>
          <w:color w:val="000000" w:themeColor="text1"/>
          <w:lang w:val="en-IE"/>
        </w:rPr>
      </w:pPr>
      <w:r w:rsidRPr="6CD386C1">
        <w:rPr>
          <w:noProof/>
          <w:lang w:val="en-IE"/>
        </w:rPr>
        <w:t>Option C introduces flexibility in funding allocations</w:t>
      </w:r>
      <w:r w:rsidR="17A35301" w:rsidRPr="6CD386C1">
        <w:rPr>
          <w:noProof/>
          <w:lang w:val="en-IE"/>
        </w:rPr>
        <w:t xml:space="preserve"> and a</w:t>
      </w:r>
      <w:r w:rsidR="3F1F6262" w:rsidRPr="6CD386C1">
        <w:rPr>
          <w:noProof/>
          <w:lang w:val="en-IE"/>
        </w:rPr>
        <w:t xml:space="preserve"> balance will have to be ensured between flexibility and predictability.</w:t>
      </w:r>
      <w:r w:rsidRPr="6CD386C1">
        <w:rPr>
          <w:noProof/>
          <w:lang w:val="en-IE"/>
        </w:rPr>
        <w:t xml:space="preserve"> </w:t>
      </w:r>
      <w:r w:rsidR="53C89A63" w:rsidRPr="6CD386C1">
        <w:rPr>
          <w:noProof/>
          <w:lang w:val="en-IE"/>
        </w:rPr>
        <w:t>Predictability would remain for R&amp;I funding, same as today, in line with Treaty obligations</w:t>
      </w:r>
      <w:r w:rsidR="0093416E">
        <w:rPr>
          <w:noProof/>
          <w:lang w:val="en-IE"/>
        </w:rPr>
        <w:t xml:space="preserve">. </w:t>
      </w:r>
      <w:r w:rsidR="4D0CF374" w:rsidRPr="6CD386C1">
        <w:rPr>
          <w:noProof/>
          <w:lang w:val="en-IE"/>
        </w:rPr>
        <w:t xml:space="preserve">At the same time, consolidation into </w:t>
      </w:r>
      <w:r w:rsidR="128FF436" w:rsidRPr="6CD386C1">
        <w:rPr>
          <w:noProof/>
          <w:lang w:val="en-IE"/>
        </w:rPr>
        <w:t>one Fund covering the whole investment journey can facilitate the market uptake of research results</w:t>
      </w:r>
      <w:r w:rsidR="69EEEC55" w:rsidRPr="6CD386C1">
        <w:rPr>
          <w:noProof/>
          <w:lang w:val="en-IE"/>
        </w:rPr>
        <w:t xml:space="preserve"> and better articulate applied research with industrial priorities</w:t>
      </w:r>
      <w:r w:rsidR="128FF436" w:rsidRPr="6CD386C1">
        <w:rPr>
          <w:noProof/>
          <w:lang w:val="en-IE"/>
        </w:rPr>
        <w:t>.</w:t>
      </w:r>
      <w:r w:rsidR="17A35301" w:rsidRPr="6CD386C1">
        <w:rPr>
          <w:b/>
          <w:bCs/>
          <w:noProof/>
          <w:color w:val="000000" w:themeColor="text1"/>
          <w:lang w:val="en-IE"/>
        </w:rPr>
        <w:t xml:space="preserve"> </w:t>
      </w:r>
      <w:r w:rsidR="656EE35B" w:rsidRPr="6CD386C1">
        <w:rPr>
          <w:noProof/>
          <w:color w:val="000000" w:themeColor="text1"/>
          <w:lang w:val="en-IE"/>
        </w:rPr>
        <w:t xml:space="preserve">Option C would entail </w:t>
      </w:r>
      <w:r w:rsidR="53C89A63" w:rsidRPr="6CD386C1">
        <w:rPr>
          <w:noProof/>
          <w:color w:val="000000" w:themeColor="text1"/>
          <w:lang w:val="en-IE"/>
        </w:rPr>
        <w:t>dedicated policy windows for strategic areas</w:t>
      </w:r>
      <w:r w:rsidR="656EE35B" w:rsidRPr="6CD386C1">
        <w:rPr>
          <w:noProof/>
          <w:color w:val="000000" w:themeColor="text1"/>
          <w:lang w:val="en-IE"/>
        </w:rPr>
        <w:t xml:space="preserve">, enhancing deployment of technologies from research to market and increasing policy and financing </w:t>
      </w:r>
      <w:r w:rsidR="6513C54A" w:rsidRPr="6CD386C1">
        <w:rPr>
          <w:noProof/>
          <w:color w:val="000000" w:themeColor="text1"/>
          <w:lang w:val="en-IE"/>
        </w:rPr>
        <w:t xml:space="preserve">coherence. </w:t>
      </w:r>
    </w:p>
    <w:p w14:paraId="5165F462" w14:textId="24EFCEF5" w:rsidR="00FC3D58" w:rsidRPr="00424E0D" w:rsidRDefault="00FC3D58" w:rsidP="00603157">
      <w:pPr>
        <w:rPr>
          <w:b/>
          <w:bCs/>
          <w:noProof/>
          <w:color w:val="000000" w:themeColor="text1"/>
          <w:lang w:val="en-IE"/>
        </w:rPr>
      </w:pPr>
      <w:r w:rsidRPr="1267DC0E">
        <w:rPr>
          <w:b/>
          <w:bCs/>
          <w:noProof/>
          <w:color w:val="000000" w:themeColor="text1"/>
          <w:lang w:val="en-IE"/>
        </w:rPr>
        <w:t xml:space="preserve"> 6.2.3.2 Social Impacts</w:t>
      </w:r>
    </w:p>
    <w:p w14:paraId="636544A5" w14:textId="09D198AE" w:rsidR="00FC3D58" w:rsidRPr="00B03DD3" w:rsidRDefault="770A4B85" w:rsidP="00603157">
      <w:pPr>
        <w:rPr>
          <w:noProof/>
          <w:color w:val="000000" w:themeColor="text1"/>
          <w:lang w:val="en-IE"/>
        </w:rPr>
      </w:pPr>
      <w:r w:rsidRPr="00B03DD3">
        <w:rPr>
          <w:noProof/>
          <w:color w:val="000000" w:themeColor="text1"/>
          <w:lang w:val="en-IE"/>
        </w:rPr>
        <w:t xml:space="preserve">Option C is expected to have several social impacts. </w:t>
      </w:r>
      <w:r w:rsidR="79FA1971" w:rsidRPr="01161804">
        <w:rPr>
          <w:noProof/>
          <w:lang w:val="en-IE"/>
        </w:rPr>
        <w:t xml:space="preserve">The </w:t>
      </w:r>
      <w:r w:rsidR="79FA1971" w:rsidRPr="00BB184A">
        <w:rPr>
          <w:b/>
          <w:bCs/>
          <w:noProof/>
          <w:lang w:val="en-IE"/>
        </w:rPr>
        <w:t>employment</w:t>
      </w:r>
      <w:r w:rsidR="79FA1971" w:rsidRPr="01161804">
        <w:rPr>
          <w:noProof/>
          <w:lang w:val="en-IE"/>
        </w:rPr>
        <w:t xml:space="preserve"> impact in Option C is 53.58% higher than in Option A, mainly due to the larger volume of investment.</w:t>
      </w:r>
      <w:r w:rsidR="00CD1CE2">
        <w:rPr>
          <w:rStyle w:val="FootnoteReference"/>
          <w:noProof/>
          <w:lang w:val="en-IE"/>
        </w:rPr>
        <w:footnoteReference w:id="185"/>
      </w:r>
      <w:r w:rsidR="79FA1971" w:rsidRPr="01161804">
        <w:rPr>
          <w:noProof/>
          <w:lang w:val="en-IE"/>
        </w:rPr>
        <w:t xml:space="preserve"> </w:t>
      </w:r>
      <w:r w:rsidRPr="00B03DD3">
        <w:rPr>
          <w:noProof/>
          <w:color w:val="000000" w:themeColor="text1"/>
          <w:lang w:val="en-IE"/>
        </w:rPr>
        <w:t xml:space="preserve">On </w:t>
      </w:r>
      <w:r w:rsidRPr="00BB184A">
        <w:rPr>
          <w:b/>
          <w:bCs/>
          <w:noProof/>
          <w:color w:val="000000" w:themeColor="text1"/>
          <w:lang w:val="en-IE"/>
        </w:rPr>
        <w:t>skills, education, and training</w:t>
      </w:r>
      <w:r w:rsidRPr="00B03DD3">
        <w:rPr>
          <w:noProof/>
          <w:color w:val="000000" w:themeColor="text1"/>
          <w:lang w:val="en-IE"/>
        </w:rPr>
        <w:t>, it would integrate initiatives into a unified framework, aligning with industry needs in strategic sectors like clean tech and AI. This alignment would promote targeted investments in reskilling and upskilling, improving synergies among education, research, and business</w:t>
      </w:r>
      <w:r w:rsidR="003A6FF6" w:rsidRPr="0030098A">
        <w:rPr>
          <w:rStyle w:val="FootnoteReference"/>
          <w:noProof/>
          <w:lang w:val="en-IE"/>
        </w:rPr>
        <w:footnoteReference w:id="186"/>
      </w:r>
      <w:r w:rsidRPr="00B03DD3">
        <w:rPr>
          <w:noProof/>
          <w:color w:val="000000" w:themeColor="text1"/>
          <w:lang w:val="en-IE"/>
        </w:rPr>
        <w:t xml:space="preserve">, and allowing for rapid adaptation to emerging trends. </w:t>
      </w:r>
    </w:p>
    <w:p w14:paraId="14C9CC8A" w14:textId="32B40426" w:rsidR="006B0729" w:rsidRDefault="770A4B85" w:rsidP="00603157">
      <w:pPr>
        <w:rPr>
          <w:noProof/>
          <w:lang w:val="en-IE"/>
        </w:rPr>
      </w:pPr>
      <w:r w:rsidRPr="00B03DD3">
        <w:rPr>
          <w:noProof/>
          <w:color w:val="000000" w:themeColor="text1"/>
          <w:lang w:val="en-IE"/>
        </w:rPr>
        <w:t xml:space="preserve">In terms of </w:t>
      </w:r>
      <w:r w:rsidRPr="00BB184A">
        <w:rPr>
          <w:b/>
          <w:bCs/>
          <w:noProof/>
          <w:color w:val="000000" w:themeColor="text1"/>
          <w:lang w:val="en-IE"/>
        </w:rPr>
        <w:t>territorial effects</w:t>
      </w:r>
      <w:r w:rsidRPr="00B03DD3">
        <w:rPr>
          <w:noProof/>
          <w:color w:val="000000" w:themeColor="text1"/>
          <w:lang w:val="en-IE"/>
        </w:rPr>
        <w:t>, Option C is anticipated to unlock significant economic growth in regions with strategic advantages, driving innovation, development, and overall productivity. These areas are expected to become magnets for investment, talent, and entrepreneurship, creating a self-reinforcing cycle of prosperity.</w:t>
      </w:r>
      <w:r w:rsidRPr="01161804">
        <w:rPr>
          <w:noProof/>
          <w:lang w:val="en-IE"/>
        </w:rPr>
        <w:t xml:space="preserve"> </w:t>
      </w:r>
      <w:r w:rsidR="00697763">
        <w:rPr>
          <w:rStyle w:val="FootnoteReference"/>
          <w:noProof/>
          <w:lang w:val="en-IE"/>
        </w:rPr>
        <w:footnoteReference w:id="187"/>
      </w:r>
      <w:r w:rsidRPr="00B03DD3">
        <w:rPr>
          <w:noProof/>
          <w:color w:val="000000" w:themeColor="text1"/>
          <w:lang w:val="en-IE"/>
        </w:rPr>
        <w:t xml:space="preserve"> </w:t>
      </w:r>
    </w:p>
    <w:p w14:paraId="72634FB8" w14:textId="019E1AED" w:rsidR="006B0729" w:rsidRDefault="17764662" w:rsidP="00603157">
      <w:pPr>
        <w:rPr>
          <w:noProof/>
          <w:color w:val="000000" w:themeColor="text1"/>
          <w:lang w:val="en-IE"/>
        </w:rPr>
      </w:pPr>
      <w:r w:rsidRPr="67FD4961">
        <w:rPr>
          <w:noProof/>
          <w:color w:val="000000" w:themeColor="text1"/>
          <w:lang w:val="en-IE"/>
        </w:rPr>
        <w:t>To ensure balanced progress, it will be important to complement this strategy with measures that promote inclusive development and cohesion across all regions</w:t>
      </w:r>
      <w:r w:rsidR="47FEDEAA" w:rsidRPr="67FD4961">
        <w:rPr>
          <w:noProof/>
          <w:color w:val="000000" w:themeColor="text1"/>
          <w:lang w:val="en-IE"/>
        </w:rPr>
        <w:t xml:space="preserve"> and synergies with other parts of the MFF focused on national and regional funding.</w:t>
      </w:r>
    </w:p>
    <w:p w14:paraId="538FD666" w14:textId="0E6ADB4D" w:rsidR="00F12CA8" w:rsidRDefault="00F12CA8" w:rsidP="00603157">
      <w:pPr>
        <w:rPr>
          <w:noProof/>
          <w:color w:val="000000" w:themeColor="text1"/>
          <w:lang w:val="en-IE"/>
        </w:rPr>
      </w:pPr>
      <w:r w:rsidRPr="67FD4961">
        <w:rPr>
          <w:noProof/>
          <w:color w:val="000000" w:themeColor="text1"/>
          <w:lang w:val="en-IE"/>
        </w:rPr>
        <w:t xml:space="preserve">In the </w:t>
      </w:r>
      <w:r w:rsidRPr="00BB184A">
        <w:rPr>
          <w:b/>
          <w:bCs/>
          <w:noProof/>
          <w:color w:val="000000" w:themeColor="text1"/>
          <w:lang w:val="en-IE"/>
        </w:rPr>
        <w:t>health</w:t>
      </w:r>
      <w:r w:rsidRPr="67FD4961">
        <w:rPr>
          <w:noProof/>
          <w:color w:val="000000" w:themeColor="text1"/>
          <w:lang w:val="en-IE"/>
        </w:rPr>
        <w:t xml:space="preserve"> sector, Option C provides a streamlined and flexible funding mechanism that would reduce administrative burdens, enhance efficiency, and enable faster responses to crises. </w:t>
      </w:r>
    </w:p>
    <w:p w14:paraId="5020E371" w14:textId="26E56592" w:rsidR="00F12CA8" w:rsidRPr="00B03DD3" w:rsidDel="006B0729" w:rsidRDefault="00F12CA8" w:rsidP="00603157">
      <w:pPr>
        <w:rPr>
          <w:noProof/>
        </w:rPr>
      </w:pPr>
      <w:r w:rsidRPr="67FD4961">
        <w:rPr>
          <w:noProof/>
          <w:color w:val="000000" w:themeColor="text1"/>
          <w:lang w:val="en-IE"/>
        </w:rPr>
        <w:t xml:space="preserve">Regarding </w:t>
      </w:r>
      <w:r w:rsidRPr="00BB184A">
        <w:rPr>
          <w:b/>
          <w:bCs/>
          <w:noProof/>
          <w:color w:val="000000" w:themeColor="text1"/>
          <w:lang w:val="en-IE"/>
        </w:rPr>
        <w:t>resilience, technological sovereignty, and economic security</w:t>
      </w:r>
      <w:r w:rsidRPr="67FD4961">
        <w:rPr>
          <w:noProof/>
          <w:color w:val="000000" w:themeColor="text1"/>
          <w:lang w:val="en-IE"/>
        </w:rPr>
        <w:t xml:space="preserve">, Option C supports more coordinated decision-making which would in turn increase its social impact but may limit international cooperation. </w:t>
      </w:r>
    </w:p>
    <w:p w14:paraId="0FF581F9" w14:textId="28A4F41D" w:rsidR="00FC3D58" w:rsidRPr="004C6498" w:rsidRDefault="00FC3D58" w:rsidP="00603157">
      <w:pPr>
        <w:rPr>
          <w:b/>
          <w:bCs/>
          <w:noProof/>
          <w:color w:val="000000" w:themeColor="text1"/>
          <w:lang w:val="en-IE"/>
        </w:rPr>
      </w:pPr>
      <w:r w:rsidRPr="004C6498">
        <w:rPr>
          <w:b/>
          <w:bCs/>
          <w:noProof/>
          <w:color w:val="000000" w:themeColor="text1"/>
          <w:lang w:val="en-IE"/>
        </w:rPr>
        <w:t xml:space="preserve">6.2.3.3 Environmental </w:t>
      </w:r>
      <w:r w:rsidR="006B388C" w:rsidRPr="00B03DD3">
        <w:rPr>
          <w:b/>
          <w:bCs/>
          <w:noProof/>
          <w:color w:val="000000" w:themeColor="text1"/>
          <w:lang w:val="en-IE"/>
        </w:rPr>
        <w:t>i</w:t>
      </w:r>
      <w:r w:rsidRPr="004C6498">
        <w:rPr>
          <w:b/>
          <w:bCs/>
          <w:noProof/>
          <w:color w:val="000000" w:themeColor="text1"/>
          <w:lang w:val="en-IE"/>
        </w:rPr>
        <w:t>mpacts</w:t>
      </w:r>
    </w:p>
    <w:p w14:paraId="447A0970" w14:textId="5FB066F2" w:rsidR="00FC3D58" w:rsidRPr="00B03DD3" w:rsidRDefault="2F3FEF6E" w:rsidP="00603157">
      <w:pPr>
        <w:rPr>
          <w:noProof/>
          <w:color w:val="000000" w:themeColor="text1"/>
        </w:rPr>
      </w:pPr>
      <w:r>
        <w:rPr>
          <w:noProof/>
        </w:rPr>
        <w:t xml:space="preserve">For the EU in particular, investing in research and technologies for decarbonisation and net zero is important given its </w:t>
      </w:r>
      <w:r w:rsidR="02ED7A7C">
        <w:rPr>
          <w:noProof/>
        </w:rPr>
        <w:t>climate neutrality</w:t>
      </w:r>
      <w:r>
        <w:rPr>
          <w:noProof/>
        </w:rPr>
        <w:t xml:space="preserve"> target for 2050 (net zero</w:t>
      </w:r>
      <w:r w:rsidR="18E97881">
        <w:rPr>
          <w:noProof/>
        </w:rPr>
        <w:t>)</w:t>
      </w:r>
      <w:r>
        <w:rPr>
          <w:noProof/>
        </w:rPr>
        <w:t xml:space="preserve">. </w:t>
      </w:r>
      <w:r w:rsidR="1DD337A9" w:rsidRPr="238D8D6C">
        <w:rPr>
          <w:noProof/>
          <w:color w:val="000000" w:themeColor="text1"/>
        </w:rPr>
        <w:t>The environmental impacts of Option</w:t>
      </w:r>
      <w:r w:rsidR="00603157">
        <w:rPr>
          <w:noProof/>
          <w:color w:val="000000" w:themeColor="text1"/>
        </w:rPr>
        <w:t> </w:t>
      </w:r>
      <w:r w:rsidR="1DD337A9" w:rsidRPr="238D8D6C">
        <w:rPr>
          <w:noProof/>
          <w:color w:val="000000" w:themeColor="text1"/>
        </w:rPr>
        <w:t>C</w:t>
      </w:r>
      <w:r w:rsidR="03274AE8" w:rsidRPr="238D8D6C">
        <w:rPr>
          <w:noProof/>
          <w:color w:val="000000" w:themeColor="text1"/>
        </w:rPr>
        <w:t xml:space="preserve"> </w:t>
      </w:r>
      <w:r w:rsidR="1DD337A9" w:rsidRPr="238D8D6C">
        <w:rPr>
          <w:noProof/>
          <w:color w:val="000000" w:themeColor="text1"/>
        </w:rPr>
        <w:t>are closely tied to its prioriti</w:t>
      </w:r>
      <w:r w:rsidR="5BB5E339" w:rsidRPr="238D8D6C">
        <w:rPr>
          <w:noProof/>
          <w:color w:val="000000" w:themeColor="text1"/>
        </w:rPr>
        <w:t>s</w:t>
      </w:r>
      <w:r w:rsidR="1DD337A9" w:rsidRPr="238D8D6C">
        <w:rPr>
          <w:noProof/>
          <w:color w:val="000000" w:themeColor="text1"/>
        </w:rPr>
        <w:t>ation of decarboni</w:t>
      </w:r>
      <w:r w:rsidR="5BB5E339" w:rsidRPr="238D8D6C">
        <w:rPr>
          <w:noProof/>
          <w:color w:val="000000" w:themeColor="text1"/>
        </w:rPr>
        <w:t>s</w:t>
      </w:r>
      <w:r w:rsidR="1DD337A9" w:rsidRPr="238D8D6C">
        <w:rPr>
          <w:noProof/>
          <w:color w:val="000000" w:themeColor="text1"/>
        </w:rPr>
        <w:t xml:space="preserve">ation and clean tech as key sectors and technologies. This focus </w:t>
      </w:r>
      <w:r w:rsidR="18E97881" w:rsidRPr="238D8D6C">
        <w:rPr>
          <w:noProof/>
          <w:color w:val="000000" w:themeColor="text1"/>
        </w:rPr>
        <w:t>could</w:t>
      </w:r>
      <w:r w:rsidR="1DD337A9" w:rsidRPr="238D8D6C">
        <w:rPr>
          <w:noProof/>
          <w:color w:val="000000" w:themeColor="text1"/>
        </w:rPr>
        <w:t xml:space="preserve"> lead to a positive impact on climate. </w:t>
      </w:r>
      <w:r w:rsidR="66130C44">
        <w:rPr>
          <w:noProof/>
        </w:rPr>
        <w:t xml:space="preserve">Under Option C, the impact on biodiversity, </w:t>
      </w:r>
      <w:r w:rsidR="7661BCFD">
        <w:rPr>
          <w:noProof/>
        </w:rPr>
        <w:t xml:space="preserve">water, </w:t>
      </w:r>
      <w:r w:rsidR="66130C44">
        <w:rPr>
          <w:noProof/>
        </w:rPr>
        <w:t xml:space="preserve">circularity, </w:t>
      </w:r>
      <w:r w:rsidR="071E2F61">
        <w:rPr>
          <w:noProof/>
        </w:rPr>
        <w:t xml:space="preserve">pollution </w:t>
      </w:r>
      <w:r w:rsidR="66130C44">
        <w:rPr>
          <w:noProof/>
        </w:rPr>
        <w:t xml:space="preserve">and energy </w:t>
      </w:r>
      <w:r w:rsidR="18E97881">
        <w:rPr>
          <w:noProof/>
        </w:rPr>
        <w:t>will depend on th</w:t>
      </w:r>
      <w:r w:rsidR="7493CD7E">
        <w:rPr>
          <w:noProof/>
        </w:rPr>
        <w:t xml:space="preserve">eir prioritisation as </w:t>
      </w:r>
      <w:r w:rsidR="66130C44">
        <w:rPr>
          <w:noProof/>
        </w:rPr>
        <w:t>key investment sectors</w:t>
      </w:r>
      <w:r w:rsidR="3082047E">
        <w:rPr>
          <w:noProof/>
        </w:rPr>
        <w:t>.</w:t>
      </w:r>
    </w:p>
    <w:p w14:paraId="35277732" w14:textId="15C20123" w:rsidR="008555E2" w:rsidRPr="006319B8" w:rsidRDefault="00231A07" w:rsidP="00603157">
      <w:pPr>
        <w:rPr>
          <w:noProof/>
          <w:lang w:val="en-IE"/>
        </w:rPr>
      </w:pPr>
      <w:r>
        <w:rPr>
          <w:noProof/>
        </w:rPr>
        <w:t>F</w:t>
      </w:r>
      <w:r w:rsidR="43434B4B">
        <w:rPr>
          <w:noProof/>
        </w:rPr>
        <w:t xml:space="preserve">urthermore, investments in </w:t>
      </w:r>
      <w:r>
        <w:rPr>
          <w:noProof/>
        </w:rPr>
        <w:t>clean technologies</w:t>
      </w:r>
      <w:r w:rsidR="43434B4B">
        <w:rPr>
          <w:noProof/>
        </w:rPr>
        <w:t xml:space="preserve"> are particularly exposed to high levels of uncertainty, including in regulatory and policy frameworks – especially because these reflect negatively on private funders, which may complement public finance.</w:t>
      </w:r>
      <w:r w:rsidR="008555E2">
        <w:rPr>
          <w:rStyle w:val="FootnoteReference"/>
          <w:noProof/>
        </w:rPr>
        <w:footnoteReference w:id="188"/>
      </w:r>
      <w:r w:rsidR="43434B4B">
        <w:rPr>
          <w:noProof/>
        </w:rPr>
        <w:t xml:space="preserve"> Therefore, </w:t>
      </w:r>
      <w:r w:rsidR="1E6D1BE3">
        <w:rPr>
          <w:noProof/>
        </w:rPr>
        <w:t xml:space="preserve">the appropriate balance between predictability and flexibility will have to be </w:t>
      </w:r>
      <w:r w:rsidR="796A6792">
        <w:rPr>
          <w:noProof/>
        </w:rPr>
        <w:t xml:space="preserve">struck </w:t>
      </w:r>
      <w:r w:rsidR="1E6D1BE3">
        <w:rPr>
          <w:noProof/>
        </w:rPr>
        <w:t xml:space="preserve">to ensure the model’s </w:t>
      </w:r>
      <w:r w:rsidR="41E7373A">
        <w:rPr>
          <w:noProof/>
        </w:rPr>
        <w:t xml:space="preserve">success and the impact </w:t>
      </w:r>
      <w:r w:rsidR="186D7FBA">
        <w:rPr>
          <w:noProof/>
        </w:rPr>
        <w:t xml:space="preserve">on </w:t>
      </w:r>
      <w:r w:rsidR="41E7373A">
        <w:rPr>
          <w:noProof/>
        </w:rPr>
        <w:t xml:space="preserve">climate </w:t>
      </w:r>
      <w:r w:rsidR="5EF1175A">
        <w:rPr>
          <w:noProof/>
        </w:rPr>
        <w:t xml:space="preserve">and environment </w:t>
      </w:r>
      <w:r w:rsidR="41E7373A">
        <w:rPr>
          <w:noProof/>
        </w:rPr>
        <w:t>is positive</w:t>
      </w:r>
      <w:r w:rsidR="43434B4B">
        <w:rPr>
          <w:noProof/>
        </w:rPr>
        <w:t>.</w:t>
      </w:r>
    </w:p>
    <w:p w14:paraId="59C15815" w14:textId="1D0958CD" w:rsidR="00FC3D58" w:rsidRPr="0030098A" w:rsidRDefault="00FC3D58" w:rsidP="00630814">
      <w:pPr>
        <w:pStyle w:val="Heading1"/>
        <w:spacing w:before="120"/>
        <w:rPr>
          <w:noProof/>
          <w:lang w:val="en-IE"/>
        </w:rPr>
      </w:pPr>
      <w:r w:rsidRPr="00EF49D9">
        <w:rPr>
          <w:noProof/>
          <w:color w:val="000000" w:themeColor="text1"/>
          <w:lang w:val="en-IE"/>
        </w:rPr>
        <w:t xml:space="preserve"> </w:t>
      </w:r>
      <w:bookmarkStart w:id="243" w:name="_Toc195700220"/>
      <w:bookmarkStart w:id="244" w:name="_Toc195700221"/>
      <w:bookmarkStart w:id="245" w:name="_Toc195700222"/>
      <w:bookmarkStart w:id="246" w:name="_Toc195700223"/>
      <w:bookmarkStart w:id="247" w:name="_Toc195700224"/>
      <w:bookmarkStart w:id="248" w:name="_Toc195700225"/>
      <w:bookmarkStart w:id="249" w:name="_Toc195700226"/>
      <w:bookmarkStart w:id="250" w:name="_Toc195700227"/>
      <w:bookmarkStart w:id="251" w:name="_Toc195700228"/>
      <w:bookmarkStart w:id="252" w:name="_Toc195700229"/>
      <w:bookmarkStart w:id="253" w:name="_Toc195700230"/>
      <w:bookmarkStart w:id="254" w:name="_Toc195700231"/>
      <w:bookmarkStart w:id="255" w:name="_Toc195700232"/>
      <w:bookmarkStart w:id="256" w:name="_Toc195700233"/>
      <w:bookmarkStart w:id="257" w:name="_Toc139373866"/>
      <w:bookmarkStart w:id="258" w:name="_Toc195700234"/>
      <w:bookmarkStart w:id="259" w:name="_Toc203043651"/>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30098A">
        <w:rPr>
          <w:noProof/>
          <w:lang w:val="en-IE"/>
        </w:rPr>
        <w:t>How do the options compare?</w:t>
      </w:r>
      <w:bookmarkEnd w:id="257"/>
      <w:bookmarkEnd w:id="258"/>
      <w:bookmarkEnd w:id="259"/>
    </w:p>
    <w:p w14:paraId="695CFB83" w14:textId="0BAA521B" w:rsidR="00FC3D58" w:rsidRPr="00A4230F" w:rsidRDefault="00FC3D58" w:rsidP="32B832EE">
      <w:pPr>
        <w:pStyle w:val="Heading2"/>
        <w:tabs>
          <w:tab w:val="clear" w:pos="1200"/>
          <w:tab w:val="num" w:pos="10217"/>
        </w:tabs>
        <w:ind w:left="833"/>
        <w:rPr>
          <w:noProof/>
          <w:lang w:val="en-IE"/>
        </w:rPr>
      </w:pPr>
      <w:bookmarkStart w:id="260" w:name="_Toc195700235"/>
      <w:bookmarkStart w:id="261" w:name="_Toc203043652"/>
      <w:r w:rsidRPr="00BD44A6">
        <w:rPr>
          <w:rFonts w:eastAsia="Aptos"/>
          <w:noProof/>
          <w:szCs w:val="24"/>
          <w:lang w:val="en-IE"/>
        </w:rPr>
        <w:t>Effectiveness</w:t>
      </w:r>
      <w:bookmarkEnd w:id="260"/>
      <w:r w:rsidRPr="00700450">
        <w:rPr>
          <w:noProof/>
          <w:vertAlign w:val="superscript"/>
          <w:lang w:val="en-IE"/>
        </w:rPr>
        <w:footnoteReference w:id="189"/>
      </w:r>
      <w:bookmarkEnd w:id="261"/>
    </w:p>
    <w:p w14:paraId="5210C708" w14:textId="229C64F3" w:rsidR="006E0093" w:rsidRPr="00BD0BAE" w:rsidRDefault="00FC3D58" w:rsidP="00603157">
      <w:pPr>
        <w:spacing w:before="240" w:after="0"/>
        <w:rPr>
          <w:noProof/>
          <w:lang w:val="en-IE"/>
        </w:rPr>
      </w:pPr>
      <w:r w:rsidRPr="00BD0BAE">
        <w:rPr>
          <w:noProof/>
          <w:lang w:val="en-IE"/>
        </w:rPr>
        <w:t xml:space="preserve">Three options are considered for improving investment </w:t>
      </w:r>
      <w:r w:rsidR="006F2D2C" w:rsidRPr="00BD0BAE">
        <w:rPr>
          <w:noProof/>
          <w:lang w:val="en-IE"/>
        </w:rPr>
        <w:t>support</w:t>
      </w:r>
      <w:r w:rsidR="006F2D2C">
        <w:rPr>
          <w:noProof/>
          <w:lang w:val="en-IE"/>
        </w:rPr>
        <w:t>:</w:t>
      </w:r>
      <w:r w:rsidR="00365753">
        <w:rPr>
          <w:noProof/>
          <w:lang w:val="en-IE"/>
        </w:rPr>
        <w:t xml:space="preserve"> </w:t>
      </w:r>
      <w:r w:rsidR="002429C0">
        <w:rPr>
          <w:noProof/>
          <w:lang w:val="en-IE"/>
        </w:rPr>
        <w:t xml:space="preserve">(1) </w:t>
      </w:r>
      <w:r w:rsidRPr="00BD0BAE">
        <w:rPr>
          <w:noProof/>
          <w:lang w:val="en-IE"/>
        </w:rPr>
        <w:t>Option A would bring limited improvements due to fragmented financial instruments and lack of integrated tools</w:t>
      </w:r>
      <w:r w:rsidR="002429C0">
        <w:rPr>
          <w:noProof/>
          <w:lang w:val="en-IE"/>
        </w:rPr>
        <w:t xml:space="preserve">; (2) </w:t>
      </w:r>
      <w:r w:rsidR="770A4B85" w:rsidRPr="2A1AD167">
        <w:rPr>
          <w:noProof/>
          <w:lang w:val="en-IE"/>
        </w:rPr>
        <w:t>Option B would offer moderate improvements by aligning objectives and governance</w:t>
      </w:r>
      <w:r w:rsidR="618A247B" w:rsidRPr="2A1AD167">
        <w:rPr>
          <w:noProof/>
          <w:lang w:val="en-IE"/>
        </w:rPr>
        <w:t xml:space="preserve"> under a common </w:t>
      </w:r>
      <w:r w:rsidR="004B6BA1" w:rsidRPr="2A1AD167">
        <w:rPr>
          <w:noProof/>
          <w:lang w:val="en-IE"/>
        </w:rPr>
        <w:t>rulebook but</w:t>
      </w:r>
      <w:r w:rsidR="770A4B85" w:rsidRPr="2A1AD167">
        <w:rPr>
          <w:noProof/>
          <w:lang w:val="en-IE"/>
        </w:rPr>
        <w:t xml:space="preserve"> would still lack continuous funding and flexibility</w:t>
      </w:r>
      <w:r w:rsidR="00751D78">
        <w:rPr>
          <w:noProof/>
          <w:lang w:val="en-IE"/>
        </w:rPr>
        <w:t>, as described in Section 6.2.2</w:t>
      </w:r>
      <w:r w:rsidR="002429C0">
        <w:rPr>
          <w:noProof/>
          <w:lang w:val="en-IE"/>
        </w:rPr>
        <w:t xml:space="preserve">; (3) </w:t>
      </w:r>
      <w:r w:rsidR="770A4B85" w:rsidRPr="2A1AD167">
        <w:rPr>
          <w:noProof/>
          <w:lang w:val="en-IE"/>
        </w:rPr>
        <w:t>Option C would significantly enhance investment support with a fully integrated framework, unified governance, and simplified funding, allowing for seamless support from research to market deployment</w:t>
      </w:r>
      <w:r w:rsidR="21320627" w:rsidRPr="60BCE54F">
        <w:rPr>
          <w:noProof/>
          <w:lang w:val="en-IE"/>
        </w:rPr>
        <w:t xml:space="preserve">, </w:t>
      </w:r>
      <w:r w:rsidR="00F15C24">
        <w:rPr>
          <w:noProof/>
          <w:lang w:val="en-IE"/>
        </w:rPr>
        <w:t xml:space="preserve">as well as </w:t>
      </w:r>
      <w:r w:rsidR="21320627" w:rsidRPr="008335B7">
        <w:rPr>
          <w:noProof/>
          <w:lang w:val="en-IE"/>
        </w:rPr>
        <w:t>procurement, manufacturing and maintenance</w:t>
      </w:r>
      <w:r w:rsidR="770A4B85" w:rsidRPr="2A1AD167">
        <w:rPr>
          <w:noProof/>
          <w:lang w:val="en-IE"/>
        </w:rPr>
        <w:t>.</w:t>
      </w:r>
    </w:p>
    <w:p w14:paraId="033E0F17" w14:textId="23321F81" w:rsidR="00FC3D58" w:rsidRPr="006E0093" w:rsidRDefault="00FC3D58" w:rsidP="00603157">
      <w:pPr>
        <w:pStyle w:val="ListParagraph"/>
        <w:spacing w:before="0" w:after="0"/>
        <w:rPr>
          <w:noProof/>
          <w:lang w:val="en-IE"/>
        </w:rPr>
      </w:pPr>
    </w:p>
    <w:tbl>
      <w:tblPr>
        <w:tblStyle w:val="TableGrid"/>
        <w:tblW w:w="10338" w:type="dxa"/>
        <w:jc w:val="center"/>
        <w:tblLook w:val="04A0" w:firstRow="1" w:lastRow="0" w:firstColumn="1" w:lastColumn="0" w:noHBand="0" w:noVBand="1"/>
      </w:tblPr>
      <w:tblGrid>
        <w:gridCol w:w="2117"/>
        <w:gridCol w:w="2835"/>
        <w:gridCol w:w="2835"/>
        <w:gridCol w:w="2551"/>
      </w:tblGrid>
      <w:tr w:rsidR="00FC3D58" w14:paraId="1D8DFD1C" w14:textId="77777777" w:rsidTr="05C4514A">
        <w:trPr>
          <w:trHeight w:val="300"/>
          <w:tblHeader/>
          <w:jc w:val="center"/>
        </w:trPr>
        <w:tc>
          <w:tcPr>
            <w:tcW w:w="2117"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7ED59C80" w14:textId="77777777" w:rsidR="00FC3D58" w:rsidRPr="0030098A" w:rsidRDefault="00FC3D58" w:rsidP="00603157">
            <w:pPr>
              <w:spacing w:after="0"/>
              <w:rPr>
                <w:noProof/>
                <w:lang w:val="en-IE"/>
              </w:rPr>
            </w:pPr>
            <w:r w:rsidRPr="0030098A">
              <w:rPr>
                <w:rFonts w:ascii="Aptos" w:eastAsia="Aptos" w:hAnsi="Aptos" w:cs="Aptos"/>
                <w:b/>
                <w:noProof/>
                <w:color w:val="000000" w:themeColor="text1"/>
                <w:sz w:val="20"/>
                <w:szCs w:val="20"/>
                <w:lang w:val="en-IE"/>
              </w:rPr>
              <w:t xml:space="preserve">Effectiveness </w:t>
            </w:r>
            <w:r w:rsidRPr="0030098A">
              <w:rPr>
                <w:rFonts w:ascii="Aptos" w:eastAsia="Aptos" w:hAnsi="Aptos" w:cs="Aptos"/>
                <w:noProof/>
                <w:color w:val="000000" w:themeColor="text1"/>
                <w:sz w:val="20"/>
                <w:szCs w:val="20"/>
                <w:lang w:val="en-IE"/>
              </w:rPr>
              <w:t>(towards its likelihood of achieving the objectives – outcomes and impacts)</w:t>
            </w:r>
          </w:p>
        </w:tc>
        <w:tc>
          <w:tcPr>
            <w:tcW w:w="2835"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63E1CEB7" w14:textId="77777777" w:rsidR="00FC3D58" w:rsidRPr="0030098A" w:rsidRDefault="00FC3D58" w:rsidP="00603157">
            <w:pPr>
              <w:spacing w:after="0"/>
              <w:jc w:val="center"/>
              <w:rPr>
                <w:noProof/>
                <w:lang w:val="en-IE"/>
              </w:rPr>
            </w:pPr>
            <w:r w:rsidRPr="0030098A">
              <w:rPr>
                <w:rFonts w:ascii="Aptos" w:eastAsia="Aptos" w:hAnsi="Aptos" w:cs="Aptos"/>
                <w:b/>
                <w:noProof/>
                <w:color w:val="000000" w:themeColor="text1"/>
                <w:sz w:val="20"/>
                <w:szCs w:val="20"/>
                <w:lang w:val="en-IE"/>
              </w:rPr>
              <w:t>Option A – Business-as-usual-plus</w:t>
            </w:r>
          </w:p>
        </w:tc>
        <w:tc>
          <w:tcPr>
            <w:tcW w:w="2835"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68C428C1" w14:textId="77777777" w:rsidR="00FC3D58" w:rsidRPr="0030098A" w:rsidRDefault="00FC3D58" w:rsidP="00603157">
            <w:pPr>
              <w:spacing w:after="0"/>
              <w:jc w:val="center"/>
              <w:rPr>
                <w:noProof/>
                <w:lang w:val="en-IE"/>
              </w:rPr>
            </w:pPr>
            <w:r w:rsidRPr="0030098A">
              <w:rPr>
                <w:rFonts w:ascii="Aptos" w:eastAsia="Aptos" w:hAnsi="Aptos" w:cs="Aptos"/>
                <w:b/>
                <w:noProof/>
                <w:color w:val="000000" w:themeColor="text1"/>
                <w:sz w:val="20"/>
                <w:szCs w:val="20"/>
                <w:lang w:val="en-IE"/>
              </w:rPr>
              <w:t>Option B – Enhanced coordination</w:t>
            </w:r>
          </w:p>
        </w:tc>
        <w:tc>
          <w:tcPr>
            <w:tcW w:w="2551"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485C71FE" w14:textId="77777777" w:rsidR="00FC3D58" w:rsidRPr="0030098A" w:rsidRDefault="00FC3D58" w:rsidP="00603157">
            <w:pPr>
              <w:spacing w:after="0"/>
              <w:jc w:val="center"/>
              <w:rPr>
                <w:noProof/>
                <w:lang w:val="en-IE"/>
              </w:rPr>
            </w:pPr>
            <w:r w:rsidRPr="0030098A">
              <w:rPr>
                <w:rFonts w:ascii="Aptos" w:eastAsia="Aptos" w:hAnsi="Aptos" w:cs="Aptos"/>
                <w:b/>
                <w:noProof/>
                <w:color w:val="000000" w:themeColor="text1"/>
                <w:sz w:val="20"/>
                <w:szCs w:val="20"/>
                <w:lang w:val="en-IE"/>
              </w:rPr>
              <w:t>Option C – Full consolidation</w:t>
            </w:r>
          </w:p>
        </w:tc>
      </w:tr>
      <w:tr w:rsidR="00FC3D58" w:rsidRPr="00516C66" w14:paraId="5C345942" w14:textId="77777777" w:rsidTr="05C4514A">
        <w:trPr>
          <w:trHeight w:val="300"/>
          <w:jc w:val="center"/>
        </w:trPr>
        <w:tc>
          <w:tcPr>
            <w:tcW w:w="2117"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33DADC" w14:textId="77777777" w:rsidR="00FC3D58" w:rsidRPr="0030098A" w:rsidRDefault="00FC3D58" w:rsidP="00603157">
            <w:pPr>
              <w:spacing w:after="0"/>
              <w:rPr>
                <w:noProof/>
                <w:lang w:val="en-IE"/>
              </w:rPr>
            </w:pPr>
            <w:r w:rsidRPr="0030098A">
              <w:rPr>
                <w:rFonts w:ascii="Aptos" w:eastAsia="Aptos" w:hAnsi="Aptos" w:cs="Aptos"/>
                <w:b/>
                <w:bCs/>
                <w:noProof/>
                <w:sz w:val="20"/>
                <w:szCs w:val="20"/>
                <w:lang w:val="en-IE"/>
              </w:rPr>
              <w:t>S01 - Promote public and private investments throughout the whole investment journey, notably R&amp;I, and better leverage the de-risking potential of the EU budget to maximise its EU added value.</w:t>
            </w:r>
          </w:p>
        </w:tc>
        <w:tc>
          <w:tcPr>
            <w:tcW w:w="2835"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3F6012E6" w14:textId="77777777" w:rsidR="00FC3D58" w:rsidRPr="0030098A" w:rsidRDefault="00FC3D58" w:rsidP="00603157">
            <w:pPr>
              <w:spacing w:after="0"/>
              <w:jc w:val="center"/>
              <w:rPr>
                <w:rFonts w:ascii="Aptos" w:eastAsia="Aptos" w:hAnsi="Aptos" w:cs="Aptos"/>
                <w:noProof/>
                <w:sz w:val="20"/>
                <w:szCs w:val="20"/>
                <w:lang w:val="en-IE"/>
              </w:rPr>
            </w:pPr>
            <w:r w:rsidRPr="0030098A">
              <w:rPr>
                <w:rFonts w:ascii="Aptos" w:eastAsia="Aptos" w:hAnsi="Aptos" w:cs="Aptos"/>
                <w:noProof/>
                <w:sz w:val="20"/>
                <w:szCs w:val="20"/>
                <w:lang w:val="en-IE"/>
              </w:rPr>
              <w:t>0</w:t>
            </w:r>
          </w:p>
        </w:tc>
        <w:tc>
          <w:tcPr>
            <w:tcW w:w="2835"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63C1C776"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w:t>
            </w:r>
          </w:p>
        </w:tc>
        <w:tc>
          <w:tcPr>
            <w:tcW w:w="2551"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1C0DE5C4"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 xml:space="preserve"> +++</w:t>
            </w:r>
          </w:p>
        </w:tc>
      </w:tr>
      <w:tr w:rsidR="00FC3D58" w14:paraId="3895D699" w14:textId="77777777" w:rsidTr="05C4514A">
        <w:trPr>
          <w:trHeight w:val="300"/>
          <w:jc w:val="center"/>
        </w:trPr>
        <w:tc>
          <w:tcPr>
            <w:tcW w:w="2117" w:type="dxa"/>
            <w:vMerge/>
            <w:tcMar>
              <w:left w:w="108" w:type="dxa"/>
              <w:right w:w="108" w:type="dxa"/>
            </w:tcMar>
            <w:vAlign w:val="center"/>
          </w:tcPr>
          <w:p w14:paraId="5F5116A3" w14:textId="77777777" w:rsidR="00FC3D58" w:rsidRPr="0030098A" w:rsidRDefault="00FC3D58" w:rsidP="00603157">
            <w:pPr>
              <w:rPr>
                <w:noProof/>
                <w:lang w:val="en-IE"/>
              </w:rPr>
            </w:pP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E4701"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Lack of continuous funding across the investment journey.</w:t>
            </w:r>
          </w:p>
          <w:p w14:paraId="1E56B866"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Suboptimal use of financial instruments.</w:t>
            </w:r>
          </w:p>
          <w:p w14:paraId="7FECDC05"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Limited integration of financial tools, limiting blending opportunities.</w:t>
            </w:r>
          </w:p>
          <w:p w14:paraId="6CA930DE" w14:textId="13F9A101"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The investment journey would be fragmented between 1</w:t>
            </w:r>
            <w:r w:rsidR="00ED5A8E">
              <w:rPr>
                <w:rFonts w:ascii="Aptos" w:eastAsia="Aptos" w:hAnsi="Aptos" w:cs="Aptos"/>
                <w:noProof/>
                <w:sz w:val="16"/>
                <w:szCs w:val="16"/>
                <w:lang w:val="en-IE"/>
              </w:rPr>
              <w:t>4</w:t>
            </w:r>
            <w:r w:rsidRPr="0030098A">
              <w:rPr>
                <w:rFonts w:ascii="Aptos" w:eastAsia="Aptos" w:hAnsi="Aptos" w:cs="Aptos"/>
                <w:noProof/>
                <w:sz w:val="16"/>
                <w:szCs w:val="16"/>
                <w:lang w:val="en-IE"/>
              </w:rPr>
              <w:t xml:space="preserve"> programmes</w:t>
            </w:r>
            <w:r w:rsidR="00A546EE">
              <w:rPr>
                <w:rFonts w:ascii="Aptos" w:eastAsia="Aptos" w:hAnsi="Aptos" w:cs="Aptos"/>
                <w:noProof/>
                <w:sz w:val="16"/>
                <w:szCs w:val="16"/>
                <w:lang w:val="en-IE"/>
              </w:rPr>
              <w:t>. Programmes, including R&amp;I programmes, are structured as they are today</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C4B647" w14:textId="77777777" w:rsidR="00FC3D58" w:rsidRPr="0030098A" w:rsidRDefault="00FC3D58" w:rsidP="00603157">
            <w:pPr>
              <w:jc w:val="center"/>
              <w:rPr>
                <w:rFonts w:ascii="Aptos" w:eastAsia="Aptos" w:hAnsi="Aptos" w:cs="Aptos"/>
                <w:noProof/>
                <w:sz w:val="16"/>
                <w:szCs w:val="16"/>
                <w:lang w:val="en-IE"/>
              </w:rPr>
            </w:pPr>
          </w:p>
          <w:p w14:paraId="62917E8F"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Lack of continuous funding across the investment journey.</w:t>
            </w:r>
          </w:p>
          <w:p w14:paraId="02B119B5"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Suboptimal use of financial instruments.</w:t>
            </w:r>
          </w:p>
          <w:p w14:paraId="5F33DB7E"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Easier combination of different funds.</w:t>
            </w:r>
          </w:p>
          <w:p w14:paraId="184C37CB" w14:textId="64D978B8" w:rsidR="00FC3D58" w:rsidRPr="0030098A" w:rsidRDefault="00FC3D58" w:rsidP="00603157">
            <w:pPr>
              <w:jc w:val="center"/>
              <w:rPr>
                <w:rFonts w:ascii="Aptos" w:eastAsia="Aptos" w:hAnsi="Aptos" w:cs="Aptos"/>
                <w:noProof/>
                <w:sz w:val="16"/>
                <w:szCs w:val="16"/>
                <w:lang w:val="en-IE"/>
              </w:rPr>
            </w:pPr>
            <w:r w:rsidRPr="49EC672F">
              <w:rPr>
                <w:rFonts w:ascii="Aptos" w:eastAsia="Aptos" w:hAnsi="Aptos" w:cs="Aptos"/>
                <w:noProof/>
                <w:sz w:val="16"/>
                <w:szCs w:val="16"/>
                <w:lang w:val="en-IE"/>
              </w:rPr>
              <w:t xml:space="preserve">As </w:t>
            </w:r>
            <w:r w:rsidR="5CFC7CA3" w:rsidRPr="49EC672F">
              <w:rPr>
                <w:rFonts w:ascii="Aptos" w:eastAsia="Aptos" w:hAnsi="Aptos" w:cs="Aptos"/>
                <w:noProof/>
                <w:sz w:val="16"/>
                <w:szCs w:val="16"/>
                <w:lang w:val="en-IE"/>
              </w:rPr>
              <w:t xml:space="preserve">Option A </w:t>
            </w:r>
            <w:r w:rsidRPr="49EC672F">
              <w:rPr>
                <w:rFonts w:ascii="Aptos" w:eastAsia="Aptos" w:hAnsi="Aptos" w:cs="Aptos"/>
                <w:noProof/>
                <w:sz w:val="16"/>
                <w:szCs w:val="16"/>
                <w:lang w:val="en-IE"/>
              </w:rPr>
              <w:t>but an easier investment journey between R&amp;I and deployment is expected given the single rulebook and enhanced coordination</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051294" w14:textId="05F91EC3"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Expected higher mobili</w:t>
            </w:r>
            <w:r w:rsidR="0048303D">
              <w:rPr>
                <w:rFonts w:ascii="Aptos" w:eastAsia="Aptos" w:hAnsi="Aptos" w:cs="Aptos"/>
                <w:noProof/>
                <w:sz w:val="16"/>
                <w:szCs w:val="16"/>
                <w:lang w:val="en-IE"/>
              </w:rPr>
              <w:t>s</w:t>
            </w:r>
            <w:r w:rsidRPr="0030098A">
              <w:rPr>
                <w:rFonts w:ascii="Aptos" w:eastAsia="Aptos" w:hAnsi="Aptos" w:cs="Aptos"/>
                <w:noProof/>
                <w:sz w:val="16"/>
                <w:szCs w:val="16"/>
                <w:lang w:val="en-IE"/>
              </w:rPr>
              <w:t>ation of private investments.</w:t>
            </w:r>
          </w:p>
          <w:p w14:paraId="40A69B92"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Continuous support alongside the entire investment journey, from research to deployment and manufacturing.</w:t>
            </w:r>
          </w:p>
          <w:p w14:paraId="52AB07C7" w14:textId="2BED8C73"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Considering the availability of a broader portfolio of financial tools, based on market demand, potential higher private leverage</w:t>
            </w:r>
            <w:r w:rsidR="00E451C6">
              <w:rPr>
                <w:rFonts w:ascii="Aptos" w:eastAsia="Aptos" w:hAnsi="Aptos" w:cs="Aptos"/>
                <w:noProof/>
                <w:sz w:val="16"/>
                <w:szCs w:val="16"/>
                <w:lang w:val="en-IE"/>
              </w:rPr>
              <w:t xml:space="preserve"> and tailoring of </w:t>
            </w:r>
            <w:r w:rsidR="009E5510">
              <w:rPr>
                <w:rFonts w:ascii="Aptos" w:eastAsia="Aptos" w:hAnsi="Aptos" w:cs="Aptos"/>
                <w:noProof/>
                <w:sz w:val="16"/>
                <w:szCs w:val="16"/>
                <w:lang w:val="en-IE"/>
              </w:rPr>
              <w:t>funding instruments used to needs of projects</w:t>
            </w:r>
            <w:r w:rsidRPr="0030098A">
              <w:rPr>
                <w:rFonts w:ascii="Aptos" w:eastAsia="Aptos" w:hAnsi="Aptos" w:cs="Aptos"/>
                <w:noProof/>
                <w:sz w:val="16"/>
                <w:szCs w:val="16"/>
                <w:lang w:val="en-IE"/>
              </w:rPr>
              <w:t>.</w:t>
            </w:r>
          </w:p>
          <w:p w14:paraId="06565209" w14:textId="7BD9920A" w:rsidR="00FC3D58" w:rsidRPr="0030098A" w:rsidRDefault="00A546EE" w:rsidP="00603157">
            <w:pPr>
              <w:jc w:val="center"/>
              <w:rPr>
                <w:rFonts w:ascii="Aptos" w:eastAsia="Aptos" w:hAnsi="Aptos" w:cs="Aptos"/>
                <w:noProof/>
                <w:sz w:val="16"/>
                <w:szCs w:val="16"/>
                <w:lang w:val="en-IE"/>
              </w:rPr>
            </w:pPr>
            <w:r>
              <w:rPr>
                <w:rFonts w:ascii="Aptos" w:eastAsia="Aptos" w:hAnsi="Aptos" w:cs="Aptos"/>
                <w:noProof/>
                <w:sz w:val="16"/>
                <w:szCs w:val="16"/>
                <w:lang w:val="en-IE"/>
              </w:rPr>
              <w:t xml:space="preserve">Balance between flexibility and predictability to be ensured to </w:t>
            </w:r>
            <w:r w:rsidR="00E451C6">
              <w:rPr>
                <w:rFonts w:ascii="Aptos" w:eastAsia="Aptos" w:hAnsi="Aptos" w:cs="Aptos"/>
                <w:noProof/>
                <w:sz w:val="16"/>
                <w:szCs w:val="16"/>
                <w:lang w:val="en-IE"/>
              </w:rPr>
              <w:t>avoid</w:t>
            </w:r>
            <w:r w:rsidR="00FC3D58" w:rsidRPr="49EC672F">
              <w:rPr>
                <w:rFonts w:ascii="Aptos" w:eastAsia="Aptos" w:hAnsi="Aptos" w:cs="Aptos"/>
                <w:noProof/>
                <w:sz w:val="16"/>
                <w:szCs w:val="16"/>
                <w:lang w:val="en-IE"/>
              </w:rPr>
              <w:t xml:space="preserve"> </w:t>
            </w:r>
            <w:r w:rsidR="00E451C6">
              <w:rPr>
                <w:rFonts w:ascii="Aptos" w:eastAsia="Aptos" w:hAnsi="Aptos" w:cs="Aptos"/>
                <w:noProof/>
                <w:sz w:val="16"/>
                <w:szCs w:val="16"/>
                <w:lang w:val="en-IE"/>
              </w:rPr>
              <w:t>potential</w:t>
            </w:r>
            <w:r w:rsidR="00E451C6" w:rsidRPr="49EC672F">
              <w:rPr>
                <w:rFonts w:ascii="Aptos" w:eastAsia="Aptos" w:hAnsi="Aptos" w:cs="Aptos"/>
                <w:noProof/>
                <w:sz w:val="16"/>
                <w:szCs w:val="16"/>
                <w:lang w:val="en-IE"/>
              </w:rPr>
              <w:t xml:space="preserve"> </w:t>
            </w:r>
            <w:r w:rsidR="00FC3D58" w:rsidRPr="49EC672F">
              <w:rPr>
                <w:rFonts w:ascii="Aptos" w:eastAsia="Aptos" w:hAnsi="Aptos" w:cs="Aptos"/>
                <w:noProof/>
                <w:sz w:val="16"/>
                <w:szCs w:val="16"/>
                <w:lang w:val="en-IE"/>
              </w:rPr>
              <w:t>increase uncertainty, and investment risk</w:t>
            </w:r>
          </w:p>
        </w:tc>
      </w:tr>
      <w:tr w:rsidR="00FC3D58" w:rsidRPr="00516C66" w14:paraId="2DD341D5" w14:textId="77777777" w:rsidTr="05C4514A">
        <w:trPr>
          <w:trHeight w:val="300"/>
          <w:jc w:val="center"/>
        </w:trPr>
        <w:tc>
          <w:tcPr>
            <w:tcW w:w="2117"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566F51" w14:textId="297B986B" w:rsidR="00FC3D58" w:rsidRPr="0030098A" w:rsidRDefault="00FC3D58" w:rsidP="00603157">
            <w:pPr>
              <w:spacing w:after="0"/>
              <w:rPr>
                <w:noProof/>
                <w:lang w:val="en-IE"/>
              </w:rPr>
            </w:pPr>
            <w:r w:rsidRPr="0030098A">
              <w:rPr>
                <w:rFonts w:ascii="Aptos" w:eastAsia="Aptos" w:hAnsi="Aptos" w:cs="Aptos"/>
                <w:b/>
                <w:bCs/>
                <w:noProof/>
                <w:sz w:val="20"/>
                <w:szCs w:val="20"/>
                <w:lang w:val="en-IE"/>
              </w:rPr>
              <w:t>S02 - Steer and focus investments towards EU strategic sectors and technologies, including underlying value chains, critical infrastructures, capabilities and skills, and in support of decarbonisation, security and resilience</w:t>
            </w:r>
          </w:p>
        </w:tc>
        <w:tc>
          <w:tcPr>
            <w:tcW w:w="2835"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79F9580E" w14:textId="77777777" w:rsidR="00FC3D58" w:rsidRPr="0030098A" w:rsidRDefault="00FC3D58" w:rsidP="00603157">
            <w:pPr>
              <w:spacing w:after="0"/>
              <w:jc w:val="center"/>
              <w:rPr>
                <w:rFonts w:ascii="Aptos" w:eastAsia="Aptos" w:hAnsi="Aptos" w:cs="Aptos"/>
                <w:noProof/>
                <w:sz w:val="20"/>
                <w:szCs w:val="20"/>
                <w:lang w:val="en-IE"/>
              </w:rPr>
            </w:pPr>
            <w:r w:rsidRPr="0030098A">
              <w:rPr>
                <w:rFonts w:ascii="Aptos" w:eastAsia="Aptos" w:hAnsi="Aptos" w:cs="Aptos"/>
                <w:noProof/>
                <w:sz w:val="20"/>
                <w:szCs w:val="20"/>
                <w:lang w:val="en-IE"/>
              </w:rPr>
              <w:t>0</w:t>
            </w:r>
          </w:p>
        </w:tc>
        <w:tc>
          <w:tcPr>
            <w:tcW w:w="2835"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6DB404EC" w14:textId="77777777" w:rsidR="00FC3D58" w:rsidRPr="0030098A" w:rsidRDefault="00FC3D58" w:rsidP="00603157">
            <w:pPr>
              <w:spacing w:after="0"/>
              <w:jc w:val="center"/>
              <w:rPr>
                <w:rFonts w:ascii="Aptos" w:eastAsia="Aptos" w:hAnsi="Aptos" w:cs="Aptos"/>
                <w:noProof/>
                <w:sz w:val="20"/>
                <w:szCs w:val="20"/>
                <w:lang w:val="en-IE"/>
              </w:rPr>
            </w:pPr>
            <w:r w:rsidRPr="0030098A">
              <w:rPr>
                <w:rFonts w:ascii="Aptos" w:eastAsia="Aptos" w:hAnsi="Aptos" w:cs="Aptos"/>
                <w:noProof/>
                <w:sz w:val="20"/>
                <w:szCs w:val="20"/>
                <w:lang w:val="en-IE"/>
              </w:rPr>
              <w:t>++</w:t>
            </w:r>
          </w:p>
        </w:tc>
        <w:tc>
          <w:tcPr>
            <w:tcW w:w="2551"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2E2DCB0B" w14:textId="77777777" w:rsidR="00FC3D58" w:rsidRPr="0030098A" w:rsidRDefault="00FC3D58" w:rsidP="00603157">
            <w:pPr>
              <w:spacing w:after="0"/>
              <w:jc w:val="center"/>
              <w:rPr>
                <w:rFonts w:ascii="Aptos" w:eastAsia="Aptos" w:hAnsi="Aptos" w:cs="Aptos"/>
                <w:noProof/>
                <w:sz w:val="20"/>
                <w:szCs w:val="20"/>
                <w:lang w:val="en-IE"/>
              </w:rPr>
            </w:pPr>
            <w:r w:rsidRPr="0030098A">
              <w:rPr>
                <w:rFonts w:ascii="Aptos" w:eastAsia="Aptos" w:hAnsi="Aptos" w:cs="Aptos"/>
                <w:noProof/>
                <w:sz w:val="20"/>
                <w:szCs w:val="20"/>
                <w:lang w:val="en-IE"/>
              </w:rPr>
              <w:t>+++</w:t>
            </w:r>
          </w:p>
        </w:tc>
      </w:tr>
      <w:tr w:rsidR="00FC3D58" w14:paraId="0D9778CE" w14:textId="77777777" w:rsidTr="05C4514A">
        <w:trPr>
          <w:trHeight w:val="300"/>
          <w:jc w:val="center"/>
        </w:trPr>
        <w:tc>
          <w:tcPr>
            <w:tcW w:w="2117" w:type="dxa"/>
            <w:vMerge/>
            <w:tcMar>
              <w:left w:w="108" w:type="dxa"/>
              <w:right w:w="108" w:type="dxa"/>
            </w:tcMar>
            <w:vAlign w:val="center"/>
          </w:tcPr>
          <w:p w14:paraId="1C91643E" w14:textId="77777777" w:rsidR="00FC3D58" w:rsidRPr="0030098A" w:rsidRDefault="00FC3D58" w:rsidP="00603157">
            <w:pPr>
              <w:rPr>
                <w:noProof/>
                <w:lang w:val="en-IE"/>
              </w:rPr>
            </w:pP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F6C87"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Lack of strategic steering across programmes.</w:t>
            </w:r>
          </w:p>
          <w:p w14:paraId="1AB32DE5"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Lack of flexibility to respond to emerging needs.</w:t>
            </w:r>
          </w:p>
          <w:p w14:paraId="66F45C2B" w14:textId="64C483D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Each programme has a defined (established) purpose and objective, targeting specific sectors and type of funding.</w:t>
            </w:r>
          </w:p>
          <w:p w14:paraId="4780BD61" w14:textId="6202B2D5" w:rsidR="00FC3D58" w:rsidRPr="0030098A" w:rsidRDefault="00B55544" w:rsidP="00603157">
            <w:pPr>
              <w:jc w:val="center"/>
              <w:rPr>
                <w:rFonts w:ascii="Aptos" w:eastAsia="Aptos" w:hAnsi="Aptos" w:cs="Aptos"/>
                <w:noProof/>
                <w:sz w:val="16"/>
                <w:szCs w:val="16"/>
                <w:lang w:val="en-IE"/>
              </w:rPr>
            </w:pPr>
            <w:r>
              <w:rPr>
                <w:rFonts w:ascii="Aptos" w:eastAsia="Aptos" w:hAnsi="Aptos" w:cs="Aptos"/>
                <w:noProof/>
                <w:sz w:val="16"/>
                <w:szCs w:val="16"/>
                <w:lang w:val="en-IE"/>
              </w:rPr>
              <w:t xml:space="preserve">Complex funding landscape with programmes structured in different ways, funding gaps and overlaps </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EE1153"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Enhanced strategic steer across the different programmes.</w:t>
            </w:r>
          </w:p>
          <w:p w14:paraId="381B63E3"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Lack of flexibility to respond to emerging needs.</w:t>
            </w:r>
          </w:p>
          <w:p w14:paraId="0DD3C0ED" w14:textId="1F06F318" w:rsidR="00FC3D58" w:rsidRPr="0030098A" w:rsidRDefault="00FC3D58" w:rsidP="00603157">
            <w:pPr>
              <w:jc w:val="center"/>
              <w:rPr>
                <w:rFonts w:ascii="Aptos" w:eastAsia="Aptos" w:hAnsi="Aptos" w:cs="Aptos"/>
                <w:noProof/>
                <w:sz w:val="16"/>
                <w:szCs w:val="16"/>
                <w:lang w:val="en-IE"/>
              </w:rPr>
            </w:pPr>
            <w:r w:rsidRPr="49EC672F">
              <w:rPr>
                <w:rFonts w:ascii="Aptos" w:eastAsia="Aptos" w:hAnsi="Aptos" w:cs="Aptos"/>
                <w:noProof/>
                <w:sz w:val="16"/>
                <w:szCs w:val="16"/>
                <w:lang w:val="en-IE"/>
              </w:rPr>
              <w:t xml:space="preserve">Same as </w:t>
            </w:r>
            <w:r w:rsidR="509C5306" w:rsidRPr="49EC672F">
              <w:rPr>
                <w:rFonts w:ascii="Aptos" w:eastAsia="Aptos" w:hAnsi="Aptos" w:cs="Aptos"/>
                <w:noProof/>
                <w:sz w:val="16"/>
                <w:szCs w:val="16"/>
                <w:lang w:val="en-IE"/>
              </w:rPr>
              <w:t>Option A</w:t>
            </w:r>
            <w:r w:rsidRPr="49EC672F">
              <w:rPr>
                <w:rFonts w:ascii="Aptos" w:eastAsia="Aptos" w:hAnsi="Aptos" w:cs="Aptos"/>
                <w:noProof/>
                <w:sz w:val="16"/>
                <w:szCs w:val="16"/>
                <w:lang w:val="en-IE"/>
              </w:rPr>
              <w:t xml:space="preserve">, but through </w:t>
            </w:r>
            <w:r w:rsidR="00B55544">
              <w:rPr>
                <w:rFonts w:ascii="Aptos" w:eastAsia="Aptos" w:hAnsi="Aptos" w:cs="Aptos"/>
                <w:noProof/>
                <w:sz w:val="16"/>
                <w:szCs w:val="16"/>
                <w:lang w:val="en-IE"/>
              </w:rPr>
              <w:t>enhanced coordination across programmes</w:t>
            </w:r>
            <w:r w:rsidRPr="49EC672F">
              <w:rPr>
                <w:rFonts w:ascii="Aptos" w:eastAsia="Aptos" w:hAnsi="Aptos" w:cs="Aptos"/>
                <w:noProof/>
                <w:sz w:val="16"/>
                <w:szCs w:val="16"/>
                <w:lang w:val="en-IE"/>
              </w:rPr>
              <w:t xml:space="preserve">, </w:t>
            </w:r>
            <w:r w:rsidR="00B55544">
              <w:rPr>
                <w:rFonts w:ascii="Aptos" w:eastAsia="Aptos" w:hAnsi="Aptos" w:cs="Aptos"/>
                <w:noProof/>
                <w:sz w:val="16"/>
                <w:szCs w:val="16"/>
                <w:lang w:val="en-IE"/>
              </w:rPr>
              <w:t>slightly enhanced</w:t>
            </w:r>
            <w:r w:rsidR="00B55544" w:rsidRPr="49EC672F">
              <w:rPr>
                <w:rFonts w:ascii="Aptos" w:eastAsia="Aptos" w:hAnsi="Aptos" w:cs="Aptos"/>
                <w:noProof/>
                <w:sz w:val="16"/>
                <w:szCs w:val="16"/>
                <w:lang w:val="en-IE"/>
              </w:rPr>
              <w:t xml:space="preserve"> </w:t>
            </w:r>
            <w:r w:rsidRPr="49EC672F">
              <w:rPr>
                <w:rFonts w:ascii="Aptos" w:eastAsia="Aptos" w:hAnsi="Aptos" w:cs="Aptos"/>
                <w:noProof/>
                <w:sz w:val="16"/>
                <w:szCs w:val="16"/>
                <w:lang w:val="en-IE"/>
              </w:rPr>
              <w:t xml:space="preserve">strategic steer </w:t>
            </w:r>
            <w:r w:rsidR="00B55544">
              <w:rPr>
                <w:rFonts w:ascii="Aptos" w:eastAsia="Aptos" w:hAnsi="Aptos" w:cs="Aptos"/>
                <w:noProof/>
                <w:sz w:val="16"/>
                <w:szCs w:val="16"/>
                <w:lang w:val="en-IE"/>
              </w:rPr>
              <w:t>and avoidance of overlaps</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9D0630" w14:textId="0F7C905C" w:rsidR="00FC3D58" w:rsidRPr="004165C2" w:rsidRDefault="00FC3D58" w:rsidP="00603157">
            <w:pPr>
              <w:jc w:val="center"/>
              <w:rPr>
                <w:rFonts w:ascii="Aptos" w:eastAsia="Aptos" w:hAnsi="Aptos" w:cs="Aptos"/>
                <w:noProof/>
                <w:sz w:val="16"/>
                <w:szCs w:val="16"/>
                <w:lang w:val="en-IE"/>
              </w:rPr>
            </w:pPr>
            <w:r w:rsidRPr="004165C2">
              <w:rPr>
                <w:rFonts w:ascii="Aptos" w:eastAsia="Aptos" w:hAnsi="Aptos" w:cs="Aptos"/>
                <w:noProof/>
                <w:sz w:val="16"/>
                <w:szCs w:val="16"/>
                <w:lang w:val="en-IE"/>
              </w:rPr>
              <w:t xml:space="preserve">Clear strategic direction: A reinforced policy steering mechanism can help identify key priorities and enable flexible </w:t>
            </w:r>
            <w:r w:rsidR="1F01B436" w:rsidRPr="207894A7">
              <w:rPr>
                <w:rFonts w:ascii="Aptos" w:eastAsia="Aptos" w:hAnsi="Aptos" w:cs="Aptos"/>
                <w:noProof/>
                <w:sz w:val="16"/>
                <w:szCs w:val="16"/>
                <w:lang w:val="en-IE"/>
              </w:rPr>
              <w:t xml:space="preserve">and agile </w:t>
            </w:r>
            <w:r w:rsidRPr="004165C2">
              <w:rPr>
                <w:rFonts w:ascii="Aptos" w:eastAsia="Aptos" w:hAnsi="Aptos" w:cs="Aptos"/>
                <w:noProof/>
                <w:sz w:val="16"/>
                <w:szCs w:val="16"/>
                <w:lang w:val="en-IE"/>
              </w:rPr>
              <w:t>responses to emerging needs.</w:t>
            </w:r>
          </w:p>
          <w:p w14:paraId="16031ADC" w14:textId="77777777" w:rsidR="00FC3D58" w:rsidRPr="004165C2" w:rsidRDefault="00FC3D58" w:rsidP="00603157">
            <w:pPr>
              <w:jc w:val="center"/>
              <w:rPr>
                <w:rFonts w:ascii="Aptos" w:eastAsia="Aptos" w:hAnsi="Aptos" w:cs="Aptos"/>
                <w:noProof/>
                <w:sz w:val="16"/>
                <w:szCs w:val="16"/>
                <w:lang w:val="en-IE"/>
              </w:rPr>
            </w:pPr>
            <w:r w:rsidRPr="004165C2">
              <w:rPr>
                <w:rFonts w:ascii="Aptos" w:eastAsia="Aptos" w:hAnsi="Aptos" w:cs="Aptos"/>
                <w:noProof/>
                <w:sz w:val="16"/>
                <w:szCs w:val="16"/>
                <w:lang w:val="en-IE"/>
              </w:rPr>
              <w:t>Interdisciplinary approaches: Coordinated policy windows can facilitate collaboration and innovation to address complex challenges like decarbonisation, security, and resilience.</w:t>
            </w:r>
          </w:p>
          <w:p w14:paraId="0B0D0578" w14:textId="742E7375" w:rsidR="00FC3D58" w:rsidRPr="00B03DD3" w:rsidRDefault="00FC3D58" w:rsidP="00D50E32">
            <w:pPr>
              <w:jc w:val="center"/>
              <w:rPr>
                <w:rFonts w:ascii="Aptos" w:eastAsia="Aptos" w:hAnsi="Aptos" w:cs="Aptos"/>
                <w:noProof/>
                <w:sz w:val="16"/>
                <w:szCs w:val="16"/>
              </w:rPr>
            </w:pPr>
            <w:r w:rsidRPr="004165C2">
              <w:rPr>
                <w:rFonts w:ascii="Aptos" w:eastAsia="Aptos" w:hAnsi="Aptos" w:cs="Aptos"/>
                <w:noProof/>
                <w:sz w:val="16"/>
                <w:szCs w:val="16"/>
                <w:lang w:val="en-IE"/>
              </w:rPr>
              <w:t>Innovation and growth: Strategic investments can support market-creating disruptive innovations, driving long-term growth and competitiveness.</w:t>
            </w:r>
          </w:p>
        </w:tc>
      </w:tr>
      <w:tr w:rsidR="00FC3D58" w:rsidRPr="00516C66" w14:paraId="642A439D" w14:textId="77777777" w:rsidTr="05C4514A">
        <w:trPr>
          <w:trHeight w:val="300"/>
          <w:jc w:val="center"/>
        </w:trPr>
        <w:tc>
          <w:tcPr>
            <w:tcW w:w="2117"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0230C2" w14:textId="77777777" w:rsidR="00FC3D58" w:rsidRPr="0030098A" w:rsidRDefault="00FC3D58" w:rsidP="00603157">
            <w:pPr>
              <w:spacing w:after="0"/>
              <w:rPr>
                <w:noProof/>
                <w:lang w:val="en-IE"/>
              </w:rPr>
            </w:pPr>
            <w:r w:rsidRPr="0030098A">
              <w:rPr>
                <w:rFonts w:ascii="Aptos" w:eastAsia="Aptos" w:hAnsi="Aptos" w:cs="Aptos"/>
                <w:b/>
                <w:bCs/>
                <w:noProof/>
                <w:sz w:val="20"/>
                <w:szCs w:val="20"/>
                <w:lang w:val="en-IE"/>
              </w:rPr>
              <w:t>S03 - Facilitate access to funding to EU programmes through user-centric, faster, simplified and harmonised procedures and improve coherence among EU instruments and with Member States investments</w:t>
            </w:r>
          </w:p>
        </w:tc>
        <w:tc>
          <w:tcPr>
            <w:tcW w:w="2835"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7A15459C"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w:t>
            </w:r>
          </w:p>
        </w:tc>
        <w:tc>
          <w:tcPr>
            <w:tcW w:w="2835"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1D1C6849"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w:t>
            </w:r>
          </w:p>
        </w:tc>
        <w:tc>
          <w:tcPr>
            <w:tcW w:w="2551"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65D980AC"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w:t>
            </w:r>
          </w:p>
        </w:tc>
      </w:tr>
      <w:tr w:rsidR="00FC3D58" w14:paraId="5666CC22" w14:textId="77777777" w:rsidTr="05C4514A">
        <w:trPr>
          <w:trHeight w:val="300"/>
          <w:jc w:val="center"/>
        </w:trPr>
        <w:tc>
          <w:tcPr>
            <w:tcW w:w="2117" w:type="dxa"/>
            <w:vMerge/>
            <w:tcMar>
              <w:left w:w="108" w:type="dxa"/>
              <w:right w:w="108" w:type="dxa"/>
            </w:tcMar>
            <w:vAlign w:val="center"/>
          </w:tcPr>
          <w:p w14:paraId="4470C4E9" w14:textId="77777777" w:rsidR="00FC3D58" w:rsidRPr="0030098A" w:rsidRDefault="00FC3D58" w:rsidP="00603157">
            <w:pPr>
              <w:rPr>
                <w:noProof/>
                <w:lang w:val="en-IE"/>
              </w:rPr>
            </w:pP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353F078C"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Highly fragmented funding landscape.</w:t>
            </w:r>
          </w:p>
          <w:p w14:paraId="4E1144B9"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Each programme keeps its own individual rulebook.</w:t>
            </w:r>
          </w:p>
          <w:p w14:paraId="07865643" w14:textId="236B2B7E"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efforts to foster coordination across programmes.</w:t>
            </w:r>
          </w:p>
          <w:p w14:paraId="341985C5" w14:textId="39226CBA" w:rsidR="00C03609"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Existence of a</w:t>
            </w:r>
            <w:r w:rsidR="00F02D18">
              <w:rPr>
                <w:rFonts w:ascii="Aptos" w:eastAsia="Aptos" w:hAnsi="Aptos" w:cs="Aptos"/>
                <w:noProof/>
                <w:sz w:val="16"/>
                <w:szCs w:val="16"/>
                <w:lang w:val="en-IE"/>
              </w:rPr>
              <w:t>n incomplete</w:t>
            </w:r>
            <w:r w:rsidRPr="0030098A">
              <w:rPr>
                <w:rFonts w:ascii="Aptos" w:eastAsia="Aptos" w:hAnsi="Aptos" w:cs="Aptos"/>
                <w:noProof/>
                <w:sz w:val="16"/>
                <w:szCs w:val="16"/>
                <w:lang w:val="en-IE"/>
              </w:rPr>
              <w:t xml:space="preserve"> </w:t>
            </w:r>
            <w:r w:rsidR="00C03609" w:rsidRPr="0030098A">
              <w:rPr>
                <w:rFonts w:ascii="Aptos" w:eastAsia="Aptos" w:hAnsi="Aptos" w:cs="Aptos"/>
                <w:noProof/>
                <w:sz w:val="16"/>
                <w:szCs w:val="16"/>
                <w:lang w:val="en-IE"/>
              </w:rPr>
              <w:t>single-entry</w:t>
            </w:r>
            <w:r w:rsidRPr="0030098A">
              <w:rPr>
                <w:rFonts w:ascii="Aptos" w:eastAsia="Aptos" w:hAnsi="Aptos" w:cs="Aptos"/>
                <w:noProof/>
                <w:sz w:val="16"/>
                <w:szCs w:val="16"/>
                <w:lang w:val="en-IE"/>
              </w:rPr>
              <w:t xml:space="preserve"> point for EU funds (Funding &amp; Tenders Portal)</w:t>
            </w:r>
            <w:r w:rsidR="00F02D18">
              <w:rPr>
                <w:rFonts w:ascii="Aptos" w:eastAsia="Aptos" w:hAnsi="Aptos" w:cs="Aptos"/>
                <w:noProof/>
                <w:sz w:val="16"/>
                <w:szCs w:val="16"/>
                <w:lang w:val="en-IE"/>
              </w:rPr>
              <w:t xml:space="preserve"> which does not include shared management funds</w:t>
            </w:r>
          </w:p>
          <w:p w14:paraId="1080291B" w14:textId="0457B724"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Duplication between efforts from several programmes</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B59800"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Highly fragmented funding landscape.</w:t>
            </w:r>
          </w:p>
          <w:p w14:paraId="1494EB67"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Some degree of simplification for users due to alignment in the basic provisions of the individual programmes.</w:t>
            </w:r>
          </w:p>
          <w:p w14:paraId="145A17C6" w14:textId="65865B19"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Harmonisation of rules across the programmes (including a common rulebook).</w:t>
            </w:r>
          </w:p>
          <w:p w14:paraId="6E45CBEE"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Adjustment costs will affect applicants with previous experience of the Funds (e.g. over 150 000 FP applicants).</w:t>
            </w:r>
          </w:p>
          <w:p w14:paraId="06AD4A0C" w14:textId="285365E5" w:rsidR="00FC3D58" w:rsidRPr="0030098A" w:rsidRDefault="00FC3D58" w:rsidP="00603157">
            <w:pPr>
              <w:jc w:val="center"/>
              <w:rPr>
                <w:rFonts w:ascii="Aptos" w:eastAsia="Aptos" w:hAnsi="Aptos" w:cs="Aptos"/>
                <w:noProof/>
                <w:sz w:val="16"/>
                <w:szCs w:val="16"/>
                <w:lang w:val="en-IE"/>
              </w:rPr>
            </w:pP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FE6715"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Leaner and more streamlined rulebook for a use-centric approach, resulting in simpler application and reporting.</w:t>
            </w:r>
          </w:p>
          <w:p w14:paraId="7AC5575C"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Easier access to information and to EU funding and advisory support (single entry point).</w:t>
            </w:r>
          </w:p>
          <w:p w14:paraId="7FB5503D" w14:textId="77777777" w:rsidR="00FC3D58" w:rsidRPr="0030098A" w:rsidRDefault="00FC3D58" w:rsidP="00603157">
            <w:pPr>
              <w:jc w:val="center"/>
              <w:rPr>
                <w:rFonts w:ascii="Aptos" w:eastAsia="Aptos" w:hAnsi="Aptos" w:cs="Aptos"/>
                <w:noProof/>
                <w:sz w:val="16"/>
                <w:szCs w:val="16"/>
                <w:lang w:val="en-IE"/>
              </w:rPr>
            </w:pPr>
            <w:r w:rsidRPr="0030098A">
              <w:rPr>
                <w:rFonts w:ascii="Aptos" w:eastAsia="Aptos" w:hAnsi="Aptos" w:cs="Aptos"/>
                <w:noProof/>
                <w:sz w:val="16"/>
                <w:szCs w:val="16"/>
                <w:lang w:val="en-IE"/>
              </w:rPr>
              <w:t>Enhanced visibility and recognition of EU funding.</w:t>
            </w:r>
          </w:p>
          <w:p w14:paraId="69D4430C" w14:textId="2278C627" w:rsidR="00FC3D58" w:rsidRPr="0030098A" w:rsidRDefault="770A4B85" w:rsidP="00603157">
            <w:pPr>
              <w:jc w:val="center"/>
              <w:rPr>
                <w:rFonts w:ascii="Aptos" w:eastAsia="Aptos" w:hAnsi="Aptos" w:cs="Aptos"/>
                <w:noProof/>
                <w:sz w:val="16"/>
                <w:szCs w:val="16"/>
                <w:lang w:val="en-IE"/>
              </w:rPr>
            </w:pPr>
            <w:r w:rsidRPr="2A1AD167">
              <w:rPr>
                <w:rFonts w:ascii="Aptos" w:eastAsia="Aptos" w:hAnsi="Aptos" w:cs="Aptos"/>
                <w:noProof/>
                <w:sz w:val="16"/>
                <w:szCs w:val="16"/>
                <w:lang w:val="en-IE"/>
              </w:rPr>
              <w:t xml:space="preserve">Harmonisation of 14 programmes into one single fund </w:t>
            </w:r>
            <w:r w:rsidR="13645C6C" w:rsidRPr="2A1AD167">
              <w:rPr>
                <w:rFonts w:ascii="Aptos" w:eastAsia="Aptos" w:hAnsi="Aptos" w:cs="Aptos"/>
                <w:noProof/>
                <w:sz w:val="16"/>
                <w:szCs w:val="16"/>
                <w:lang w:val="en-IE"/>
              </w:rPr>
              <w:t>could</w:t>
            </w:r>
            <w:r w:rsidRPr="2A1AD167">
              <w:rPr>
                <w:rFonts w:ascii="Aptos" w:eastAsia="Aptos" w:hAnsi="Aptos" w:cs="Aptos"/>
                <w:noProof/>
                <w:sz w:val="16"/>
                <w:szCs w:val="16"/>
                <w:lang w:val="en-IE"/>
              </w:rPr>
              <w:t xml:space="preserve"> take time and for stakeholders and implementing bodies</w:t>
            </w:r>
            <w:r w:rsidR="2A2F93AA" w:rsidRPr="2A1AD167">
              <w:rPr>
                <w:rFonts w:ascii="Aptos" w:eastAsia="Aptos" w:hAnsi="Aptos" w:cs="Aptos"/>
                <w:noProof/>
                <w:sz w:val="16"/>
                <w:szCs w:val="16"/>
                <w:lang w:val="en-IE"/>
              </w:rPr>
              <w:t>, communication and support will be key in the transition phase</w:t>
            </w:r>
          </w:p>
          <w:p w14:paraId="7035AE26" w14:textId="0E569658" w:rsidR="00FC3D58" w:rsidRPr="0030098A" w:rsidRDefault="00FD36F2" w:rsidP="00603157">
            <w:pPr>
              <w:jc w:val="center"/>
              <w:rPr>
                <w:rFonts w:ascii="Aptos" w:eastAsia="Aptos" w:hAnsi="Aptos" w:cs="Aptos"/>
                <w:noProof/>
                <w:sz w:val="16"/>
                <w:szCs w:val="16"/>
                <w:lang w:val="en-IE"/>
              </w:rPr>
            </w:pPr>
            <w:r>
              <w:rPr>
                <w:rFonts w:ascii="Aptos" w:eastAsia="Aptos" w:hAnsi="Aptos" w:cs="Aptos"/>
                <w:noProof/>
                <w:sz w:val="16"/>
                <w:szCs w:val="16"/>
                <w:lang w:val="en-IE"/>
              </w:rPr>
              <w:t>Some o</w:t>
            </w:r>
            <w:r w:rsidR="00FC3D58" w:rsidRPr="0030098A">
              <w:rPr>
                <w:rFonts w:ascii="Aptos" w:eastAsia="Aptos" w:hAnsi="Aptos" w:cs="Aptos"/>
                <w:noProof/>
                <w:sz w:val="16"/>
                <w:szCs w:val="16"/>
                <w:lang w:val="en-IE"/>
              </w:rPr>
              <w:t xml:space="preserve">perational differentiation will </w:t>
            </w:r>
            <w:r w:rsidR="00FC3D58">
              <w:rPr>
                <w:rFonts w:ascii="Aptos" w:eastAsia="Aptos" w:hAnsi="Aptos" w:cs="Aptos"/>
                <w:noProof/>
                <w:sz w:val="16"/>
                <w:szCs w:val="16"/>
                <w:lang w:val="en-IE"/>
              </w:rPr>
              <w:t xml:space="preserve">presumably continue </w:t>
            </w:r>
            <w:r w:rsidR="00BD4BBF">
              <w:rPr>
                <w:rFonts w:ascii="Aptos" w:eastAsia="Aptos" w:hAnsi="Aptos" w:cs="Aptos"/>
                <w:noProof/>
                <w:sz w:val="16"/>
                <w:szCs w:val="16"/>
                <w:lang w:val="en-IE"/>
              </w:rPr>
              <w:t>to</w:t>
            </w:r>
            <w:r w:rsidR="00FC3D58">
              <w:rPr>
                <w:rFonts w:ascii="Aptos" w:eastAsia="Aptos" w:hAnsi="Aptos" w:cs="Aptos"/>
                <w:noProof/>
                <w:sz w:val="16"/>
                <w:szCs w:val="16"/>
                <w:lang w:val="en-IE"/>
              </w:rPr>
              <w:t xml:space="preserve"> exist to</w:t>
            </w:r>
            <w:r w:rsidR="00FC3D58" w:rsidRPr="0030098A">
              <w:rPr>
                <w:rFonts w:ascii="Aptos" w:eastAsia="Aptos" w:hAnsi="Aptos" w:cs="Aptos"/>
                <w:noProof/>
                <w:sz w:val="16"/>
                <w:szCs w:val="16"/>
                <w:lang w:val="en-IE"/>
              </w:rPr>
              <w:t xml:space="preserve"> avoid disproportionate access </w:t>
            </w:r>
            <w:r w:rsidR="00FC3D58">
              <w:rPr>
                <w:rFonts w:ascii="Aptos" w:eastAsia="Aptos" w:hAnsi="Aptos" w:cs="Aptos"/>
                <w:noProof/>
                <w:sz w:val="16"/>
                <w:szCs w:val="16"/>
                <w:lang w:val="en-IE"/>
              </w:rPr>
              <w:t>barriers</w:t>
            </w:r>
            <w:r w:rsidR="00FC3D58" w:rsidRPr="0030098A">
              <w:rPr>
                <w:rFonts w:ascii="Aptos" w:eastAsia="Aptos" w:hAnsi="Aptos" w:cs="Aptos"/>
                <w:noProof/>
                <w:sz w:val="16"/>
                <w:szCs w:val="16"/>
                <w:lang w:val="en-IE"/>
              </w:rPr>
              <w:t xml:space="preserve"> for some stakeholder groups </w:t>
            </w:r>
            <w:r w:rsidR="00FC3D58">
              <w:rPr>
                <w:rFonts w:ascii="Aptos" w:eastAsia="Aptos" w:hAnsi="Aptos" w:cs="Aptos"/>
                <w:noProof/>
                <w:sz w:val="16"/>
                <w:szCs w:val="16"/>
                <w:lang w:val="en-IE"/>
              </w:rPr>
              <w:t>(e.g. SMEs, academia)</w:t>
            </w:r>
            <w:r w:rsidR="00FC3D58" w:rsidRPr="0030098A">
              <w:rPr>
                <w:rFonts w:ascii="Aptos" w:eastAsia="Aptos" w:hAnsi="Aptos" w:cs="Aptos"/>
                <w:noProof/>
                <w:sz w:val="16"/>
                <w:szCs w:val="16"/>
                <w:lang w:val="en-IE"/>
              </w:rPr>
              <w:t xml:space="preserve"> and cater for variety of funding needs.</w:t>
            </w:r>
          </w:p>
        </w:tc>
      </w:tr>
      <w:tr w:rsidR="05C4514A" w14:paraId="74C9AA32" w14:textId="77777777" w:rsidTr="05C4514A">
        <w:trPr>
          <w:trHeight w:val="300"/>
          <w:jc w:val="center"/>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6D2C57" w14:textId="20F83972" w:rsidR="10DCCC54" w:rsidRDefault="10DCCC54" w:rsidP="05C4514A">
            <w:pPr>
              <w:rPr>
                <w:rFonts w:ascii="Aptos" w:eastAsia="Aptos" w:hAnsi="Aptos" w:cs="Aptos"/>
                <w:b/>
                <w:bCs/>
                <w:noProof/>
                <w:sz w:val="20"/>
                <w:szCs w:val="20"/>
                <w:lang w:val="en-IE"/>
              </w:rPr>
            </w:pPr>
            <w:r w:rsidRPr="05C4514A">
              <w:rPr>
                <w:rFonts w:ascii="Aptos" w:eastAsia="Aptos" w:hAnsi="Aptos" w:cs="Aptos"/>
                <w:b/>
                <w:bCs/>
                <w:noProof/>
                <w:sz w:val="20"/>
                <w:szCs w:val="20"/>
                <w:lang w:val="en-IE"/>
              </w:rPr>
              <w:t>Possible unintended consequences</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786CADA3" w14:textId="3D3C553C" w:rsidR="10DCCC54" w:rsidRPr="009F2FF8" w:rsidRDefault="10DCCC54" w:rsidP="009F2FF8">
            <w:pPr>
              <w:jc w:val="center"/>
              <w:rPr>
                <w:rFonts w:ascii="Aptos" w:eastAsia="Aptos" w:hAnsi="Aptos" w:cs="Aptos"/>
                <w:noProof/>
                <w:sz w:val="16"/>
                <w:szCs w:val="16"/>
                <w:lang w:val="en-IE"/>
              </w:rPr>
            </w:pPr>
            <w:r w:rsidRPr="009F2FF8">
              <w:rPr>
                <w:rFonts w:ascii="Aptos" w:eastAsia="Aptos" w:hAnsi="Aptos" w:cs="Aptos"/>
                <w:noProof/>
                <w:sz w:val="16"/>
                <w:szCs w:val="16"/>
                <w:lang w:val="en-IE"/>
              </w:rPr>
              <w:t>No significant change compared to the status quo.</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3559F" w14:textId="0268545B" w:rsidR="10DCCC54" w:rsidRPr="009F2FF8" w:rsidRDefault="10DCCC54" w:rsidP="009F2FF8">
            <w:pPr>
              <w:jc w:val="center"/>
              <w:rPr>
                <w:rFonts w:ascii="Aptos" w:eastAsia="Aptos" w:hAnsi="Aptos" w:cs="Aptos"/>
                <w:noProof/>
                <w:sz w:val="16"/>
                <w:szCs w:val="16"/>
                <w:lang w:val="en-IE"/>
              </w:rPr>
            </w:pPr>
            <w:r w:rsidRPr="009F2FF8">
              <w:rPr>
                <w:rFonts w:ascii="Aptos" w:eastAsia="Aptos" w:hAnsi="Aptos" w:cs="Aptos"/>
                <w:noProof/>
                <w:sz w:val="16"/>
                <w:szCs w:val="16"/>
                <w:lang w:val="en-IE"/>
              </w:rPr>
              <w:t>Harmonising rules would lead to a funding landscape that, compared to the status quo, facilitates the participation of non-incumbents in application processes of different programmes. As such, this option would, to some extent, lower a barrier to entry, and increase the potential to support EU competitiveness.</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912656" w14:textId="4E755D00" w:rsidR="05C4514A" w:rsidRPr="009F2FF8" w:rsidRDefault="05C4514A" w:rsidP="009F2FF8">
            <w:pPr>
              <w:jc w:val="center"/>
              <w:rPr>
                <w:rFonts w:ascii="Aptos" w:eastAsia="Aptos" w:hAnsi="Aptos" w:cs="Aptos"/>
                <w:noProof/>
                <w:sz w:val="16"/>
                <w:szCs w:val="16"/>
              </w:rPr>
            </w:pPr>
            <w:r w:rsidRPr="009F2FF8">
              <w:rPr>
                <w:rFonts w:ascii="Aptos" w:eastAsia="Aptos" w:hAnsi="Aptos" w:cs="Aptos"/>
                <w:noProof/>
                <w:sz w:val="16"/>
                <w:szCs w:val="16"/>
              </w:rPr>
              <w:t xml:space="preserve">The consolidation into a single fund could make EU support for competitiveness more attractive for small </w:t>
            </w:r>
            <w:r w:rsidR="00461B54" w:rsidRPr="00461B54">
              <w:rPr>
                <w:rFonts w:ascii="Aptos" w:eastAsia="Aptos" w:hAnsi="Aptos" w:cs="Aptos"/>
                <w:noProof/>
                <w:sz w:val="16"/>
                <w:szCs w:val="16"/>
              </w:rPr>
              <w:t>entities</w:t>
            </w:r>
            <w:r w:rsidRPr="009F2FF8">
              <w:rPr>
                <w:rFonts w:ascii="Aptos" w:eastAsia="Aptos" w:hAnsi="Aptos" w:cs="Aptos"/>
                <w:noProof/>
                <w:sz w:val="16"/>
                <w:szCs w:val="16"/>
              </w:rPr>
              <w:t xml:space="preserve"> currently constrained by the perception that the </w:t>
            </w:r>
            <w:r w:rsidR="00461B54" w:rsidRPr="00461B54">
              <w:rPr>
                <w:rFonts w:ascii="Aptos" w:eastAsia="Aptos" w:hAnsi="Aptos" w:cs="Aptos"/>
                <w:noProof/>
                <w:sz w:val="16"/>
                <w:szCs w:val="16"/>
              </w:rPr>
              <w:t>initial</w:t>
            </w:r>
            <w:r w:rsidRPr="009F2FF8">
              <w:rPr>
                <w:rFonts w:ascii="Aptos" w:eastAsia="Aptos" w:hAnsi="Aptos" w:cs="Aptos"/>
                <w:noProof/>
                <w:sz w:val="16"/>
                <w:szCs w:val="16"/>
              </w:rPr>
              <w:t xml:space="preserve"> familiarisation with rules of a heterogeneous set of different programmes is highly burdensome. Through this option, EU support could become more inclusive for non-incumbents, lowering a barrier to entry. By reaching a broader base of applicants, the Fund would represent a progress in the achievement of the goals behind EU support for competitiveness.</w:t>
            </w:r>
          </w:p>
          <w:p w14:paraId="177DF792" w14:textId="33B67A4C" w:rsidR="05C4514A" w:rsidRPr="009F2FF8" w:rsidRDefault="05C4514A" w:rsidP="009F2FF8">
            <w:pPr>
              <w:jc w:val="center"/>
              <w:rPr>
                <w:rFonts w:ascii="Aptos" w:eastAsia="Aptos" w:hAnsi="Aptos" w:cs="Aptos"/>
                <w:noProof/>
                <w:sz w:val="16"/>
                <w:szCs w:val="16"/>
              </w:rPr>
            </w:pPr>
            <w:r w:rsidRPr="009F2FF8">
              <w:rPr>
                <w:rFonts w:ascii="Aptos" w:eastAsia="Aptos" w:hAnsi="Aptos" w:cs="Aptos"/>
                <w:noProof/>
                <w:sz w:val="16"/>
                <w:szCs w:val="16"/>
              </w:rPr>
              <w:t>Moreover, this option would facilitate synergies across different phases of the investment journey – thereby increasing the Fund’s potential to achieve its goal of increasing EU competitiveness.</w:t>
            </w:r>
          </w:p>
        </w:tc>
      </w:tr>
    </w:tbl>
    <w:p w14:paraId="0B1930FE" w14:textId="77777777" w:rsidR="00FC3D58" w:rsidRPr="0030098A" w:rsidRDefault="00FC3D58" w:rsidP="00630814">
      <w:pPr>
        <w:pStyle w:val="Heading2"/>
        <w:tabs>
          <w:tab w:val="clear" w:pos="1200"/>
          <w:tab w:val="num" w:pos="10217"/>
        </w:tabs>
        <w:ind w:left="833"/>
        <w:rPr>
          <w:noProof/>
          <w:lang w:val="en-IE"/>
        </w:rPr>
      </w:pPr>
      <w:r w:rsidRPr="0030098A">
        <w:rPr>
          <w:rFonts w:ascii="Aptos" w:eastAsia="Aptos" w:hAnsi="Aptos" w:cs="Aptos"/>
          <w:noProof/>
          <w:sz w:val="22"/>
          <w:szCs w:val="22"/>
          <w:lang w:val="en-IE"/>
        </w:rPr>
        <w:t xml:space="preserve"> </w:t>
      </w:r>
      <w:bookmarkStart w:id="262" w:name="_Toc195700236"/>
      <w:bookmarkStart w:id="263" w:name="_Toc203043653"/>
      <w:r w:rsidRPr="0030098A">
        <w:rPr>
          <w:noProof/>
          <w:lang w:val="en-IE"/>
        </w:rPr>
        <w:t>Efficiency</w:t>
      </w:r>
      <w:bookmarkEnd w:id="262"/>
      <w:bookmarkEnd w:id="263"/>
      <w:r w:rsidRPr="0030098A">
        <w:rPr>
          <w:noProof/>
          <w:lang w:val="en-IE"/>
        </w:rPr>
        <w:t xml:space="preserve"> </w:t>
      </w:r>
    </w:p>
    <w:p w14:paraId="3D396687" w14:textId="179EA201" w:rsidR="00FC3D58" w:rsidRPr="0030098A" w:rsidRDefault="00FC3D58" w:rsidP="00603157">
      <w:pPr>
        <w:spacing w:before="240"/>
        <w:rPr>
          <w:noProof/>
          <w:lang w:val="en-IE"/>
        </w:rPr>
      </w:pPr>
      <w:r w:rsidRPr="00EA2805">
        <w:rPr>
          <w:noProof/>
          <w:lang w:val="en-US"/>
        </w:rPr>
        <w:t>Three options are considered for efficiency gains:</w:t>
      </w:r>
      <w:r w:rsidR="002429C0">
        <w:rPr>
          <w:noProof/>
          <w:lang w:val="en-US"/>
        </w:rPr>
        <w:t xml:space="preserve"> (1) </w:t>
      </w:r>
      <w:r w:rsidRPr="00EA2805">
        <w:rPr>
          <w:noProof/>
          <w:lang w:val="en-US"/>
        </w:rPr>
        <w:t>Option A: Limited gains due to remaining administrative burdens</w:t>
      </w:r>
      <w:r w:rsidR="002429C0">
        <w:rPr>
          <w:noProof/>
          <w:lang w:val="en-US"/>
        </w:rPr>
        <w:t xml:space="preserve">; (2) </w:t>
      </w:r>
      <w:r w:rsidRPr="00EA2805">
        <w:rPr>
          <w:noProof/>
          <w:lang w:val="en-US"/>
        </w:rPr>
        <w:t>Option B: Moderate gains through standardisation, reducing costs and easing applications</w:t>
      </w:r>
      <w:r w:rsidR="002429C0">
        <w:rPr>
          <w:noProof/>
          <w:lang w:val="en-US"/>
        </w:rPr>
        <w:t xml:space="preserve">; (3) </w:t>
      </w:r>
      <w:r w:rsidRPr="00EA2805">
        <w:rPr>
          <w:noProof/>
          <w:lang w:val="en-US"/>
        </w:rPr>
        <w:t>Option C: Significant gains from a single, integrated Fund with streamlined processes, despite initial adaptation challenges.</w:t>
      </w:r>
    </w:p>
    <w:tbl>
      <w:tblPr>
        <w:tblStyle w:val="TableGrid"/>
        <w:tblW w:w="10632" w:type="dxa"/>
        <w:jc w:val="center"/>
        <w:tblLayout w:type="fixed"/>
        <w:tblLook w:val="04A0" w:firstRow="1" w:lastRow="0" w:firstColumn="1" w:lastColumn="0" w:noHBand="0" w:noVBand="1"/>
      </w:tblPr>
      <w:tblGrid>
        <w:gridCol w:w="2117"/>
        <w:gridCol w:w="2838"/>
        <w:gridCol w:w="2838"/>
        <w:gridCol w:w="2839"/>
      </w:tblGrid>
      <w:tr w:rsidR="00FC3D58" w14:paraId="03FBF0C9" w14:textId="77777777" w:rsidTr="51E02097">
        <w:trPr>
          <w:trHeight w:val="300"/>
          <w:tblHeader/>
          <w:jc w:val="center"/>
        </w:trPr>
        <w:tc>
          <w:tcPr>
            <w:tcW w:w="2117"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5E1F2FFE" w14:textId="77777777" w:rsidR="00FC3D58" w:rsidRPr="0030098A" w:rsidRDefault="00FC3D58" w:rsidP="00603157">
            <w:pPr>
              <w:spacing w:after="0"/>
              <w:rPr>
                <w:noProof/>
                <w:lang w:val="en-IE"/>
              </w:rPr>
            </w:pPr>
            <w:r w:rsidRPr="0030098A">
              <w:rPr>
                <w:rFonts w:ascii="Aptos" w:eastAsia="Aptos" w:hAnsi="Aptos" w:cs="Aptos"/>
                <w:b/>
                <w:noProof/>
                <w:color w:val="000000" w:themeColor="text1"/>
                <w:sz w:val="20"/>
                <w:szCs w:val="20"/>
                <w:lang w:val="en-IE"/>
              </w:rPr>
              <w:t xml:space="preserve">Efficiency </w:t>
            </w:r>
            <w:r w:rsidRPr="0030098A">
              <w:rPr>
                <w:rFonts w:ascii="Aptos" w:eastAsia="Aptos" w:hAnsi="Aptos" w:cs="Aptos"/>
                <w:noProof/>
                <w:color w:val="000000" w:themeColor="text1"/>
                <w:sz w:val="20"/>
                <w:szCs w:val="20"/>
                <w:lang w:val="en-IE"/>
              </w:rPr>
              <w:t>(relationship between the expected benefits of a policy option and the resources required to implement it)</w:t>
            </w:r>
          </w:p>
        </w:tc>
        <w:tc>
          <w:tcPr>
            <w:tcW w:w="2838"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6D811324" w14:textId="77777777" w:rsidR="00FC3D58" w:rsidRPr="0030098A" w:rsidRDefault="00FC3D58" w:rsidP="00603157">
            <w:pPr>
              <w:spacing w:after="0"/>
              <w:jc w:val="center"/>
              <w:rPr>
                <w:noProof/>
                <w:lang w:val="en-IE"/>
              </w:rPr>
            </w:pPr>
            <w:r w:rsidRPr="0030098A">
              <w:rPr>
                <w:rFonts w:ascii="Aptos" w:eastAsia="Aptos" w:hAnsi="Aptos" w:cs="Aptos"/>
                <w:b/>
                <w:noProof/>
                <w:color w:val="000000" w:themeColor="text1"/>
                <w:sz w:val="20"/>
                <w:szCs w:val="20"/>
                <w:lang w:val="en-IE"/>
              </w:rPr>
              <w:t>Option A – Business-as-usual-plus</w:t>
            </w:r>
          </w:p>
        </w:tc>
        <w:tc>
          <w:tcPr>
            <w:tcW w:w="2838"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0BC82D30" w14:textId="77777777" w:rsidR="00FC3D58" w:rsidRPr="0030098A" w:rsidRDefault="00FC3D58" w:rsidP="00603157">
            <w:pPr>
              <w:spacing w:after="0"/>
              <w:jc w:val="center"/>
              <w:rPr>
                <w:noProof/>
                <w:lang w:val="en-IE"/>
              </w:rPr>
            </w:pPr>
            <w:r w:rsidRPr="0030098A">
              <w:rPr>
                <w:rFonts w:ascii="Aptos" w:eastAsia="Aptos" w:hAnsi="Aptos" w:cs="Aptos"/>
                <w:b/>
                <w:noProof/>
                <w:color w:val="000000" w:themeColor="text1"/>
                <w:sz w:val="20"/>
                <w:szCs w:val="20"/>
                <w:lang w:val="en-IE"/>
              </w:rPr>
              <w:t>Option B – Enhanced coordination</w:t>
            </w:r>
          </w:p>
        </w:tc>
        <w:tc>
          <w:tcPr>
            <w:tcW w:w="2839"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197A4D80" w14:textId="77777777" w:rsidR="00FC3D58" w:rsidRPr="0030098A" w:rsidRDefault="00FC3D58" w:rsidP="00603157">
            <w:pPr>
              <w:spacing w:after="0"/>
              <w:jc w:val="center"/>
              <w:rPr>
                <w:noProof/>
                <w:lang w:val="en-IE"/>
              </w:rPr>
            </w:pPr>
            <w:r w:rsidRPr="0030098A">
              <w:rPr>
                <w:rFonts w:ascii="Aptos" w:eastAsia="Aptos" w:hAnsi="Aptos" w:cs="Aptos"/>
                <w:b/>
                <w:noProof/>
                <w:color w:val="000000" w:themeColor="text1"/>
                <w:sz w:val="20"/>
                <w:szCs w:val="20"/>
                <w:lang w:val="en-IE"/>
              </w:rPr>
              <w:t>Option C – Full consolidation</w:t>
            </w:r>
          </w:p>
        </w:tc>
      </w:tr>
      <w:tr w:rsidR="00FC3D58" w14:paraId="1E7F543A" w14:textId="77777777" w:rsidTr="51E02097">
        <w:trPr>
          <w:trHeight w:val="200"/>
          <w:jc w:val="center"/>
        </w:trPr>
        <w:tc>
          <w:tcPr>
            <w:tcW w:w="2117" w:type="dxa"/>
            <w:vMerge w:val="restart"/>
            <w:tcBorders>
              <w:top w:val="single" w:sz="8" w:space="0" w:color="auto"/>
              <w:left w:val="single" w:sz="8" w:space="0" w:color="auto"/>
              <w:right w:val="single" w:sz="8" w:space="0" w:color="auto"/>
            </w:tcBorders>
            <w:tcMar>
              <w:left w:w="108" w:type="dxa"/>
              <w:right w:w="108" w:type="dxa"/>
            </w:tcMar>
            <w:vAlign w:val="center"/>
          </w:tcPr>
          <w:p w14:paraId="7350F4DB" w14:textId="77777777" w:rsidR="00FC3D58" w:rsidRPr="0030098A" w:rsidRDefault="00FC3D58" w:rsidP="00603157">
            <w:pPr>
              <w:spacing w:after="0"/>
              <w:rPr>
                <w:noProof/>
                <w:lang w:val="en-IE"/>
              </w:rPr>
            </w:pPr>
            <w:r w:rsidRPr="0030098A">
              <w:rPr>
                <w:rFonts w:ascii="Aptos" w:eastAsia="Aptos" w:hAnsi="Aptos" w:cs="Aptos"/>
                <w:b/>
                <w:noProof/>
                <w:sz w:val="20"/>
                <w:szCs w:val="20"/>
                <w:lang w:val="en-IE"/>
              </w:rPr>
              <w:t>Governance</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03CE6B5A"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0</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20F8FD7D"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w:t>
            </w:r>
          </w:p>
        </w:tc>
        <w:tc>
          <w:tcPr>
            <w:tcW w:w="2839"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0B217B2E"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w:t>
            </w:r>
          </w:p>
        </w:tc>
      </w:tr>
      <w:tr w:rsidR="00FC3D58" w14:paraId="01AE3AD6" w14:textId="77777777" w:rsidTr="51E02097">
        <w:trPr>
          <w:trHeight w:val="615"/>
          <w:jc w:val="center"/>
        </w:trPr>
        <w:tc>
          <w:tcPr>
            <w:tcW w:w="2117" w:type="dxa"/>
            <w:vMerge/>
            <w:tcMar>
              <w:left w:w="108" w:type="dxa"/>
              <w:right w:w="108" w:type="dxa"/>
            </w:tcMar>
            <w:vAlign w:val="center"/>
          </w:tcPr>
          <w:p w14:paraId="15CEF79C" w14:textId="77777777" w:rsidR="00FC3D58" w:rsidRPr="0030098A" w:rsidRDefault="00FC3D58" w:rsidP="00603157">
            <w:pPr>
              <w:spacing w:after="0"/>
              <w:rPr>
                <w:rFonts w:ascii="Aptos" w:eastAsia="Aptos" w:hAnsi="Aptos" w:cs="Aptos"/>
                <w:b/>
                <w:noProof/>
                <w:sz w:val="20"/>
                <w:szCs w:val="20"/>
                <w:lang w:val="en-IE"/>
              </w:rPr>
            </w:pP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tcPr>
          <w:p w14:paraId="08B5A2D3" w14:textId="45E69810" w:rsidR="00FC3D58" w:rsidRPr="0030098A" w:rsidRDefault="00FC3D58" w:rsidP="00603157">
            <w:pPr>
              <w:spacing w:after="0"/>
              <w:rPr>
                <w:rFonts w:ascii="Aptos" w:eastAsia="Aptos" w:hAnsi="Aptos" w:cs="Aptos"/>
                <w:noProof/>
                <w:sz w:val="16"/>
                <w:szCs w:val="16"/>
                <w:lang w:val="en-IE"/>
              </w:rPr>
            </w:pPr>
            <w:r w:rsidRPr="0030098A">
              <w:rPr>
                <w:rFonts w:ascii="Aptos" w:eastAsia="Aptos" w:hAnsi="Aptos" w:cs="Aptos"/>
                <w:noProof/>
                <w:sz w:val="16"/>
                <w:szCs w:val="16"/>
                <w:lang w:val="en-IE"/>
              </w:rPr>
              <w:t xml:space="preserve">Each programme keeps its own governance structure. </w:t>
            </w:r>
          </w:p>
          <w:p w14:paraId="3B341F17" w14:textId="2AD26F15" w:rsidR="00FC3D58" w:rsidRPr="0030098A" w:rsidRDefault="00FC3D58" w:rsidP="00603157">
            <w:pPr>
              <w:spacing w:after="0"/>
              <w:jc w:val="left"/>
              <w:rPr>
                <w:rFonts w:ascii="Aptos" w:eastAsia="Aptos" w:hAnsi="Aptos" w:cs="Aptos"/>
                <w:noProof/>
                <w:sz w:val="16"/>
                <w:szCs w:val="16"/>
                <w:lang w:val="en-IE"/>
              </w:rPr>
            </w:pPr>
            <w:r w:rsidRPr="0030098A">
              <w:rPr>
                <w:rFonts w:ascii="Aptos" w:eastAsia="Aptos" w:hAnsi="Aptos" w:cs="Aptos"/>
                <w:noProof/>
                <w:sz w:val="16"/>
                <w:szCs w:val="16"/>
                <w:lang w:val="en-IE"/>
              </w:rPr>
              <w:t xml:space="preserve">A light coordination mechanism across the different funds would be in place. Funds </w:t>
            </w:r>
            <w:r w:rsidR="00D874C4">
              <w:rPr>
                <w:rFonts w:ascii="Aptos" w:eastAsia="Aptos" w:hAnsi="Aptos" w:cs="Aptos"/>
                <w:noProof/>
                <w:sz w:val="16"/>
                <w:szCs w:val="16"/>
                <w:lang w:val="en-IE"/>
              </w:rPr>
              <w:t>would exercise</w:t>
            </w:r>
            <w:r w:rsidRPr="0030098A">
              <w:rPr>
                <w:rFonts w:ascii="Aptos" w:eastAsia="Aptos" w:hAnsi="Aptos" w:cs="Aptos"/>
                <w:noProof/>
                <w:sz w:val="16"/>
                <w:szCs w:val="16"/>
                <w:lang w:val="en-IE"/>
              </w:rPr>
              <w:t xml:space="preserve"> considerable degree of autonomy in setting their work programmes, in line with the Commission’s priorities.</w:t>
            </w:r>
          </w:p>
          <w:p w14:paraId="105B6275" w14:textId="4B5CE81F" w:rsidR="00D874C4" w:rsidRPr="0030098A" w:rsidRDefault="00D874C4" w:rsidP="00603157">
            <w:pPr>
              <w:spacing w:after="0"/>
              <w:jc w:val="left"/>
              <w:rPr>
                <w:rFonts w:ascii="Aptos" w:eastAsia="Aptos" w:hAnsi="Aptos" w:cs="Aptos"/>
                <w:noProof/>
                <w:sz w:val="16"/>
                <w:szCs w:val="16"/>
                <w:lang w:val="en-IE"/>
              </w:rPr>
            </w:pPr>
            <w:r>
              <w:rPr>
                <w:rFonts w:ascii="Aptos" w:eastAsia="Aptos" w:hAnsi="Aptos" w:cs="Aptos"/>
                <w:noProof/>
                <w:sz w:val="16"/>
                <w:szCs w:val="16"/>
                <w:lang w:val="en-IE"/>
              </w:rPr>
              <w:t>Internal and external governance processes (i.e comitology) are the same as today</w:t>
            </w:r>
          </w:p>
          <w:p w14:paraId="59999629" w14:textId="3A6465F8" w:rsidR="00FC3D58" w:rsidRDefault="00FC3D58" w:rsidP="00603157">
            <w:pPr>
              <w:spacing w:after="0"/>
              <w:rPr>
                <w:rFonts w:ascii="Aptos" w:eastAsia="Aptos" w:hAnsi="Aptos" w:cs="Aptos"/>
                <w:noProof/>
                <w:sz w:val="16"/>
                <w:szCs w:val="16"/>
                <w:lang w:val="en-IE"/>
              </w:rPr>
            </w:pPr>
            <w:r w:rsidRPr="0030098A">
              <w:rPr>
                <w:rFonts w:ascii="Aptos" w:eastAsia="Aptos" w:hAnsi="Aptos" w:cs="Aptos"/>
                <w:noProof/>
                <w:sz w:val="16"/>
                <w:szCs w:val="16"/>
                <w:lang w:val="en-IE"/>
              </w:rPr>
              <w:t>Coordination costs will be present.</w:t>
            </w:r>
          </w:p>
          <w:p w14:paraId="742296CE" w14:textId="27DF7485" w:rsidR="00FC3D58" w:rsidRPr="0030098A" w:rsidRDefault="00FC3D58" w:rsidP="00603157">
            <w:pPr>
              <w:spacing w:after="0"/>
              <w:rPr>
                <w:rFonts w:ascii="Aptos" w:eastAsia="Aptos" w:hAnsi="Aptos" w:cs="Aptos"/>
                <w:noProof/>
                <w:sz w:val="16"/>
                <w:szCs w:val="16"/>
                <w:lang w:val="en-IE"/>
              </w:rPr>
            </w:pP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tcPr>
          <w:p w14:paraId="6E005CF6" w14:textId="77777777" w:rsidR="00FC3D58" w:rsidRPr="0030098A" w:rsidRDefault="00FC3D58" w:rsidP="00603157">
            <w:pPr>
              <w:spacing w:after="0"/>
              <w:rPr>
                <w:rFonts w:ascii="Aptos" w:eastAsia="Aptos" w:hAnsi="Aptos" w:cs="Aptos"/>
                <w:noProof/>
                <w:sz w:val="16"/>
                <w:szCs w:val="16"/>
                <w:lang w:val="en-IE"/>
              </w:rPr>
            </w:pPr>
            <w:r w:rsidRPr="0030098A">
              <w:rPr>
                <w:rFonts w:ascii="Aptos" w:eastAsia="Aptos" w:hAnsi="Aptos" w:cs="Aptos"/>
                <w:noProof/>
                <w:sz w:val="16"/>
                <w:szCs w:val="16"/>
                <w:lang w:val="en-IE"/>
              </w:rPr>
              <w:t xml:space="preserve">Fragmented governance structure with some degree of coordination. </w:t>
            </w:r>
          </w:p>
          <w:p w14:paraId="270351A7" w14:textId="5F3F9C53" w:rsidR="00FC3D58" w:rsidRPr="0030098A" w:rsidRDefault="00FC3D58" w:rsidP="00603157">
            <w:pPr>
              <w:spacing w:after="0"/>
              <w:jc w:val="left"/>
              <w:rPr>
                <w:rFonts w:ascii="Aptos" w:eastAsia="Aptos" w:hAnsi="Aptos" w:cs="Aptos"/>
                <w:noProof/>
                <w:sz w:val="16"/>
                <w:szCs w:val="16"/>
                <w:lang w:val="en-IE"/>
              </w:rPr>
            </w:pPr>
            <w:r w:rsidRPr="0030098A">
              <w:rPr>
                <w:rFonts w:ascii="Aptos" w:eastAsia="Aptos" w:hAnsi="Aptos" w:cs="Aptos"/>
                <w:noProof/>
                <w:sz w:val="16"/>
                <w:szCs w:val="16"/>
                <w:lang w:val="en-IE"/>
              </w:rPr>
              <w:t xml:space="preserve">Similar to Option A. On the one hand, coordination costs will decrease thanks to the introduction of a single rulebook and template for all the legal acts of the programmes. </w:t>
            </w:r>
          </w:p>
          <w:p w14:paraId="188D7CCB" w14:textId="51F41670" w:rsidR="00FC3D58" w:rsidRPr="0030098A" w:rsidRDefault="00FC3D58" w:rsidP="00BD44A6">
            <w:pPr>
              <w:spacing w:after="0"/>
              <w:jc w:val="left"/>
              <w:rPr>
                <w:rFonts w:ascii="Aptos" w:eastAsia="Aptos" w:hAnsi="Aptos" w:cs="Aptos"/>
                <w:noProof/>
                <w:sz w:val="16"/>
                <w:szCs w:val="16"/>
                <w:lang w:val="en-IE"/>
              </w:rPr>
            </w:pPr>
            <w:r w:rsidRPr="0030098A">
              <w:rPr>
                <w:rFonts w:ascii="Aptos" w:eastAsia="Aptos" w:hAnsi="Aptos" w:cs="Aptos"/>
                <w:noProof/>
                <w:sz w:val="16"/>
                <w:szCs w:val="16"/>
                <w:lang w:val="en-IE"/>
              </w:rPr>
              <w:t>Adjustment costs over an extended time period are also expected to be present.</w:t>
            </w:r>
          </w:p>
        </w:tc>
        <w:tc>
          <w:tcPr>
            <w:tcW w:w="2839" w:type="dxa"/>
            <w:tcBorders>
              <w:top w:val="single" w:sz="8" w:space="0" w:color="auto"/>
              <w:left w:val="single" w:sz="8" w:space="0" w:color="auto"/>
              <w:bottom w:val="single" w:sz="8" w:space="0" w:color="auto"/>
              <w:right w:val="single" w:sz="8" w:space="0" w:color="auto"/>
            </w:tcBorders>
            <w:tcMar>
              <w:left w:w="108" w:type="dxa"/>
              <w:right w:w="108" w:type="dxa"/>
            </w:tcMar>
          </w:tcPr>
          <w:p w14:paraId="06F92B4D" w14:textId="77777777"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Streamlined governance to respond quickly to new challenges and priorities.</w:t>
            </w:r>
          </w:p>
          <w:p w14:paraId="0F2DFB86" w14:textId="38A8B1DD" w:rsidR="00FC3D58" w:rsidRPr="0030098A" w:rsidRDefault="00FC3D58" w:rsidP="00603157">
            <w:pPr>
              <w:spacing w:after="0"/>
              <w:rPr>
                <w:rFonts w:ascii="Aptos" w:eastAsia="Aptos" w:hAnsi="Aptos" w:cs="Aptos"/>
                <w:noProof/>
                <w:sz w:val="16"/>
                <w:szCs w:val="16"/>
                <w:lang w:val="en-IE"/>
              </w:rPr>
            </w:pPr>
            <w:r w:rsidRPr="0030098A">
              <w:rPr>
                <w:rFonts w:ascii="Aptos" w:eastAsia="Aptos" w:hAnsi="Aptos" w:cs="Aptos"/>
                <w:noProof/>
                <w:sz w:val="16"/>
                <w:szCs w:val="16"/>
                <w:lang w:val="en-IE"/>
              </w:rPr>
              <w:t xml:space="preserve">Key stakeholders consulted as part of the steering mechanism. </w:t>
            </w:r>
          </w:p>
          <w:p w14:paraId="74655E99" w14:textId="579DBFB6" w:rsidR="00FC3D58" w:rsidRPr="0030098A" w:rsidRDefault="00FC3D58" w:rsidP="00603157">
            <w:pPr>
              <w:spacing w:after="0"/>
              <w:jc w:val="left"/>
              <w:rPr>
                <w:rFonts w:ascii="Aptos" w:eastAsia="Aptos" w:hAnsi="Aptos" w:cs="Aptos"/>
                <w:noProof/>
                <w:sz w:val="16"/>
                <w:szCs w:val="16"/>
                <w:lang w:val="en-IE"/>
              </w:rPr>
            </w:pPr>
            <w:r w:rsidRPr="0030098A">
              <w:rPr>
                <w:rFonts w:ascii="Aptos" w:eastAsia="Aptos" w:hAnsi="Aptos" w:cs="Aptos"/>
                <w:noProof/>
                <w:sz w:val="16"/>
                <w:szCs w:val="16"/>
                <w:lang w:val="en-IE"/>
              </w:rPr>
              <w:t xml:space="preserve">Depending on the actual structure agreed upon for steering the priorities and budget of the Competitiveness Fund, coordination costs could either increase or decrease (e.g. if </w:t>
            </w:r>
            <w:r w:rsidR="00D874C4">
              <w:rPr>
                <w:rFonts w:ascii="Aptos" w:eastAsia="Aptos" w:hAnsi="Aptos" w:cs="Aptos"/>
                <w:noProof/>
                <w:sz w:val="16"/>
                <w:szCs w:val="16"/>
                <w:lang w:val="en-IE"/>
              </w:rPr>
              <w:t>heavy governance processes for work programmes</w:t>
            </w:r>
            <w:r w:rsidRPr="0030098A">
              <w:rPr>
                <w:rFonts w:ascii="Aptos" w:eastAsia="Aptos" w:hAnsi="Aptos" w:cs="Aptos"/>
                <w:noProof/>
                <w:sz w:val="16"/>
                <w:szCs w:val="16"/>
                <w:lang w:val="en-IE"/>
              </w:rPr>
              <w:t>, as in the case of Option A).</w:t>
            </w:r>
          </w:p>
          <w:p w14:paraId="3BA9E1EE" w14:textId="30FA4EA2" w:rsidR="00D874C4" w:rsidRDefault="00FC3D58" w:rsidP="00603157">
            <w:pPr>
              <w:spacing w:after="0"/>
              <w:rPr>
                <w:rFonts w:ascii="Aptos" w:eastAsia="Aptos" w:hAnsi="Aptos" w:cs="Aptos"/>
                <w:noProof/>
                <w:sz w:val="16"/>
                <w:szCs w:val="16"/>
                <w:lang w:val="en-IE"/>
              </w:rPr>
            </w:pPr>
            <w:r w:rsidRPr="0030098A">
              <w:rPr>
                <w:rFonts w:ascii="Aptos" w:eastAsia="Aptos" w:hAnsi="Aptos" w:cs="Aptos"/>
                <w:noProof/>
                <w:sz w:val="16"/>
                <w:szCs w:val="16"/>
                <w:lang w:val="en-IE"/>
              </w:rPr>
              <w:t>Adjustment costs are expected</w:t>
            </w:r>
            <w:r w:rsidR="00D874C4">
              <w:rPr>
                <w:rFonts w:ascii="Aptos" w:eastAsia="Aptos" w:hAnsi="Aptos" w:cs="Aptos"/>
                <w:noProof/>
                <w:sz w:val="16"/>
                <w:szCs w:val="16"/>
                <w:lang w:val="en-IE"/>
              </w:rPr>
              <w:t xml:space="preserve"> during the transition, including </w:t>
            </w:r>
            <w:r w:rsidR="000B2833">
              <w:rPr>
                <w:rFonts w:ascii="Aptos" w:eastAsia="Aptos" w:hAnsi="Aptos" w:cs="Aptos"/>
                <w:noProof/>
                <w:sz w:val="16"/>
                <w:szCs w:val="16"/>
                <w:lang w:val="en-IE"/>
              </w:rPr>
              <w:t xml:space="preserve">setting up internal governance mechanisms </w:t>
            </w:r>
            <w:r w:rsidR="00CD7326">
              <w:rPr>
                <w:rFonts w:ascii="Aptos" w:eastAsia="Aptos" w:hAnsi="Aptos" w:cs="Aptos"/>
                <w:noProof/>
                <w:sz w:val="16"/>
                <w:szCs w:val="16"/>
                <w:lang w:val="en-IE"/>
              </w:rPr>
              <w:t>and internal coordination</w:t>
            </w:r>
            <w:r w:rsidRPr="0030098A">
              <w:rPr>
                <w:rFonts w:ascii="Aptos" w:eastAsia="Aptos" w:hAnsi="Aptos" w:cs="Aptos"/>
                <w:noProof/>
                <w:sz w:val="16"/>
                <w:szCs w:val="16"/>
                <w:lang w:val="en-IE"/>
              </w:rPr>
              <w:t>.</w:t>
            </w:r>
          </w:p>
          <w:p w14:paraId="28F8510B" w14:textId="68B2C1D0" w:rsidR="00FC3D58" w:rsidRDefault="00FC3D58" w:rsidP="00603157">
            <w:pPr>
              <w:spacing w:after="0"/>
              <w:rPr>
                <w:rFonts w:ascii="Aptos" w:eastAsia="Aptos" w:hAnsi="Aptos" w:cs="Aptos"/>
                <w:noProof/>
                <w:sz w:val="16"/>
                <w:szCs w:val="16"/>
                <w:lang w:val="en-IE"/>
              </w:rPr>
            </w:pPr>
            <w:r w:rsidRPr="0030098A">
              <w:rPr>
                <w:rFonts w:ascii="Aptos" w:eastAsia="Aptos" w:hAnsi="Aptos" w:cs="Aptos"/>
                <w:noProof/>
                <w:sz w:val="16"/>
                <w:szCs w:val="16"/>
                <w:lang w:val="en-IE"/>
              </w:rPr>
              <w:t>Synergies will be ensured between the Competitiveness Fund and other MFF programmes, at the strategic and operational level</w:t>
            </w:r>
            <w:r w:rsidR="00CC3D20">
              <w:rPr>
                <w:rFonts w:ascii="Aptos" w:eastAsia="Aptos" w:hAnsi="Aptos" w:cs="Aptos"/>
                <w:noProof/>
                <w:sz w:val="16"/>
                <w:szCs w:val="16"/>
                <w:lang w:val="en-IE"/>
              </w:rPr>
              <w:t>.</w:t>
            </w:r>
          </w:p>
          <w:p w14:paraId="5949DCF3" w14:textId="5746C9D7" w:rsidR="00FC3D58" w:rsidRPr="0028115E" w:rsidRDefault="7EFD02DE" w:rsidP="00603157">
            <w:pPr>
              <w:spacing w:after="0"/>
              <w:rPr>
                <w:rFonts w:ascii="Aptos" w:eastAsia="Aptos" w:hAnsi="Aptos" w:cs="Aptos"/>
                <w:noProof/>
                <w:sz w:val="16"/>
                <w:szCs w:val="16"/>
                <w:lang w:val="en-IE"/>
              </w:rPr>
            </w:pPr>
            <w:r w:rsidRPr="34D851D7">
              <w:rPr>
                <w:rFonts w:ascii="Aptos" w:eastAsia="Aptos" w:hAnsi="Aptos" w:cs="Aptos"/>
                <w:noProof/>
                <w:sz w:val="16"/>
                <w:szCs w:val="16"/>
                <w:lang w:val="en-IE"/>
              </w:rPr>
              <w:t xml:space="preserve">Improved coordination in selecting the most suitable instruments for different types of beneficiaries, stages of </w:t>
            </w:r>
            <w:r w:rsidR="598A4EAD" w:rsidRPr="1BE3500C">
              <w:rPr>
                <w:rFonts w:ascii="Aptos" w:eastAsia="Aptos" w:hAnsi="Aptos" w:cs="Aptos"/>
                <w:noProof/>
                <w:sz w:val="16"/>
                <w:szCs w:val="16"/>
                <w:lang w:val="en-IE"/>
              </w:rPr>
              <w:t>investment journey</w:t>
            </w:r>
            <w:r w:rsidRPr="34D851D7">
              <w:rPr>
                <w:rFonts w:ascii="Aptos" w:eastAsia="Aptos" w:hAnsi="Aptos" w:cs="Aptos"/>
                <w:noProof/>
                <w:sz w:val="16"/>
                <w:szCs w:val="16"/>
                <w:lang w:val="en-IE"/>
              </w:rPr>
              <w:t>, and the objective of mobilising private capital</w:t>
            </w:r>
            <w:r w:rsidR="00CC3D20">
              <w:rPr>
                <w:rFonts w:ascii="Aptos" w:eastAsia="Aptos" w:hAnsi="Aptos" w:cs="Aptos"/>
                <w:noProof/>
                <w:sz w:val="16"/>
                <w:szCs w:val="16"/>
                <w:lang w:val="en-IE"/>
              </w:rPr>
              <w:t>.</w:t>
            </w:r>
          </w:p>
        </w:tc>
      </w:tr>
      <w:tr w:rsidR="58BF9D30" w14:paraId="06E75347" w14:textId="77777777" w:rsidTr="51E02097">
        <w:trPr>
          <w:trHeight w:val="300"/>
          <w:jc w:val="center"/>
        </w:trPr>
        <w:tc>
          <w:tcPr>
            <w:tcW w:w="2117" w:type="dxa"/>
            <w:vMerge w:val="restart"/>
            <w:tcBorders>
              <w:top w:val="single" w:sz="8" w:space="0" w:color="auto"/>
              <w:left w:val="single" w:sz="8" w:space="0" w:color="auto"/>
              <w:right w:val="single" w:sz="8" w:space="0" w:color="auto"/>
            </w:tcBorders>
            <w:tcMar>
              <w:left w:w="108" w:type="dxa"/>
              <w:right w:w="108" w:type="dxa"/>
            </w:tcMar>
            <w:vAlign w:val="center"/>
          </w:tcPr>
          <w:p w14:paraId="360BB838" w14:textId="71770D83" w:rsidR="58BF9D30" w:rsidRDefault="58BF9D30" w:rsidP="00603157">
            <w:pPr>
              <w:rPr>
                <w:rFonts w:ascii="Aptos" w:eastAsia="Aptos" w:hAnsi="Aptos" w:cs="Aptos"/>
                <w:b/>
                <w:bCs/>
                <w:noProof/>
                <w:sz w:val="20"/>
                <w:szCs w:val="20"/>
                <w:lang w:val="en-IE"/>
              </w:rPr>
            </w:pPr>
          </w:p>
          <w:p w14:paraId="50E3AEE1" w14:textId="7983C7C9" w:rsidR="71616219" w:rsidRDefault="00A24C97" w:rsidP="00603157">
            <w:pPr>
              <w:spacing w:after="0"/>
              <w:rPr>
                <w:rFonts w:ascii="Aptos" w:eastAsia="Aptos" w:hAnsi="Aptos" w:cs="Aptos"/>
                <w:b/>
                <w:bCs/>
                <w:noProof/>
                <w:sz w:val="20"/>
                <w:szCs w:val="20"/>
                <w:lang w:val="en-IE"/>
              </w:rPr>
            </w:pPr>
            <w:r>
              <w:rPr>
                <w:rFonts w:ascii="Aptos" w:eastAsia="Aptos" w:hAnsi="Aptos" w:cs="Aptos"/>
                <w:b/>
                <w:bCs/>
                <w:noProof/>
                <w:sz w:val="20"/>
                <w:szCs w:val="20"/>
                <w:lang w:val="en-IE"/>
              </w:rPr>
              <w:t>Benefits</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tcPr>
          <w:p w14:paraId="09BC66C9" w14:textId="55C84D42" w:rsidR="1E8EBC92" w:rsidRDefault="5106E42E" w:rsidP="00243EAF">
            <w:pPr>
              <w:spacing w:after="0"/>
              <w:jc w:val="center"/>
              <w:rPr>
                <w:rFonts w:ascii="Aptos" w:eastAsia="Aptos" w:hAnsi="Aptos" w:cs="Aptos"/>
                <w:noProof/>
                <w:sz w:val="16"/>
                <w:szCs w:val="16"/>
                <w:lang w:val="en-IE"/>
              </w:rPr>
            </w:pPr>
            <w:r w:rsidRPr="51E02097">
              <w:rPr>
                <w:rFonts w:ascii="Aptos" w:eastAsia="Aptos" w:hAnsi="Aptos" w:cs="Aptos"/>
                <w:noProof/>
                <w:sz w:val="20"/>
                <w:szCs w:val="20"/>
                <w:lang w:val="en-IE"/>
              </w:rPr>
              <w:t>+</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tcPr>
          <w:p w14:paraId="291490C2" w14:textId="4BFA9F01" w:rsidR="1E8EBC92" w:rsidRDefault="5106E42E" w:rsidP="00243EAF">
            <w:pPr>
              <w:spacing w:after="0"/>
              <w:jc w:val="center"/>
              <w:rPr>
                <w:rFonts w:ascii="Aptos" w:eastAsia="Aptos" w:hAnsi="Aptos" w:cs="Aptos"/>
                <w:noProof/>
                <w:sz w:val="16"/>
                <w:szCs w:val="16"/>
                <w:lang w:val="en-IE"/>
              </w:rPr>
            </w:pPr>
            <w:r w:rsidRPr="51E02097">
              <w:rPr>
                <w:rFonts w:ascii="Aptos" w:eastAsia="Aptos" w:hAnsi="Aptos" w:cs="Aptos"/>
                <w:noProof/>
                <w:sz w:val="20"/>
                <w:szCs w:val="20"/>
                <w:lang w:val="en-IE"/>
              </w:rPr>
              <w:t>++</w:t>
            </w:r>
          </w:p>
        </w:tc>
        <w:tc>
          <w:tcPr>
            <w:tcW w:w="2839"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tcPr>
          <w:p w14:paraId="13337E19" w14:textId="4F945012" w:rsidR="1E8EBC92" w:rsidRDefault="5106E42E" w:rsidP="00243EAF">
            <w:pPr>
              <w:spacing w:after="0"/>
              <w:jc w:val="center"/>
              <w:rPr>
                <w:rFonts w:ascii="Aptos" w:eastAsia="Aptos" w:hAnsi="Aptos" w:cs="Aptos"/>
                <w:noProof/>
                <w:sz w:val="16"/>
                <w:szCs w:val="16"/>
                <w:lang w:val="en-IE"/>
              </w:rPr>
            </w:pPr>
            <w:r w:rsidRPr="51E02097">
              <w:rPr>
                <w:rFonts w:ascii="Aptos" w:eastAsia="Aptos" w:hAnsi="Aptos" w:cs="Aptos"/>
                <w:noProof/>
                <w:sz w:val="20"/>
                <w:szCs w:val="20"/>
                <w:lang w:val="en-IE"/>
              </w:rPr>
              <w:t>++</w:t>
            </w:r>
          </w:p>
        </w:tc>
      </w:tr>
      <w:tr w:rsidR="002F7490" w14:paraId="4F137C39" w14:textId="77777777" w:rsidTr="51E02097">
        <w:trPr>
          <w:trHeight w:val="615"/>
          <w:jc w:val="center"/>
        </w:trPr>
        <w:tc>
          <w:tcPr>
            <w:tcW w:w="2117" w:type="dxa"/>
            <w:vMerge/>
            <w:tcMar>
              <w:left w:w="108" w:type="dxa"/>
              <w:right w:w="108" w:type="dxa"/>
            </w:tcMar>
            <w:vAlign w:val="center"/>
          </w:tcPr>
          <w:p w14:paraId="53884608" w14:textId="0ACFA8E0" w:rsidR="002F7490" w:rsidRPr="0030098A" w:rsidRDefault="002F7490" w:rsidP="00603157">
            <w:pPr>
              <w:spacing w:after="0"/>
              <w:rPr>
                <w:rFonts w:ascii="Aptos" w:eastAsia="Aptos" w:hAnsi="Aptos" w:cs="Aptos"/>
                <w:b/>
                <w:noProof/>
                <w:sz w:val="20"/>
                <w:szCs w:val="20"/>
                <w:lang w:val="en-IE"/>
              </w:rPr>
            </w:pP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tcPr>
          <w:p w14:paraId="4489940E" w14:textId="6B566C86" w:rsidR="00E12289" w:rsidRDefault="002F7490" w:rsidP="00603157">
            <w:pPr>
              <w:spacing w:after="0"/>
              <w:rPr>
                <w:rFonts w:ascii="Aptos" w:eastAsia="Aptos" w:hAnsi="Aptos" w:cs="Aptos"/>
                <w:noProof/>
                <w:sz w:val="16"/>
                <w:szCs w:val="16"/>
                <w:lang w:val="en-IE"/>
              </w:rPr>
            </w:pPr>
            <w:r>
              <w:rPr>
                <w:rFonts w:ascii="Aptos" w:eastAsia="Aptos" w:hAnsi="Aptos" w:cs="Aptos"/>
                <w:noProof/>
                <w:sz w:val="16"/>
                <w:szCs w:val="16"/>
                <w:lang w:val="en-IE"/>
              </w:rPr>
              <w:t xml:space="preserve">+ </w:t>
            </w:r>
            <w:r w:rsidR="00E12289">
              <w:rPr>
                <w:rFonts w:ascii="Aptos" w:eastAsia="Aptos" w:hAnsi="Aptos" w:cs="Aptos"/>
                <w:noProof/>
                <w:sz w:val="16"/>
                <w:szCs w:val="16"/>
                <w:lang w:val="en-IE"/>
              </w:rPr>
              <w:t>Current beneficiaries</w:t>
            </w:r>
            <w:r>
              <w:rPr>
                <w:rFonts w:ascii="Aptos" w:eastAsia="Aptos" w:hAnsi="Aptos" w:cs="Aptos"/>
                <w:noProof/>
                <w:sz w:val="16"/>
                <w:szCs w:val="16"/>
                <w:lang w:val="en-IE"/>
              </w:rPr>
              <w:t xml:space="preserve"> will benefit from a stable landscape</w:t>
            </w:r>
          </w:p>
          <w:p w14:paraId="2CB4C565" w14:textId="5F48CEDD" w:rsidR="00E12289" w:rsidRDefault="002F7490" w:rsidP="00603157">
            <w:pPr>
              <w:spacing w:after="0"/>
              <w:rPr>
                <w:rFonts w:ascii="Aptos" w:eastAsia="Aptos" w:hAnsi="Aptos" w:cs="Aptos"/>
                <w:noProof/>
                <w:sz w:val="16"/>
                <w:szCs w:val="16"/>
                <w:lang w:val="en-IE"/>
              </w:rPr>
            </w:pPr>
            <w:r>
              <w:rPr>
                <w:rFonts w:ascii="Aptos" w:eastAsia="Aptos" w:hAnsi="Aptos" w:cs="Aptos"/>
                <w:noProof/>
                <w:sz w:val="16"/>
                <w:szCs w:val="16"/>
                <w:lang w:val="en-IE"/>
              </w:rPr>
              <w:t>+</w:t>
            </w:r>
            <w:r w:rsidR="00E12289">
              <w:rPr>
                <w:rFonts w:ascii="Aptos" w:eastAsia="Aptos" w:hAnsi="Aptos" w:cs="Aptos"/>
                <w:noProof/>
                <w:sz w:val="16"/>
                <w:szCs w:val="16"/>
                <w:lang w:val="en-IE"/>
              </w:rPr>
              <w:t>/-</w:t>
            </w:r>
            <w:r>
              <w:rPr>
                <w:rFonts w:ascii="Aptos" w:eastAsia="Aptos" w:hAnsi="Aptos" w:cs="Aptos"/>
                <w:noProof/>
                <w:sz w:val="16"/>
                <w:szCs w:val="16"/>
                <w:lang w:val="en-IE"/>
              </w:rPr>
              <w:t xml:space="preserve"> Targeted instruments within existing programmes will address efficiently the specific needs of different stakeholders</w:t>
            </w:r>
            <w:r w:rsidR="00E12289">
              <w:rPr>
                <w:rFonts w:ascii="Aptos" w:eastAsia="Aptos" w:hAnsi="Aptos" w:cs="Aptos"/>
                <w:noProof/>
                <w:sz w:val="16"/>
                <w:szCs w:val="16"/>
                <w:lang w:val="en-IE"/>
              </w:rPr>
              <w:t xml:space="preserve">. At the same time, offer of funding instruments available inherently limited by existing programmes – need to go through a separate application to benefit from a different type of instruments (i.e grants vs loan) </w:t>
            </w:r>
          </w:p>
          <w:p w14:paraId="2E7FE7EB" w14:textId="3F98245B" w:rsidR="00E12289" w:rsidRDefault="002F7490" w:rsidP="00603157">
            <w:pPr>
              <w:spacing w:after="0"/>
              <w:rPr>
                <w:rFonts w:ascii="Aptos" w:eastAsia="Aptos" w:hAnsi="Aptos" w:cs="Aptos"/>
                <w:noProof/>
                <w:sz w:val="16"/>
                <w:szCs w:val="16"/>
                <w:lang w:val="en-IE"/>
              </w:rPr>
            </w:pPr>
            <w:r>
              <w:rPr>
                <w:rFonts w:ascii="Aptos" w:eastAsia="Aptos" w:hAnsi="Aptos" w:cs="Aptos"/>
                <w:noProof/>
                <w:sz w:val="16"/>
                <w:szCs w:val="16"/>
                <w:lang w:val="en-IE"/>
              </w:rPr>
              <w:t>+</w:t>
            </w:r>
            <w:r w:rsidR="00E12289">
              <w:rPr>
                <w:rFonts w:ascii="Aptos" w:eastAsia="Aptos" w:hAnsi="Aptos" w:cs="Aptos"/>
                <w:noProof/>
                <w:sz w:val="16"/>
                <w:szCs w:val="16"/>
                <w:lang w:val="en-IE"/>
              </w:rPr>
              <w:t>/-</w:t>
            </w:r>
            <w:r>
              <w:rPr>
                <w:rFonts w:ascii="Aptos" w:eastAsia="Aptos" w:hAnsi="Aptos" w:cs="Aptos"/>
                <w:noProof/>
                <w:sz w:val="16"/>
                <w:szCs w:val="16"/>
                <w:lang w:val="en-IE"/>
              </w:rPr>
              <w:t xml:space="preserve"> </w:t>
            </w:r>
            <w:r w:rsidR="00E12289">
              <w:rPr>
                <w:rFonts w:ascii="Aptos" w:eastAsia="Aptos" w:hAnsi="Aptos" w:cs="Aptos"/>
                <w:noProof/>
                <w:sz w:val="16"/>
                <w:szCs w:val="16"/>
                <w:lang w:val="en-IE"/>
              </w:rPr>
              <w:t>Minimal flexibility across programmes and no possibility to realign when new funding needs arise (predictability for stakeholders; at the same time, stakeholders in need would not benefit from new funding)</w:t>
            </w:r>
          </w:p>
          <w:p w14:paraId="2DF38D8E" w14:textId="6D8E53BA" w:rsidR="002F7490" w:rsidRPr="0030098A" w:rsidRDefault="002F7490" w:rsidP="00603157">
            <w:pPr>
              <w:spacing w:after="0"/>
              <w:rPr>
                <w:rFonts w:ascii="Aptos" w:eastAsia="Aptos" w:hAnsi="Aptos" w:cs="Aptos"/>
                <w:noProof/>
                <w:sz w:val="16"/>
                <w:szCs w:val="16"/>
                <w:lang w:val="en-IE"/>
              </w:rPr>
            </w:pP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tcPr>
          <w:p w14:paraId="05BBC275" w14:textId="77777777" w:rsidR="00E12289" w:rsidRDefault="302CDC1E" w:rsidP="00603157">
            <w:pPr>
              <w:spacing w:after="0"/>
              <w:rPr>
                <w:rFonts w:ascii="Aptos" w:eastAsia="Aptos" w:hAnsi="Aptos" w:cs="Aptos"/>
                <w:noProof/>
                <w:sz w:val="16"/>
                <w:szCs w:val="16"/>
                <w:lang w:val="en-IE"/>
              </w:rPr>
            </w:pPr>
            <w:r w:rsidRPr="36B032E4">
              <w:rPr>
                <w:rFonts w:ascii="Aptos" w:eastAsia="Aptos" w:hAnsi="Aptos" w:cs="Aptos"/>
                <w:noProof/>
                <w:sz w:val="16"/>
                <w:szCs w:val="16"/>
                <w:lang w:val="en-IE"/>
              </w:rPr>
              <w:t>+</w:t>
            </w:r>
            <w:r w:rsidR="002F7490">
              <w:rPr>
                <w:rFonts w:ascii="Aptos" w:eastAsia="Aptos" w:hAnsi="Aptos" w:cs="Aptos"/>
                <w:noProof/>
                <w:sz w:val="16"/>
                <w:szCs w:val="16"/>
                <w:lang w:val="en-IE"/>
              </w:rPr>
              <w:t xml:space="preserve"> Time-to-inform and Time-to-grant are expected to be reduced by tens of days</w:t>
            </w:r>
            <w:r w:rsidRPr="36B032E4">
              <w:rPr>
                <w:rFonts w:ascii="Aptos" w:eastAsia="Aptos" w:hAnsi="Aptos" w:cs="Aptos"/>
                <w:noProof/>
                <w:sz w:val="16"/>
                <w:szCs w:val="16"/>
                <w:lang w:val="en-IE"/>
              </w:rPr>
              <w:t>.</w:t>
            </w:r>
          </w:p>
          <w:p w14:paraId="749B7635" w14:textId="3012712B" w:rsidR="00E12289" w:rsidRDefault="302CDC1E" w:rsidP="00603157">
            <w:pPr>
              <w:spacing w:after="0"/>
              <w:rPr>
                <w:rFonts w:ascii="Aptos" w:eastAsia="Aptos" w:hAnsi="Aptos" w:cs="Aptos"/>
                <w:noProof/>
                <w:sz w:val="16"/>
                <w:szCs w:val="16"/>
                <w:lang w:val="en-IE"/>
              </w:rPr>
            </w:pPr>
            <w:r w:rsidRPr="36B032E4">
              <w:rPr>
                <w:rFonts w:ascii="Aptos" w:eastAsia="Aptos" w:hAnsi="Aptos" w:cs="Aptos"/>
                <w:noProof/>
                <w:sz w:val="16"/>
                <w:szCs w:val="16"/>
                <w:lang w:val="en-IE"/>
              </w:rPr>
              <w:t>+</w:t>
            </w:r>
            <w:r w:rsidR="002F7490" w:rsidDel="004E210B">
              <w:rPr>
                <w:rFonts w:ascii="Aptos" w:eastAsia="Aptos" w:hAnsi="Aptos" w:cs="Aptos"/>
                <w:noProof/>
                <w:sz w:val="16"/>
                <w:szCs w:val="16"/>
                <w:lang w:val="en-IE"/>
              </w:rPr>
              <w:t xml:space="preserve"> This option is expected to simplify the rules for applicants and beneficiaries through a common rulebook, facilitating blending and streamlining proposal preparation</w:t>
            </w:r>
            <w:r w:rsidRPr="36B032E4">
              <w:rPr>
                <w:rFonts w:ascii="Aptos" w:eastAsia="Aptos" w:hAnsi="Aptos" w:cs="Aptos"/>
                <w:noProof/>
                <w:sz w:val="16"/>
                <w:szCs w:val="16"/>
                <w:lang w:val="en-IE"/>
              </w:rPr>
              <w:t>.</w:t>
            </w:r>
          </w:p>
          <w:p w14:paraId="738A4298" w14:textId="4E8C4CEC" w:rsidR="002F7490" w:rsidRPr="004D6C28" w:rsidRDefault="302CDC1E" w:rsidP="00603157">
            <w:pPr>
              <w:spacing w:after="0"/>
              <w:rPr>
                <w:rFonts w:ascii="Aptos" w:eastAsia="Aptos" w:hAnsi="Aptos" w:cs="Aptos"/>
                <w:noProof/>
                <w:sz w:val="16"/>
                <w:szCs w:val="16"/>
                <w:lang w:val="en-IE"/>
              </w:rPr>
            </w:pPr>
            <w:r w:rsidRPr="36B032E4">
              <w:rPr>
                <w:rFonts w:ascii="Aptos" w:eastAsia="Aptos" w:hAnsi="Aptos" w:cs="Aptos"/>
                <w:noProof/>
                <w:sz w:val="16"/>
                <w:szCs w:val="16"/>
                <w:lang w:val="en-IE"/>
              </w:rPr>
              <w:t>+</w:t>
            </w:r>
            <w:r w:rsidR="002F7490" w:rsidDel="004E210B">
              <w:rPr>
                <w:rFonts w:ascii="Aptos" w:eastAsia="Aptos" w:hAnsi="Aptos" w:cs="Aptos"/>
                <w:noProof/>
                <w:sz w:val="16"/>
                <w:szCs w:val="16"/>
                <w:lang w:val="en-IE"/>
              </w:rPr>
              <w:t xml:space="preserve"> This option would moderately improve speed and flexibility</w:t>
            </w:r>
            <w:r w:rsidR="002F7490" w:rsidRPr="00BA76A2" w:rsidDel="0009004F">
              <w:rPr>
                <w:rFonts w:ascii="Aptos" w:eastAsia="Aptos" w:hAnsi="Aptos" w:cs="Aptos"/>
                <w:noProof/>
                <w:sz w:val="16"/>
                <w:szCs w:val="16"/>
                <w:lang w:val="en-IE"/>
              </w:rPr>
              <w:t>-</w:t>
            </w:r>
            <w:r w:rsidR="002F7490" w:rsidDel="0009004F">
              <w:rPr>
                <w:rFonts w:ascii="Aptos" w:eastAsia="Aptos" w:hAnsi="Aptos" w:cs="Aptos"/>
                <w:noProof/>
                <w:sz w:val="16"/>
                <w:szCs w:val="16"/>
                <w:lang w:val="en-IE"/>
              </w:rPr>
              <w:t xml:space="preserve"> </w:t>
            </w:r>
          </w:p>
        </w:tc>
        <w:tc>
          <w:tcPr>
            <w:tcW w:w="2839" w:type="dxa"/>
            <w:tcBorders>
              <w:top w:val="single" w:sz="8" w:space="0" w:color="auto"/>
              <w:left w:val="single" w:sz="8" w:space="0" w:color="auto"/>
              <w:bottom w:val="single" w:sz="8" w:space="0" w:color="auto"/>
              <w:right w:val="single" w:sz="8" w:space="0" w:color="auto"/>
            </w:tcBorders>
            <w:tcMar>
              <w:left w:w="108" w:type="dxa"/>
              <w:right w:w="108" w:type="dxa"/>
            </w:tcMar>
          </w:tcPr>
          <w:p w14:paraId="60AFEC1F" w14:textId="77777777" w:rsidR="00E12289" w:rsidRDefault="002F7490" w:rsidP="00603157">
            <w:pPr>
              <w:rPr>
                <w:rFonts w:ascii="Aptos" w:eastAsia="Aptos" w:hAnsi="Aptos" w:cs="Aptos"/>
                <w:noProof/>
                <w:sz w:val="16"/>
                <w:szCs w:val="16"/>
                <w:lang w:val="en-IE"/>
              </w:rPr>
            </w:pPr>
            <w:r>
              <w:rPr>
                <w:rFonts w:ascii="Aptos" w:eastAsia="Aptos" w:hAnsi="Aptos" w:cs="Aptos"/>
                <w:noProof/>
                <w:sz w:val="16"/>
                <w:szCs w:val="16"/>
                <w:lang w:val="en-IE"/>
              </w:rPr>
              <w:t>+ This option would expand access to financial tools, integrate advisory and business support, enhance access to finance and prove project bankability. + This option will increase budget flexibility, allowing for strategic allocation of resource with appropriate safeguards, and provide an opportunity to offer a diverse range of financing instruments, while respecting the need for continuity of funding for certain activities.</w:t>
            </w:r>
          </w:p>
          <w:p w14:paraId="36690D4B" w14:textId="25A64CAA" w:rsidR="00E12289" w:rsidRDefault="002F7490" w:rsidP="00603157">
            <w:pPr>
              <w:rPr>
                <w:rFonts w:ascii="Aptos" w:eastAsia="Aptos" w:hAnsi="Aptos" w:cs="Aptos"/>
                <w:noProof/>
                <w:sz w:val="16"/>
                <w:szCs w:val="16"/>
                <w:lang w:val="en-IE"/>
              </w:rPr>
            </w:pPr>
            <w:r>
              <w:rPr>
                <w:rFonts w:ascii="Aptos" w:eastAsia="Aptos" w:hAnsi="Aptos" w:cs="Aptos"/>
                <w:noProof/>
                <w:sz w:val="16"/>
                <w:szCs w:val="16"/>
                <w:lang w:val="en-IE"/>
              </w:rPr>
              <w:t xml:space="preserve"> </w:t>
            </w:r>
          </w:p>
          <w:p w14:paraId="5CD442C8" w14:textId="5B6EADDA" w:rsidR="00E23FD2" w:rsidRDefault="00A37579" w:rsidP="00603157">
            <w:pPr>
              <w:rPr>
                <w:rFonts w:ascii="Aptos" w:eastAsia="Aptos" w:hAnsi="Aptos" w:cs="Aptos"/>
                <w:noProof/>
                <w:sz w:val="16"/>
                <w:szCs w:val="16"/>
                <w:lang w:val="en-IE"/>
              </w:rPr>
            </w:pPr>
            <w:r w:rsidRPr="36B032E4">
              <w:rPr>
                <w:rFonts w:ascii="Aptos" w:eastAsia="Aptos" w:hAnsi="Aptos" w:cs="Aptos"/>
                <w:noProof/>
                <w:sz w:val="16"/>
                <w:szCs w:val="16"/>
                <w:lang w:val="en-IE"/>
              </w:rPr>
              <w:t>-</w:t>
            </w:r>
            <w:r w:rsidR="000F5CD5">
              <w:rPr>
                <w:rFonts w:ascii="Aptos" w:eastAsia="Aptos" w:hAnsi="Aptos" w:cs="Aptos"/>
                <w:noProof/>
                <w:sz w:val="16"/>
                <w:szCs w:val="16"/>
                <w:lang w:val="en-IE"/>
              </w:rPr>
              <w:t xml:space="preserve"> </w:t>
            </w:r>
            <w:r w:rsidR="00E12289">
              <w:rPr>
                <w:rFonts w:ascii="Aptos" w:eastAsia="Aptos" w:hAnsi="Aptos" w:cs="Aptos"/>
                <w:noProof/>
                <w:sz w:val="16"/>
                <w:szCs w:val="16"/>
                <w:lang w:val="en-IE"/>
              </w:rPr>
              <w:t xml:space="preserve">Appropriate balance between flexibility and predictability </w:t>
            </w:r>
            <w:r w:rsidR="5A90C5DB" w:rsidRPr="299BBE6C">
              <w:rPr>
                <w:rFonts w:ascii="Aptos" w:eastAsia="Aptos" w:hAnsi="Aptos" w:cs="Aptos"/>
                <w:noProof/>
                <w:sz w:val="16"/>
                <w:szCs w:val="16"/>
                <w:lang w:val="en-IE"/>
              </w:rPr>
              <w:t>would need to be ensured</w:t>
            </w:r>
            <w:r w:rsidR="07D24371" w:rsidRPr="299BBE6C">
              <w:rPr>
                <w:rFonts w:ascii="Aptos" w:eastAsia="Aptos" w:hAnsi="Aptos" w:cs="Aptos"/>
                <w:noProof/>
                <w:sz w:val="16"/>
                <w:szCs w:val="16"/>
                <w:lang w:val="en-IE"/>
              </w:rPr>
              <w:t>.</w:t>
            </w:r>
            <w:r w:rsidR="00E12289">
              <w:rPr>
                <w:rFonts w:ascii="Aptos" w:eastAsia="Aptos" w:hAnsi="Aptos" w:cs="Aptos"/>
                <w:noProof/>
                <w:sz w:val="16"/>
                <w:szCs w:val="16"/>
                <w:lang w:val="en-IE"/>
              </w:rPr>
              <w:t xml:space="preserve"> </w:t>
            </w:r>
            <w:r w:rsidR="00E23FD2">
              <w:rPr>
                <w:rFonts w:ascii="Aptos" w:eastAsia="Aptos" w:hAnsi="Aptos" w:cs="Aptos"/>
                <w:noProof/>
                <w:sz w:val="16"/>
                <w:szCs w:val="16"/>
                <w:lang w:val="en-IE"/>
              </w:rPr>
              <w:t xml:space="preserve">Long-term planning of funding needed for certain stakeholders </w:t>
            </w:r>
          </w:p>
          <w:p w14:paraId="1A29C266" w14:textId="72CE8AD4" w:rsidR="002F7490" w:rsidRPr="0030098A" w:rsidRDefault="302CDC1E" w:rsidP="00603157">
            <w:pPr>
              <w:rPr>
                <w:rFonts w:ascii="Aptos" w:eastAsia="Aptos" w:hAnsi="Aptos" w:cs="Aptos"/>
                <w:noProof/>
                <w:sz w:val="16"/>
                <w:szCs w:val="16"/>
                <w:lang w:val="en-IE"/>
              </w:rPr>
            </w:pPr>
            <w:r w:rsidRPr="36B032E4">
              <w:rPr>
                <w:rFonts w:ascii="Aptos" w:eastAsia="Aptos" w:hAnsi="Aptos" w:cs="Aptos"/>
                <w:noProof/>
                <w:sz w:val="16"/>
                <w:szCs w:val="16"/>
                <w:lang w:val="en-IE"/>
              </w:rPr>
              <w:t>+</w:t>
            </w:r>
            <w:r w:rsidR="002F7490" w:rsidDel="0009004F">
              <w:rPr>
                <w:rFonts w:ascii="Aptos" w:eastAsia="Aptos" w:hAnsi="Aptos" w:cs="Aptos"/>
                <w:noProof/>
                <w:sz w:val="16"/>
                <w:szCs w:val="16"/>
                <w:lang w:val="en-IE"/>
              </w:rPr>
              <w:t xml:space="preserve"> This option aims to create a more efficient and business-friendly environment with the highest potential for simplification, flexibility and speed.</w:t>
            </w:r>
          </w:p>
        </w:tc>
      </w:tr>
      <w:tr w:rsidR="00B36A87" w14:paraId="1B600B1B" w14:textId="77777777" w:rsidTr="51E02097">
        <w:trPr>
          <w:trHeight w:val="282"/>
          <w:jc w:val="center"/>
        </w:trPr>
        <w:tc>
          <w:tcPr>
            <w:tcW w:w="2117" w:type="dxa"/>
            <w:vMerge w:val="restart"/>
            <w:tcMar>
              <w:left w:w="108" w:type="dxa"/>
              <w:right w:w="108" w:type="dxa"/>
            </w:tcMar>
            <w:vAlign w:val="center"/>
          </w:tcPr>
          <w:p w14:paraId="4DC7FF1E" w14:textId="2A05B967" w:rsidR="00B36A87" w:rsidRPr="0030098A" w:rsidRDefault="00B36A87" w:rsidP="00603157">
            <w:pPr>
              <w:spacing w:after="0"/>
              <w:rPr>
                <w:rFonts w:ascii="Aptos" w:eastAsia="Aptos" w:hAnsi="Aptos" w:cs="Aptos"/>
                <w:b/>
                <w:noProof/>
                <w:sz w:val="20"/>
                <w:szCs w:val="20"/>
                <w:lang w:val="en-IE"/>
              </w:rPr>
            </w:pPr>
            <w:r>
              <w:rPr>
                <w:rFonts w:ascii="Aptos" w:eastAsia="Aptos" w:hAnsi="Aptos" w:cs="Aptos"/>
                <w:b/>
                <w:noProof/>
                <w:sz w:val="20"/>
                <w:szCs w:val="20"/>
                <w:lang w:val="en-IE"/>
              </w:rPr>
              <w:t>Costs</w:t>
            </w:r>
          </w:p>
        </w:tc>
        <w:tc>
          <w:tcPr>
            <w:tcW w:w="2838" w:type="dxa"/>
            <w:tcBorders>
              <w:top w:val="single" w:sz="8" w:space="0" w:color="auto"/>
              <w:left w:val="single" w:sz="8" w:space="0" w:color="auto"/>
              <w:bottom w:val="single" w:sz="4" w:space="0" w:color="auto"/>
              <w:right w:val="single" w:sz="8" w:space="0" w:color="auto"/>
            </w:tcBorders>
            <w:tcMar>
              <w:left w:w="108" w:type="dxa"/>
              <w:right w:w="108" w:type="dxa"/>
            </w:tcMar>
          </w:tcPr>
          <w:p w14:paraId="0C930C4D" w14:textId="3D5246A4" w:rsidR="00B36A87" w:rsidRPr="004C43F1" w:rsidRDefault="001A5E53" w:rsidP="003A050F">
            <w:pPr>
              <w:spacing w:after="0"/>
              <w:rPr>
                <w:rFonts w:ascii="Aptos" w:eastAsia="Aptos" w:hAnsi="Aptos" w:cs="Aptos"/>
                <w:noProof/>
                <w:sz w:val="20"/>
                <w:szCs w:val="20"/>
                <w:lang w:val="en-IE"/>
              </w:rPr>
            </w:pPr>
            <w:r>
              <w:rPr>
                <w:rFonts w:ascii="Aptos" w:eastAsia="Aptos" w:hAnsi="Aptos" w:cs="Aptos"/>
                <w:noProof/>
                <w:sz w:val="20"/>
                <w:szCs w:val="20"/>
                <w:lang w:val="en-IE"/>
              </w:rPr>
              <w:t>+/-</w:t>
            </w:r>
          </w:p>
        </w:tc>
        <w:tc>
          <w:tcPr>
            <w:tcW w:w="2838" w:type="dxa"/>
            <w:tcBorders>
              <w:top w:val="single" w:sz="8" w:space="0" w:color="auto"/>
              <w:left w:val="single" w:sz="8" w:space="0" w:color="auto"/>
              <w:bottom w:val="single" w:sz="4" w:space="0" w:color="auto"/>
              <w:right w:val="single" w:sz="8" w:space="0" w:color="auto"/>
            </w:tcBorders>
            <w:tcMar>
              <w:left w:w="108" w:type="dxa"/>
              <w:right w:w="108" w:type="dxa"/>
            </w:tcMar>
          </w:tcPr>
          <w:p w14:paraId="004B96C1" w14:textId="312522E1" w:rsidR="00B36A87" w:rsidRPr="004C43F1" w:rsidRDefault="00EA34F1" w:rsidP="00AD3D96">
            <w:pPr>
              <w:spacing w:after="0"/>
              <w:rPr>
                <w:rFonts w:ascii="Aptos" w:eastAsia="Aptos" w:hAnsi="Aptos" w:cs="Aptos"/>
                <w:noProof/>
                <w:sz w:val="20"/>
                <w:szCs w:val="20"/>
                <w:lang w:val="en-IE"/>
              </w:rPr>
            </w:pPr>
            <w:r w:rsidRPr="004C43F1">
              <w:rPr>
                <w:rFonts w:ascii="Aptos" w:eastAsia="Aptos" w:hAnsi="Aptos" w:cs="Aptos"/>
                <w:noProof/>
                <w:sz w:val="20"/>
                <w:szCs w:val="20"/>
                <w:lang w:val="en-IE"/>
              </w:rPr>
              <w:t>+</w:t>
            </w:r>
          </w:p>
        </w:tc>
        <w:tc>
          <w:tcPr>
            <w:tcW w:w="2839" w:type="dxa"/>
            <w:tcBorders>
              <w:top w:val="single" w:sz="8" w:space="0" w:color="auto"/>
              <w:left w:val="single" w:sz="8" w:space="0" w:color="auto"/>
              <w:bottom w:val="single" w:sz="4" w:space="0" w:color="auto"/>
              <w:right w:val="single" w:sz="8" w:space="0" w:color="auto"/>
            </w:tcBorders>
            <w:tcMar>
              <w:left w:w="108" w:type="dxa"/>
              <w:right w:w="108" w:type="dxa"/>
            </w:tcMar>
          </w:tcPr>
          <w:p w14:paraId="6EE3271A" w14:textId="7C94EA85" w:rsidR="00B36A87" w:rsidRPr="004C43F1" w:rsidRDefault="00EA34F1" w:rsidP="00F53E4A">
            <w:pPr>
              <w:rPr>
                <w:rFonts w:ascii="Aptos" w:eastAsia="Aptos" w:hAnsi="Aptos" w:cs="Aptos"/>
                <w:noProof/>
                <w:sz w:val="20"/>
                <w:szCs w:val="20"/>
                <w:lang w:val="en-IE"/>
              </w:rPr>
            </w:pPr>
            <w:r w:rsidRPr="004C43F1">
              <w:rPr>
                <w:rFonts w:ascii="Aptos" w:eastAsia="Aptos" w:hAnsi="Aptos" w:cs="Aptos"/>
                <w:noProof/>
                <w:sz w:val="20"/>
                <w:szCs w:val="20"/>
                <w:lang w:val="en-IE"/>
              </w:rPr>
              <w:t>++</w:t>
            </w:r>
          </w:p>
        </w:tc>
      </w:tr>
      <w:tr w:rsidR="00B36A87" w14:paraId="01EAF934" w14:textId="77777777" w:rsidTr="51E02097">
        <w:trPr>
          <w:trHeight w:val="4170"/>
          <w:jc w:val="center"/>
        </w:trPr>
        <w:tc>
          <w:tcPr>
            <w:tcW w:w="2117" w:type="dxa"/>
            <w:vMerge/>
            <w:tcMar>
              <w:left w:w="108" w:type="dxa"/>
              <w:right w:w="108" w:type="dxa"/>
            </w:tcMar>
            <w:vAlign w:val="center"/>
          </w:tcPr>
          <w:p w14:paraId="0C33DCD8" w14:textId="77777777" w:rsidR="00B36A87" w:rsidRDefault="00B36A87" w:rsidP="00603157">
            <w:pPr>
              <w:spacing w:after="0"/>
              <w:rPr>
                <w:rFonts w:ascii="Aptos" w:eastAsia="Aptos" w:hAnsi="Aptos" w:cs="Aptos"/>
                <w:b/>
                <w:noProof/>
                <w:sz w:val="20"/>
                <w:szCs w:val="20"/>
                <w:lang w:val="en-IE"/>
              </w:rPr>
            </w:pPr>
          </w:p>
        </w:tc>
        <w:tc>
          <w:tcPr>
            <w:tcW w:w="2838" w:type="dxa"/>
            <w:tcBorders>
              <w:top w:val="single" w:sz="4" w:space="0" w:color="auto"/>
              <w:left w:val="single" w:sz="8" w:space="0" w:color="auto"/>
              <w:bottom w:val="single" w:sz="8" w:space="0" w:color="auto"/>
              <w:right w:val="single" w:sz="8" w:space="0" w:color="auto"/>
            </w:tcBorders>
            <w:tcMar>
              <w:left w:w="108" w:type="dxa"/>
              <w:right w:w="108" w:type="dxa"/>
            </w:tcMar>
          </w:tcPr>
          <w:p w14:paraId="02466995" w14:textId="77777777" w:rsidR="00772D24" w:rsidRDefault="00B36A87" w:rsidP="00B36A87">
            <w:pPr>
              <w:spacing w:after="0"/>
              <w:rPr>
                <w:rFonts w:ascii="Aptos" w:eastAsia="Aptos" w:hAnsi="Aptos" w:cs="Aptos"/>
                <w:noProof/>
                <w:sz w:val="16"/>
                <w:szCs w:val="16"/>
                <w:lang w:val="en-IE"/>
              </w:rPr>
            </w:pPr>
            <w:r>
              <w:rPr>
                <w:rFonts w:ascii="Aptos" w:eastAsia="Aptos" w:hAnsi="Aptos" w:cs="Aptos"/>
                <w:noProof/>
                <w:sz w:val="16"/>
                <w:szCs w:val="16"/>
                <w:lang w:val="en-IE"/>
              </w:rPr>
              <w:t>- The cost to prepare the proposal would not decrease relative to the baseline scenario</w:t>
            </w:r>
            <w:r w:rsidR="00D6605A">
              <w:rPr>
                <w:rFonts w:ascii="Aptos" w:eastAsia="Aptos" w:hAnsi="Aptos" w:cs="Aptos"/>
                <w:noProof/>
                <w:sz w:val="16"/>
                <w:szCs w:val="16"/>
                <w:lang w:val="en-IE"/>
              </w:rPr>
              <w:t>, i.e: f</w:t>
            </w:r>
            <w:r w:rsidR="00AA63B4" w:rsidRPr="00D47F28">
              <w:rPr>
                <w:rFonts w:ascii="Aptos" w:eastAsia="Aptos" w:hAnsi="Aptos" w:cs="Aptos"/>
                <w:noProof/>
                <w:sz w:val="16"/>
                <w:szCs w:val="16"/>
                <w:lang w:val="en-IE"/>
              </w:rPr>
              <w:t xml:space="preserve">or applicants, the average cost of a proposal </w:t>
            </w:r>
            <w:r w:rsidR="00D6605A">
              <w:rPr>
                <w:rFonts w:ascii="Aptos" w:eastAsia="Aptos" w:hAnsi="Aptos" w:cs="Aptos"/>
                <w:noProof/>
                <w:sz w:val="16"/>
                <w:szCs w:val="16"/>
                <w:lang w:val="en-IE"/>
              </w:rPr>
              <w:t>is likely to remain</w:t>
            </w:r>
            <w:r w:rsidR="00AA63B4" w:rsidRPr="00D47F28">
              <w:rPr>
                <w:rFonts w:ascii="Aptos" w:eastAsia="Aptos" w:hAnsi="Aptos" w:cs="Aptos"/>
                <w:noProof/>
                <w:sz w:val="16"/>
                <w:szCs w:val="16"/>
                <w:lang w:val="en-IE"/>
              </w:rPr>
              <w:t xml:space="preserve"> between EUR 5000 and EUR 32,000.</w:t>
            </w:r>
          </w:p>
          <w:p w14:paraId="25F5A292" w14:textId="77777777" w:rsidR="00BE1F66" w:rsidRDefault="000F4A76" w:rsidP="00B36A87">
            <w:pPr>
              <w:spacing w:after="0"/>
              <w:rPr>
                <w:rFonts w:ascii="Aptos" w:eastAsia="Aptos" w:hAnsi="Aptos" w:cs="Aptos"/>
                <w:noProof/>
                <w:sz w:val="16"/>
                <w:szCs w:val="16"/>
                <w:lang w:val="en-IE"/>
              </w:rPr>
            </w:pPr>
            <w:r>
              <w:rPr>
                <w:rFonts w:ascii="Aptos" w:eastAsia="Aptos" w:hAnsi="Aptos" w:cs="Aptos"/>
                <w:noProof/>
                <w:sz w:val="16"/>
                <w:szCs w:val="16"/>
                <w:lang w:val="en-IE"/>
              </w:rPr>
              <w:t xml:space="preserve">- </w:t>
            </w:r>
            <w:r w:rsidR="00AA63B4" w:rsidRPr="00D47F28">
              <w:rPr>
                <w:rFonts w:ascii="Aptos" w:eastAsia="Aptos" w:hAnsi="Aptos" w:cs="Aptos"/>
                <w:noProof/>
                <w:sz w:val="16"/>
                <w:szCs w:val="16"/>
                <w:lang w:val="en-IE"/>
              </w:rPr>
              <w:t xml:space="preserve">The time-to-inform </w:t>
            </w:r>
            <w:r>
              <w:rPr>
                <w:rFonts w:ascii="Aptos" w:eastAsia="Aptos" w:hAnsi="Aptos" w:cs="Aptos"/>
                <w:noProof/>
                <w:sz w:val="16"/>
                <w:szCs w:val="16"/>
                <w:lang w:val="en-IE"/>
              </w:rPr>
              <w:t xml:space="preserve">is likely to remain </w:t>
            </w:r>
            <w:r w:rsidR="00AA63B4" w:rsidRPr="00D47F28">
              <w:rPr>
                <w:rFonts w:ascii="Aptos" w:eastAsia="Aptos" w:hAnsi="Aptos" w:cs="Aptos"/>
                <w:noProof/>
                <w:sz w:val="16"/>
                <w:szCs w:val="16"/>
                <w:lang w:val="en-IE"/>
              </w:rPr>
              <w:t xml:space="preserve"> between 86 and 130 days, while time-to-grant </w:t>
            </w:r>
            <w:r w:rsidR="00630B96">
              <w:rPr>
                <w:rFonts w:ascii="Aptos" w:eastAsia="Aptos" w:hAnsi="Aptos" w:cs="Aptos"/>
                <w:noProof/>
                <w:sz w:val="16"/>
                <w:szCs w:val="16"/>
                <w:lang w:val="en-IE"/>
              </w:rPr>
              <w:t xml:space="preserve">is expected to </w:t>
            </w:r>
            <w:r w:rsidR="00400E62">
              <w:rPr>
                <w:rFonts w:ascii="Aptos" w:eastAsia="Aptos" w:hAnsi="Aptos" w:cs="Aptos"/>
                <w:noProof/>
                <w:sz w:val="16"/>
                <w:szCs w:val="16"/>
                <w:lang w:val="en-IE"/>
              </w:rPr>
              <w:t xml:space="preserve">stay </w:t>
            </w:r>
            <w:r w:rsidR="00AA63B4" w:rsidRPr="00D47F28">
              <w:rPr>
                <w:rFonts w:ascii="Aptos" w:eastAsia="Aptos" w:hAnsi="Aptos" w:cs="Aptos"/>
                <w:noProof/>
                <w:sz w:val="16"/>
                <w:szCs w:val="16"/>
                <w:lang w:val="en-IE"/>
              </w:rPr>
              <w:t>as high as 313 days (240 days, on average), which translates not only into high administrative but also high opportunity costs for applicants</w:t>
            </w:r>
            <w:r w:rsidR="00572E73">
              <w:rPr>
                <w:rFonts w:ascii="Aptos" w:eastAsia="Aptos" w:hAnsi="Aptos" w:cs="Aptos"/>
                <w:noProof/>
                <w:sz w:val="16"/>
                <w:szCs w:val="16"/>
                <w:lang w:val="en-IE"/>
              </w:rPr>
              <w:t xml:space="preserve">. </w:t>
            </w:r>
          </w:p>
          <w:p w14:paraId="7389F5B4" w14:textId="77777777" w:rsidR="008F0983" w:rsidRDefault="008F0983" w:rsidP="00B36A87">
            <w:pPr>
              <w:spacing w:after="0"/>
              <w:rPr>
                <w:rFonts w:ascii="Aptos" w:eastAsia="Aptos" w:hAnsi="Aptos" w:cs="Aptos"/>
                <w:noProof/>
                <w:sz w:val="16"/>
                <w:szCs w:val="16"/>
                <w:lang w:val="en-IE"/>
              </w:rPr>
            </w:pPr>
          </w:p>
          <w:p w14:paraId="3CABF507" w14:textId="3244D335" w:rsidR="00AA63B4" w:rsidRDefault="00BE1F66" w:rsidP="00B36A87">
            <w:pPr>
              <w:spacing w:after="0"/>
              <w:rPr>
                <w:rFonts w:ascii="Aptos" w:eastAsia="Aptos" w:hAnsi="Aptos" w:cs="Aptos"/>
                <w:noProof/>
                <w:sz w:val="16"/>
                <w:szCs w:val="16"/>
                <w:lang w:val="en-IE"/>
              </w:rPr>
            </w:pPr>
            <w:r>
              <w:rPr>
                <w:rFonts w:ascii="Aptos" w:eastAsia="Aptos" w:hAnsi="Aptos" w:cs="Aptos"/>
                <w:noProof/>
                <w:sz w:val="16"/>
                <w:szCs w:val="16"/>
                <w:lang w:val="en-IE"/>
              </w:rPr>
              <w:t>+ No adjustment costs in getting accustomed to new procedures.</w:t>
            </w:r>
          </w:p>
        </w:tc>
        <w:tc>
          <w:tcPr>
            <w:tcW w:w="2838" w:type="dxa"/>
            <w:tcBorders>
              <w:top w:val="single" w:sz="4" w:space="0" w:color="auto"/>
              <w:left w:val="single" w:sz="8" w:space="0" w:color="auto"/>
              <w:bottom w:val="single" w:sz="8" w:space="0" w:color="auto"/>
              <w:right w:val="single" w:sz="8" w:space="0" w:color="auto"/>
            </w:tcBorders>
            <w:tcMar>
              <w:left w:w="108" w:type="dxa"/>
              <w:right w:w="108" w:type="dxa"/>
            </w:tcMar>
          </w:tcPr>
          <w:p w14:paraId="39CAEE78" w14:textId="26C3E692" w:rsidR="00B36A87" w:rsidRDefault="00B36A87" w:rsidP="00B36A87">
            <w:pPr>
              <w:spacing w:after="0"/>
              <w:rPr>
                <w:rFonts w:ascii="Aptos" w:eastAsia="Aptos" w:hAnsi="Aptos" w:cs="Aptos"/>
                <w:noProof/>
                <w:sz w:val="16"/>
                <w:szCs w:val="16"/>
                <w:lang w:val="en-IE"/>
              </w:rPr>
            </w:pPr>
            <w:r>
              <w:rPr>
                <w:rFonts w:ascii="Aptos" w:eastAsia="Aptos" w:hAnsi="Aptos" w:cs="Aptos"/>
                <w:noProof/>
                <w:sz w:val="16"/>
                <w:szCs w:val="16"/>
                <w:lang w:val="en-IE"/>
              </w:rPr>
              <w:t xml:space="preserve"> + The cost to prepare the proposal would decrease by 5%, lowering the proposal preparation cost to between EUR 4 750 and EUR 30 400</w:t>
            </w:r>
            <w:r w:rsidRPr="36B032E4">
              <w:rPr>
                <w:rFonts w:ascii="Aptos" w:eastAsia="Aptos" w:hAnsi="Aptos" w:cs="Aptos"/>
                <w:noProof/>
                <w:sz w:val="16"/>
                <w:szCs w:val="16"/>
                <w:lang w:val="en-IE"/>
              </w:rPr>
              <w:t>.</w:t>
            </w:r>
          </w:p>
          <w:p w14:paraId="6DA3626D" w14:textId="77777777" w:rsidR="00103793" w:rsidRDefault="00103793" w:rsidP="00B36A87">
            <w:pPr>
              <w:spacing w:after="0"/>
              <w:rPr>
                <w:rFonts w:ascii="Aptos" w:eastAsia="Aptos" w:hAnsi="Aptos" w:cs="Aptos"/>
                <w:noProof/>
                <w:sz w:val="16"/>
                <w:szCs w:val="16"/>
                <w:lang w:val="en-IE"/>
              </w:rPr>
            </w:pPr>
          </w:p>
          <w:p w14:paraId="044057CD" w14:textId="1A1AE68C" w:rsidR="00103793" w:rsidRPr="00D47F28" w:rsidRDefault="008211CD" w:rsidP="00103793">
            <w:pPr>
              <w:pStyle w:val="BodyText1"/>
              <w:rPr>
                <w:rFonts w:ascii="Aptos" w:eastAsia="Aptos" w:hAnsi="Aptos" w:cs="Aptos"/>
                <w:sz w:val="16"/>
                <w:szCs w:val="16"/>
                <w:lang w:val="en-IE"/>
              </w:rPr>
            </w:pPr>
            <w:r>
              <w:rPr>
                <w:rFonts w:ascii="Aptos" w:eastAsia="Aptos" w:hAnsi="Aptos" w:cs="Aptos"/>
                <w:sz w:val="16"/>
                <w:szCs w:val="16"/>
                <w:lang w:val="en-IE"/>
              </w:rPr>
              <w:t>+ T</w:t>
            </w:r>
            <w:r w:rsidR="00103793" w:rsidRPr="00D47F28">
              <w:rPr>
                <w:rFonts w:ascii="Aptos" w:eastAsia="Aptos" w:hAnsi="Aptos" w:cs="Aptos"/>
                <w:sz w:val="16"/>
                <w:szCs w:val="16"/>
                <w:lang w:val="en-IE"/>
              </w:rPr>
              <w:t>ime-to-inform and the overall time-to-grant expected to be reduced by 5-10</w:t>
            </w:r>
            <w:r w:rsidR="00373787">
              <w:rPr>
                <w:rFonts w:ascii="Aptos" w:eastAsia="Aptos" w:hAnsi="Aptos" w:cs="Aptos"/>
                <w:sz w:val="16"/>
                <w:szCs w:val="16"/>
              </w:rPr>
              <w:t xml:space="preserve"> </w:t>
            </w:r>
            <w:r w:rsidR="00103793" w:rsidRPr="00D47F28">
              <w:rPr>
                <w:rFonts w:ascii="Aptos" w:eastAsia="Aptos" w:hAnsi="Aptos" w:cs="Aptos"/>
                <w:sz w:val="16"/>
                <w:szCs w:val="16"/>
                <w:lang w:val="en-IE"/>
              </w:rPr>
              <w:t xml:space="preserve">for applicants </w:t>
            </w:r>
          </w:p>
          <w:p w14:paraId="667F1B1B" w14:textId="77777777" w:rsidR="008F0983" w:rsidRDefault="008F0983" w:rsidP="00103793">
            <w:pPr>
              <w:spacing w:after="0"/>
              <w:rPr>
                <w:rFonts w:ascii="Aptos" w:eastAsia="Aptos" w:hAnsi="Aptos" w:cs="Aptos"/>
                <w:noProof/>
                <w:sz w:val="16"/>
                <w:szCs w:val="16"/>
                <w:lang w:val="en-IE"/>
              </w:rPr>
            </w:pPr>
          </w:p>
          <w:p w14:paraId="77BA9F93" w14:textId="77777777" w:rsidR="008F0983" w:rsidRDefault="008F0983" w:rsidP="00103793">
            <w:pPr>
              <w:spacing w:after="0"/>
              <w:rPr>
                <w:rFonts w:ascii="Aptos" w:eastAsia="Aptos" w:hAnsi="Aptos" w:cs="Aptos"/>
                <w:noProof/>
                <w:sz w:val="16"/>
                <w:szCs w:val="16"/>
                <w:lang w:val="en-IE"/>
              </w:rPr>
            </w:pPr>
          </w:p>
          <w:p w14:paraId="5AE67760" w14:textId="77777777" w:rsidR="008F0983" w:rsidRDefault="008F0983" w:rsidP="00103793">
            <w:pPr>
              <w:spacing w:after="0"/>
              <w:rPr>
                <w:rFonts w:ascii="Aptos" w:eastAsia="Aptos" w:hAnsi="Aptos" w:cs="Aptos"/>
                <w:noProof/>
                <w:sz w:val="16"/>
                <w:szCs w:val="16"/>
                <w:lang w:val="en-IE"/>
              </w:rPr>
            </w:pPr>
          </w:p>
          <w:p w14:paraId="2BE3EDFA" w14:textId="6F7FE753" w:rsidR="00B36A87" w:rsidRDefault="00103793" w:rsidP="00603157">
            <w:pPr>
              <w:spacing w:after="0"/>
              <w:rPr>
                <w:rFonts w:ascii="Aptos" w:eastAsia="Aptos" w:hAnsi="Aptos" w:cs="Aptos"/>
                <w:noProof/>
                <w:sz w:val="16"/>
                <w:szCs w:val="16"/>
                <w:lang w:val="en-IE"/>
              </w:rPr>
            </w:pPr>
            <w:r>
              <w:rPr>
                <w:rFonts w:ascii="Aptos" w:eastAsia="Aptos" w:hAnsi="Aptos" w:cs="Aptos"/>
                <w:noProof/>
                <w:sz w:val="16"/>
                <w:szCs w:val="16"/>
                <w:lang w:val="en-IE"/>
              </w:rPr>
              <w:t>+</w:t>
            </w:r>
            <w:r w:rsidR="00F8452E">
              <w:rPr>
                <w:rFonts w:ascii="Aptos" w:eastAsia="Aptos" w:hAnsi="Aptos" w:cs="Aptos"/>
                <w:noProof/>
                <w:sz w:val="16"/>
                <w:szCs w:val="16"/>
                <w:lang w:val="en-IE"/>
              </w:rPr>
              <w:t>/-</w:t>
            </w:r>
            <w:r w:rsidRPr="00D47F28">
              <w:rPr>
                <w:rFonts w:ascii="Aptos" w:eastAsia="Aptos" w:hAnsi="Aptos" w:cs="Aptos"/>
                <w:noProof/>
                <w:sz w:val="16"/>
                <w:szCs w:val="16"/>
                <w:lang w:val="en-IE"/>
              </w:rPr>
              <w:t>The adjustment costs for applicants and beneficiaries under this option would be moderate.</w:t>
            </w:r>
          </w:p>
        </w:tc>
        <w:tc>
          <w:tcPr>
            <w:tcW w:w="2839" w:type="dxa"/>
            <w:tcBorders>
              <w:top w:val="single" w:sz="4" w:space="0" w:color="auto"/>
              <w:left w:val="single" w:sz="8" w:space="0" w:color="auto"/>
              <w:bottom w:val="single" w:sz="8" w:space="0" w:color="auto"/>
              <w:right w:val="single" w:sz="8" w:space="0" w:color="auto"/>
            </w:tcBorders>
            <w:tcMar>
              <w:left w:w="108" w:type="dxa"/>
              <w:right w:w="108" w:type="dxa"/>
            </w:tcMar>
          </w:tcPr>
          <w:p w14:paraId="463D26A7" w14:textId="46D20CB5" w:rsidR="00BE1F66" w:rsidRDefault="00B36A87" w:rsidP="00BE1F66">
            <w:pPr>
              <w:rPr>
                <w:rFonts w:ascii="Aptos" w:eastAsia="Aptos" w:hAnsi="Aptos" w:cs="Aptos"/>
                <w:noProof/>
                <w:sz w:val="16"/>
                <w:szCs w:val="16"/>
                <w:lang w:val="en-IE"/>
              </w:rPr>
            </w:pPr>
            <w:r>
              <w:rPr>
                <w:rFonts w:ascii="Aptos" w:eastAsia="Aptos" w:hAnsi="Aptos" w:cs="Aptos"/>
                <w:noProof/>
                <w:sz w:val="16"/>
                <w:szCs w:val="16"/>
                <w:lang w:val="en-IE"/>
              </w:rPr>
              <w:t xml:space="preserve"> </w:t>
            </w:r>
            <w:r w:rsidR="00BE1F66">
              <w:rPr>
                <w:rFonts w:ascii="Aptos" w:eastAsia="Aptos" w:hAnsi="Aptos" w:cs="Aptos"/>
                <w:noProof/>
                <w:sz w:val="16"/>
                <w:szCs w:val="16"/>
                <w:lang w:val="en-IE"/>
              </w:rPr>
              <w:t>+ The costs to prepare the proposal are expected to decrease by 10% compared to the baseline scenario, which would translate into a range of EUR 4 500 and 28 800 per proposal</w:t>
            </w:r>
            <w:r w:rsidR="00BE1F66" w:rsidRPr="36B032E4">
              <w:rPr>
                <w:rFonts w:ascii="Aptos" w:eastAsia="Aptos" w:hAnsi="Aptos" w:cs="Aptos"/>
                <w:noProof/>
                <w:sz w:val="16"/>
                <w:szCs w:val="16"/>
                <w:lang w:val="en-IE"/>
              </w:rPr>
              <w:t>.</w:t>
            </w:r>
            <w:r w:rsidR="00BE1F66">
              <w:rPr>
                <w:rFonts w:ascii="Aptos" w:eastAsia="Aptos" w:hAnsi="Aptos" w:cs="Aptos"/>
                <w:noProof/>
                <w:sz w:val="16"/>
                <w:szCs w:val="16"/>
                <w:lang w:val="en-IE"/>
              </w:rPr>
              <w:t xml:space="preserve"> </w:t>
            </w:r>
          </w:p>
          <w:p w14:paraId="6E7C34BB" w14:textId="7FBE90FE" w:rsidR="00241360" w:rsidRDefault="00241360" w:rsidP="00952723">
            <w:pPr>
              <w:rPr>
                <w:rFonts w:ascii="Aptos" w:eastAsia="Aptos" w:hAnsi="Aptos" w:cs="Aptos"/>
                <w:noProof/>
                <w:sz w:val="16"/>
                <w:szCs w:val="16"/>
                <w:lang w:val="en-IE"/>
              </w:rPr>
            </w:pPr>
            <w:r>
              <w:rPr>
                <w:rFonts w:ascii="Aptos" w:eastAsia="Aptos" w:hAnsi="Aptos" w:cs="Aptos"/>
                <w:noProof/>
                <w:sz w:val="16"/>
                <w:szCs w:val="16"/>
                <w:lang w:val="en-IE"/>
              </w:rPr>
              <w:t xml:space="preserve">+ </w:t>
            </w:r>
            <w:r w:rsidR="00952723" w:rsidRPr="00D47F28">
              <w:rPr>
                <w:rFonts w:ascii="Aptos" w:eastAsia="Aptos" w:hAnsi="Aptos" w:cs="Aptos"/>
                <w:noProof/>
                <w:sz w:val="16"/>
                <w:szCs w:val="16"/>
                <w:lang w:val="en-IE"/>
              </w:rPr>
              <w:t>Time-to-inform and the time-to-grant i</w:t>
            </w:r>
            <w:r>
              <w:rPr>
                <w:rFonts w:ascii="Aptos" w:eastAsia="Aptos" w:hAnsi="Aptos" w:cs="Aptos"/>
                <w:noProof/>
                <w:sz w:val="16"/>
                <w:szCs w:val="16"/>
                <w:lang w:val="en-IE"/>
              </w:rPr>
              <w:t xml:space="preserve">s </w:t>
            </w:r>
            <w:r w:rsidR="00952723" w:rsidRPr="00D47F28">
              <w:rPr>
                <w:rFonts w:ascii="Aptos" w:eastAsia="Aptos" w:hAnsi="Aptos" w:cs="Aptos"/>
                <w:noProof/>
                <w:sz w:val="16"/>
                <w:szCs w:val="16"/>
                <w:lang w:val="en-IE"/>
              </w:rPr>
              <w:t>expected to be reduced by up to 10-15 days</w:t>
            </w:r>
            <w:r>
              <w:rPr>
                <w:rFonts w:ascii="Aptos" w:eastAsia="Aptos" w:hAnsi="Aptos" w:cs="Aptos"/>
                <w:noProof/>
                <w:sz w:val="16"/>
                <w:szCs w:val="16"/>
              </w:rPr>
              <w:t xml:space="preserve"> </w:t>
            </w:r>
            <w:r w:rsidR="00952723" w:rsidRPr="00D47F28">
              <w:rPr>
                <w:rFonts w:ascii="Aptos" w:eastAsia="Aptos" w:hAnsi="Aptos" w:cs="Aptos"/>
                <w:noProof/>
                <w:sz w:val="16"/>
                <w:szCs w:val="16"/>
                <w:lang w:val="en-IE"/>
              </w:rPr>
              <w:t>for applicant</w:t>
            </w:r>
            <w:r>
              <w:rPr>
                <w:rFonts w:ascii="Aptos" w:eastAsia="Aptos" w:hAnsi="Aptos" w:cs="Aptos"/>
                <w:noProof/>
                <w:sz w:val="16"/>
                <w:szCs w:val="16"/>
                <w:lang w:val="en-IE"/>
              </w:rPr>
              <w:t>s</w:t>
            </w:r>
          </w:p>
          <w:p w14:paraId="66469948" w14:textId="171F995D" w:rsidR="008F0983" w:rsidRDefault="008F0983" w:rsidP="001353EB">
            <w:pPr>
              <w:rPr>
                <w:rFonts w:ascii="Aptos" w:eastAsia="Aptos" w:hAnsi="Aptos" w:cs="Aptos"/>
                <w:noProof/>
                <w:sz w:val="16"/>
                <w:szCs w:val="16"/>
                <w:lang w:val="en-IE"/>
              </w:rPr>
            </w:pPr>
          </w:p>
          <w:p w14:paraId="622D60E4" w14:textId="7783E824" w:rsidR="00B36A87" w:rsidRPr="00D47F28" w:rsidRDefault="00B2127A" w:rsidP="001353EB">
            <w:pPr>
              <w:rPr>
                <w:rFonts w:ascii="Aptos" w:eastAsia="Aptos" w:hAnsi="Aptos" w:cs="Aptos"/>
                <w:noProof/>
                <w:sz w:val="16"/>
                <w:szCs w:val="16"/>
                <w:lang w:val="en-IE"/>
              </w:rPr>
            </w:pPr>
            <w:r>
              <w:rPr>
                <w:rFonts w:ascii="Aptos" w:eastAsia="Aptos" w:hAnsi="Aptos" w:cs="Aptos"/>
                <w:noProof/>
                <w:sz w:val="16"/>
                <w:szCs w:val="16"/>
                <w:lang w:val="en-IE"/>
              </w:rPr>
              <w:t>-</w:t>
            </w:r>
            <w:r w:rsidR="00B36A87" w:rsidRPr="00D47F28">
              <w:rPr>
                <w:rFonts w:ascii="Aptos" w:eastAsia="Aptos" w:hAnsi="Aptos" w:cs="Aptos"/>
                <w:noProof/>
                <w:sz w:val="16"/>
                <w:szCs w:val="16"/>
                <w:lang w:val="en-IE"/>
              </w:rPr>
              <w:t>Adjustment costs would be high for applicants and beneficiaries and would require a significant adaptation by organisations accustomed to the current structure. However, adjustment costs are one-off costs and the benefits of simpler application are expected to outsize any adjustment costs.</w:t>
            </w:r>
          </w:p>
        </w:tc>
      </w:tr>
      <w:tr w:rsidR="05C4514A" w14:paraId="054D5098" w14:textId="77777777" w:rsidTr="51E02097">
        <w:trPr>
          <w:trHeight w:val="300"/>
          <w:jc w:val="center"/>
        </w:trPr>
        <w:tc>
          <w:tcPr>
            <w:tcW w:w="2117" w:type="dxa"/>
            <w:tcBorders>
              <w:top w:val="single" w:sz="8" w:space="0" w:color="auto"/>
              <w:left w:val="single" w:sz="8" w:space="0" w:color="auto"/>
              <w:right w:val="single" w:sz="8" w:space="0" w:color="auto"/>
            </w:tcBorders>
            <w:tcMar>
              <w:left w:w="108" w:type="dxa"/>
              <w:right w:w="108" w:type="dxa"/>
            </w:tcMar>
            <w:vAlign w:val="center"/>
          </w:tcPr>
          <w:p w14:paraId="5A2E5328" w14:textId="011125E9" w:rsidR="576E16AD" w:rsidRDefault="576E16AD" w:rsidP="05C4514A">
            <w:pPr>
              <w:rPr>
                <w:rFonts w:ascii="Aptos" w:eastAsia="Aptos" w:hAnsi="Aptos" w:cs="Aptos"/>
                <w:b/>
                <w:bCs/>
                <w:noProof/>
                <w:sz w:val="20"/>
                <w:szCs w:val="20"/>
                <w:lang w:val="en-IE"/>
              </w:rPr>
            </w:pPr>
            <w:r w:rsidRPr="05C4514A">
              <w:rPr>
                <w:rFonts w:ascii="Aptos" w:eastAsia="Aptos" w:hAnsi="Aptos" w:cs="Aptos"/>
                <w:b/>
                <w:bCs/>
                <w:noProof/>
                <w:sz w:val="20"/>
                <w:szCs w:val="20"/>
                <w:lang w:val="en-IE"/>
              </w:rPr>
              <w:t>Possible unintended consequences</w:t>
            </w: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tcPr>
          <w:p w14:paraId="1CB52FDE" w14:textId="36B83EE6" w:rsidR="05C4514A" w:rsidRPr="00D47F28" w:rsidRDefault="05C4514A">
            <w:pPr>
              <w:rPr>
                <w:rFonts w:ascii="Aptos" w:eastAsia="Aptos" w:hAnsi="Aptos" w:cs="Aptos"/>
                <w:noProof/>
                <w:sz w:val="16"/>
                <w:szCs w:val="16"/>
              </w:rPr>
            </w:pPr>
            <w:r w:rsidRPr="00D47F28">
              <w:rPr>
                <w:rFonts w:ascii="Aptos" w:eastAsia="Aptos" w:hAnsi="Aptos" w:cs="Aptos"/>
                <w:noProof/>
                <w:sz w:val="16"/>
                <w:szCs w:val="16"/>
              </w:rPr>
              <w:t>No significant change compared to the status quo.</w:t>
            </w: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tcPr>
          <w:p w14:paraId="0F22EBA8" w14:textId="6E47B804" w:rsidR="0F0ECEC2" w:rsidRPr="00D47F28" w:rsidRDefault="0F0ECEC2">
            <w:pPr>
              <w:rPr>
                <w:rFonts w:ascii="Aptos" w:eastAsia="Aptos" w:hAnsi="Aptos" w:cs="Aptos"/>
                <w:noProof/>
                <w:sz w:val="16"/>
                <w:szCs w:val="16"/>
              </w:rPr>
            </w:pPr>
            <w:r w:rsidRPr="05C4514A">
              <w:rPr>
                <w:rFonts w:ascii="Aptos" w:eastAsia="Aptos" w:hAnsi="Aptos" w:cs="Aptos"/>
                <w:noProof/>
                <w:sz w:val="16"/>
                <w:szCs w:val="16"/>
              </w:rPr>
              <w:t xml:space="preserve">+/- </w:t>
            </w:r>
            <w:r w:rsidR="7CD8B3BC" w:rsidRPr="00D47F28">
              <w:rPr>
                <w:rFonts w:ascii="Aptos" w:eastAsia="Aptos" w:hAnsi="Aptos" w:cs="Aptos"/>
                <w:noProof/>
                <w:sz w:val="16"/>
                <w:szCs w:val="16"/>
              </w:rPr>
              <w:t>Consistency in definitions, tools and horizontal provisions would reduce application costs in general, but, if not well-conceived, may risk increasing application burdens for stakeholders currently benefitting from simplified application procedures.</w:t>
            </w:r>
          </w:p>
          <w:p w14:paraId="7ACCA42E" w14:textId="727B752B" w:rsidR="05C4514A" w:rsidRDefault="05C4514A" w:rsidP="05C4514A">
            <w:pPr>
              <w:rPr>
                <w:rFonts w:ascii="Aptos" w:eastAsia="Aptos" w:hAnsi="Aptos" w:cs="Aptos"/>
                <w:noProof/>
                <w:sz w:val="16"/>
                <w:szCs w:val="16"/>
                <w:lang w:val="en-IE"/>
              </w:rPr>
            </w:pPr>
          </w:p>
        </w:tc>
        <w:tc>
          <w:tcPr>
            <w:tcW w:w="2839" w:type="dxa"/>
            <w:tcBorders>
              <w:top w:val="single" w:sz="8" w:space="0" w:color="auto"/>
              <w:left w:val="single" w:sz="8" w:space="0" w:color="auto"/>
              <w:bottom w:val="single" w:sz="8" w:space="0" w:color="auto"/>
              <w:right w:val="single" w:sz="8" w:space="0" w:color="auto"/>
            </w:tcBorders>
            <w:tcMar>
              <w:left w:w="108" w:type="dxa"/>
              <w:right w:w="108" w:type="dxa"/>
            </w:tcMar>
          </w:tcPr>
          <w:p w14:paraId="180ECF91" w14:textId="204A4B92" w:rsidR="08C36428" w:rsidRPr="00D47F28" w:rsidRDefault="08C36428">
            <w:pPr>
              <w:rPr>
                <w:rFonts w:ascii="Aptos" w:eastAsia="Aptos" w:hAnsi="Aptos" w:cs="Aptos"/>
                <w:noProof/>
                <w:sz w:val="16"/>
                <w:szCs w:val="16"/>
              </w:rPr>
            </w:pPr>
            <w:r w:rsidRPr="05C4514A">
              <w:rPr>
                <w:rFonts w:ascii="Aptos" w:eastAsia="Aptos" w:hAnsi="Aptos" w:cs="Aptos"/>
                <w:noProof/>
                <w:sz w:val="16"/>
                <w:szCs w:val="16"/>
              </w:rPr>
              <w:t xml:space="preserve">+ </w:t>
            </w:r>
            <w:r w:rsidR="7CD8B3BC" w:rsidRPr="00D47F28">
              <w:rPr>
                <w:rFonts w:ascii="Aptos" w:eastAsia="Aptos" w:hAnsi="Aptos" w:cs="Aptos"/>
                <w:noProof/>
                <w:sz w:val="16"/>
                <w:szCs w:val="16"/>
              </w:rPr>
              <w:t xml:space="preserve">The improvement for applicants would be </w:t>
            </w:r>
            <w:r w:rsidR="00274169" w:rsidRPr="00274169">
              <w:rPr>
                <w:rFonts w:ascii="Aptos" w:eastAsia="Aptos" w:hAnsi="Aptos" w:cs="Aptos"/>
                <w:noProof/>
                <w:sz w:val="16"/>
                <w:szCs w:val="16"/>
              </w:rPr>
              <w:t>s</w:t>
            </w:r>
            <w:r w:rsidR="00274169" w:rsidRPr="05C4514A">
              <w:rPr>
                <w:rFonts w:ascii="Aptos" w:eastAsia="Aptos" w:hAnsi="Aptos" w:cs="Aptos"/>
                <w:noProof/>
                <w:sz w:val="16"/>
                <w:szCs w:val="16"/>
              </w:rPr>
              <w:t>ignificant</w:t>
            </w:r>
            <w:r w:rsidR="7CD8B3BC" w:rsidRPr="00D47F28">
              <w:rPr>
                <w:rFonts w:ascii="Aptos" w:eastAsia="Aptos" w:hAnsi="Aptos" w:cs="Aptos"/>
                <w:noProof/>
                <w:sz w:val="16"/>
                <w:szCs w:val="16"/>
              </w:rPr>
              <w:t xml:space="preserve"> in the situation where the new regulatory framework includes simplification measures exceeding those already on track to be applied under the baseline.</w:t>
            </w:r>
          </w:p>
          <w:p w14:paraId="6D3817BC" w14:textId="18B21A5D" w:rsidR="5E0F3A18" w:rsidRPr="00D47F28" w:rsidRDefault="5E0F3A18">
            <w:pPr>
              <w:rPr>
                <w:rFonts w:ascii="Aptos" w:eastAsia="Aptos" w:hAnsi="Aptos" w:cs="Aptos"/>
                <w:noProof/>
                <w:sz w:val="16"/>
                <w:szCs w:val="16"/>
                <w:lang w:val="en-US"/>
              </w:rPr>
            </w:pPr>
            <w:r w:rsidRPr="05C4514A">
              <w:rPr>
                <w:rFonts w:ascii="Aptos" w:eastAsia="Aptos" w:hAnsi="Aptos" w:cs="Aptos"/>
                <w:noProof/>
                <w:sz w:val="16"/>
                <w:szCs w:val="16"/>
                <w:lang w:val="en-US"/>
              </w:rPr>
              <w:t xml:space="preserve">+/- </w:t>
            </w:r>
            <w:r w:rsidR="7CD8B3BC" w:rsidRPr="00D47F28">
              <w:rPr>
                <w:rFonts w:ascii="Aptos" w:eastAsia="Aptos" w:hAnsi="Aptos" w:cs="Aptos"/>
                <w:noProof/>
                <w:sz w:val="16"/>
                <w:szCs w:val="16"/>
                <w:lang w:val="en-US"/>
              </w:rPr>
              <w:t>The initial reorganisation of management structures and administrative procedures may result in some delays in the first phases of implementation.</w:t>
            </w:r>
          </w:p>
        </w:tc>
      </w:tr>
      <w:tr w:rsidR="002F7490" w14:paraId="7DC58BEB" w14:textId="77777777" w:rsidTr="51E02097">
        <w:trPr>
          <w:trHeight w:val="326"/>
          <w:jc w:val="center"/>
        </w:trPr>
        <w:tc>
          <w:tcPr>
            <w:tcW w:w="10632" w:type="dxa"/>
            <w:gridSpan w:val="4"/>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7A16B3" w14:textId="0066180F" w:rsidR="002F7490" w:rsidRPr="0030098A" w:rsidRDefault="001051ED" w:rsidP="00603157">
            <w:pPr>
              <w:spacing w:after="0"/>
              <w:jc w:val="center"/>
              <w:rPr>
                <w:noProof/>
                <w:lang w:val="en-IE"/>
              </w:rPr>
            </w:pPr>
            <w:r>
              <w:rPr>
                <w:rFonts w:ascii="Aptos" w:eastAsia="Aptos" w:hAnsi="Aptos" w:cs="Aptos"/>
                <w:b/>
                <w:bCs/>
                <w:i/>
                <w:iCs/>
                <w:noProof/>
                <w:sz w:val="20"/>
                <w:szCs w:val="20"/>
                <w:lang w:val="en-IE"/>
              </w:rPr>
              <w:t>B</w:t>
            </w:r>
            <w:r w:rsidR="71616219" w:rsidRPr="58BF9D30">
              <w:rPr>
                <w:rFonts w:ascii="Aptos" w:eastAsia="Aptos" w:hAnsi="Aptos" w:cs="Aptos"/>
                <w:b/>
                <w:bCs/>
                <w:i/>
                <w:iCs/>
                <w:noProof/>
                <w:sz w:val="20"/>
                <w:szCs w:val="20"/>
                <w:lang w:val="en-IE"/>
              </w:rPr>
              <w:t>enefits</w:t>
            </w:r>
            <w:r w:rsidR="002F7490" w:rsidRPr="0030098A">
              <w:rPr>
                <w:rFonts w:ascii="Aptos" w:eastAsia="Aptos" w:hAnsi="Aptos" w:cs="Aptos"/>
                <w:b/>
                <w:bCs/>
                <w:i/>
                <w:iCs/>
                <w:noProof/>
                <w:sz w:val="20"/>
                <w:szCs w:val="20"/>
                <w:lang w:val="en-IE"/>
              </w:rPr>
              <w:t>/costs for the different beneficiaries</w:t>
            </w:r>
          </w:p>
        </w:tc>
      </w:tr>
      <w:tr w:rsidR="002F7490" w14:paraId="2E0C8C5F" w14:textId="77777777" w:rsidTr="51E02097">
        <w:trPr>
          <w:trHeight w:val="320"/>
          <w:jc w:val="center"/>
        </w:trPr>
        <w:tc>
          <w:tcPr>
            <w:tcW w:w="2117" w:type="dxa"/>
            <w:vMerge w:val="restart"/>
            <w:tcBorders>
              <w:top w:val="single" w:sz="8" w:space="0" w:color="auto"/>
              <w:left w:val="single" w:sz="8" w:space="0" w:color="auto"/>
              <w:right w:val="single" w:sz="8" w:space="0" w:color="auto"/>
            </w:tcBorders>
            <w:tcMar>
              <w:left w:w="108" w:type="dxa"/>
              <w:right w:w="108" w:type="dxa"/>
            </w:tcMar>
            <w:vAlign w:val="center"/>
          </w:tcPr>
          <w:p w14:paraId="1E95ADBC" w14:textId="158D1178" w:rsidR="002F7490" w:rsidRPr="0030098A" w:rsidRDefault="002F7490" w:rsidP="00603157">
            <w:pPr>
              <w:spacing w:after="0"/>
              <w:jc w:val="right"/>
              <w:rPr>
                <w:rFonts w:ascii="Aptos" w:eastAsia="Aptos" w:hAnsi="Aptos" w:cs="Aptos"/>
                <w:b/>
                <w:bCs/>
                <w:noProof/>
                <w:sz w:val="20"/>
                <w:szCs w:val="20"/>
                <w:lang w:val="en-IE"/>
              </w:rPr>
            </w:pPr>
            <w:r w:rsidRPr="47D36238">
              <w:rPr>
                <w:rFonts w:ascii="Aptos" w:eastAsia="Aptos" w:hAnsi="Aptos" w:cs="Aptos"/>
                <w:b/>
                <w:bCs/>
                <w:noProof/>
                <w:sz w:val="20"/>
                <w:szCs w:val="20"/>
                <w:lang w:val="en-IE"/>
              </w:rPr>
              <w:t xml:space="preserve">European companies, including SMEs </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6F36C668" w14:textId="2DF01057" w:rsidR="002F7490" w:rsidRPr="0030098A" w:rsidRDefault="002F7490" w:rsidP="00603157">
            <w:pPr>
              <w:spacing w:after="0"/>
              <w:jc w:val="center"/>
              <w:rPr>
                <w:noProof/>
                <w:lang w:val="en-IE"/>
              </w:rPr>
            </w:pPr>
            <w:r w:rsidRPr="0030098A">
              <w:rPr>
                <w:rFonts w:ascii="Aptos" w:eastAsia="Aptos" w:hAnsi="Aptos" w:cs="Aptos"/>
                <w:noProof/>
                <w:sz w:val="20"/>
                <w:szCs w:val="20"/>
                <w:lang w:val="en-IE"/>
              </w:rPr>
              <w:t xml:space="preserve"> </w:t>
            </w:r>
            <w:r w:rsidR="27FCBBE1" w:rsidRPr="58BF9D30">
              <w:rPr>
                <w:rFonts w:ascii="Aptos" w:eastAsia="Aptos" w:hAnsi="Aptos" w:cs="Aptos"/>
                <w:noProof/>
                <w:sz w:val="20"/>
                <w:szCs w:val="20"/>
                <w:lang w:val="en-IE"/>
              </w:rPr>
              <w:t>+</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23667E11" w14:textId="1A5906A9" w:rsidR="002F7490" w:rsidRPr="0030098A" w:rsidRDefault="002F7490" w:rsidP="00603157">
            <w:pPr>
              <w:spacing w:after="0"/>
              <w:jc w:val="center"/>
              <w:rPr>
                <w:noProof/>
                <w:lang w:val="en-IE"/>
              </w:rPr>
            </w:pPr>
            <w:r w:rsidRPr="0030098A">
              <w:rPr>
                <w:rFonts w:ascii="Aptos" w:eastAsia="Aptos" w:hAnsi="Aptos" w:cs="Aptos"/>
                <w:noProof/>
                <w:sz w:val="20"/>
                <w:szCs w:val="20"/>
                <w:lang w:val="en-IE"/>
              </w:rPr>
              <w:t xml:space="preserve"> </w:t>
            </w:r>
            <w:r w:rsidR="6A234925" w:rsidRPr="58BF9D30">
              <w:rPr>
                <w:rFonts w:ascii="Aptos" w:eastAsia="Aptos" w:hAnsi="Aptos" w:cs="Aptos"/>
                <w:noProof/>
                <w:sz w:val="20"/>
                <w:szCs w:val="20"/>
                <w:lang w:val="en-IE"/>
              </w:rPr>
              <w:t>++</w:t>
            </w:r>
          </w:p>
        </w:tc>
        <w:tc>
          <w:tcPr>
            <w:tcW w:w="2839"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2DFF1670" w14:textId="1FB617E4" w:rsidR="002F7490" w:rsidRPr="0030098A" w:rsidRDefault="002F7490" w:rsidP="00603157">
            <w:pPr>
              <w:spacing w:after="0"/>
              <w:jc w:val="center"/>
              <w:rPr>
                <w:noProof/>
                <w:lang w:val="en-IE"/>
              </w:rPr>
            </w:pPr>
            <w:r w:rsidRPr="0030098A">
              <w:rPr>
                <w:rFonts w:ascii="Aptos" w:eastAsia="Aptos" w:hAnsi="Aptos" w:cs="Aptos"/>
                <w:noProof/>
                <w:sz w:val="20"/>
                <w:szCs w:val="20"/>
                <w:lang w:val="en-IE"/>
              </w:rPr>
              <w:t xml:space="preserve"> </w:t>
            </w:r>
            <w:r w:rsidR="40D648A2" w:rsidRPr="58BF9D30">
              <w:rPr>
                <w:rFonts w:ascii="Aptos" w:eastAsia="Aptos" w:hAnsi="Aptos" w:cs="Aptos"/>
                <w:noProof/>
                <w:sz w:val="20"/>
                <w:szCs w:val="20"/>
                <w:lang w:val="en-IE"/>
              </w:rPr>
              <w:t>+++</w:t>
            </w:r>
          </w:p>
        </w:tc>
      </w:tr>
      <w:tr w:rsidR="002F7490" w14:paraId="70E50F89" w14:textId="77777777" w:rsidTr="51E02097">
        <w:trPr>
          <w:trHeight w:val="1760"/>
          <w:jc w:val="center"/>
        </w:trPr>
        <w:tc>
          <w:tcPr>
            <w:tcW w:w="2117" w:type="dxa"/>
            <w:vMerge/>
            <w:tcMar>
              <w:left w:w="108" w:type="dxa"/>
              <w:right w:w="108" w:type="dxa"/>
            </w:tcMar>
            <w:vAlign w:val="center"/>
          </w:tcPr>
          <w:p w14:paraId="3271EF81" w14:textId="77777777" w:rsidR="002F7490" w:rsidRPr="0030098A" w:rsidRDefault="002F7490" w:rsidP="00603157">
            <w:pPr>
              <w:spacing w:after="0"/>
              <w:jc w:val="right"/>
              <w:rPr>
                <w:rFonts w:ascii="Aptos" w:eastAsia="Aptos" w:hAnsi="Aptos" w:cs="Aptos"/>
                <w:b/>
                <w:noProof/>
                <w:sz w:val="20"/>
                <w:szCs w:val="20"/>
                <w:lang w:val="en-IE"/>
              </w:rPr>
            </w:pP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FDFD48" w14:textId="19DFEDA3" w:rsidR="002F7490" w:rsidRPr="0030098A" w:rsidRDefault="002F7490" w:rsidP="00603157">
            <w:pPr>
              <w:rPr>
                <w:rFonts w:ascii="Aptos" w:eastAsia="Aptos" w:hAnsi="Aptos" w:cs="Aptos"/>
                <w:noProof/>
                <w:sz w:val="16"/>
                <w:szCs w:val="16"/>
                <w:lang w:val="en-IE"/>
              </w:rPr>
            </w:pPr>
            <w:r w:rsidRPr="0030098A">
              <w:rPr>
                <w:rFonts w:ascii="Aptos" w:eastAsia="Aptos" w:hAnsi="Aptos" w:cs="Aptos"/>
                <w:noProof/>
                <w:sz w:val="16"/>
                <w:szCs w:val="16"/>
                <w:lang w:val="en-IE"/>
              </w:rPr>
              <w:t>+ familiar mechanisms to access funding</w:t>
            </w:r>
            <w:r w:rsidR="00DE5B4A">
              <w:rPr>
                <w:rFonts w:ascii="Aptos" w:eastAsia="Aptos" w:hAnsi="Aptos" w:cs="Aptos"/>
                <w:noProof/>
                <w:sz w:val="16"/>
                <w:szCs w:val="16"/>
                <w:lang w:val="en-IE"/>
              </w:rPr>
              <w:t xml:space="preserve"> for existing beneficiaries</w:t>
            </w:r>
            <w:r w:rsidR="5AAAE63D" w:rsidRPr="53D087A7">
              <w:rPr>
                <w:rFonts w:ascii="Aptos" w:eastAsia="Aptos" w:hAnsi="Aptos" w:cs="Aptos"/>
                <w:noProof/>
                <w:sz w:val="16"/>
                <w:szCs w:val="16"/>
                <w:lang w:val="en-IE"/>
              </w:rPr>
              <w:t>.</w:t>
            </w:r>
          </w:p>
          <w:p w14:paraId="45EA8FB1" w14:textId="429B063C" w:rsidR="002F7490" w:rsidRPr="0030098A" w:rsidRDefault="002F7490" w:rsidP="00603157">
            <w:pPr>
              <w:rPr>
                <w:rFonts w:ascii="Aptos" w:eastAsia="Aptos" w:hAnsi="Aptos" w:cs="Aptos"/>
                <w:noProof/>
                <w:sz w:val="16"/>
                <w:szCs w:val="16"/>
                <w:lang w:val="en-IE"/>
              </w:rPr>
            </w:pPr>
            <w:r w:rsidRPr="0030098A">
              <w:rPr>
                <w:rFonts w:ascii="Aptos" w:eastAsia="Aptos" w:hAnsi="Aptos" w:cs="Aptos"/>
                <w:noProof/>
                <w:sz w:val="16"/>
                <w:szCs w:val="16"/>
                <w:lang w:val="en-IE"/>
              </w:rPr>
              <w:t>- limit responsiveness to emerging needs</w:t>
            </w:r>
            <w:r w:rsidR="3A06EFFA" w:rsidRPr="53D087A7">
              <w:rPr>
                <w:rFonts w:ascii="Aptos" w:eastAsia="Aptos" w:hAnsi="Aptos" w:cs="Aptos"/>
                <w:noProof/>
                <w:sz w:val="16"/>
                <w:szCs w:val="16"/>
                <w:lang w:val="en-IE"/>
              </w:rPr>
              <w:t>.</w:t>
            </w:r>
          </w:p>
          <w:p w14:paraId="38D40F81" w14:textId="374C8D84" w:rsidR="002F7490" w:rsidRPr="0030098A" w:rsidRDefault="002F7490" w:rsidP="00603157">
            <w:pPr>
              <w:rPr>
                <w:rFonts w:ascii="Aptos" w:eastAsia="Aptos" w:hAnsi="Aptos" w:cs="Aptos"/>
                <w:noProof/>
                <w:sz w:val="16"/>
                <w:szCs w:val="16"/>
                <w:lang w:val="en-IE"/>
              </w:rPr>
            </w:pPr>
            <w:r w:rsidRPr="0030098A">
              <w:rPr>
                <w:rFonts w:ascii="Aptos" w:eastAsia="Aptos" w:hAnsi="Aptos" w:cs="Aptos"/>
                <w:noProof/>
                <w:sz w:val="16"/>
                <w:szCs w:val="16"/>
                <w:lang w:val="en-IE"/>
              </w:rPr>
              <w:t>- struggling with different rulebooks and application procedures across the different programmes</w:t>
            </w:r>
            <w:r w:rsidR="457FF8A5" w:rsidRPr="53D087A7">
              <w:rPr>
                <w:rFonts w:ascii="Aptos" w:eastAsia="Aptos" w:hAnsi="Aptos" w:cs="Aptos"/>
                <w:noProof/>
                <w:sz w:val="16"/>
                <w:szCs w:val="16"/>
                <w:lang w:val="en-IE"/>
              </w:rPr>
              <w:t>.</w:t>
            </w:r>
          </w:p>
          <w:p w14:paraId="143D6828" w14:textId="5A046905" w:rsidR="002F7490" w:rsidRPr="0030098A" w:rsidRDefault="002F7490" w:rsidP="00603157">
            <w:pPr>
              <w:rPr>
                <w:rFonts w:ascii="Aptos" w:eastAsia="Aptos" w:hAnsi="Aptos" w:cs="Aptos"/>
                <w:noProof/>
                <w:sz w:val="20"/>
                <w:szCs w:val="20"/>
                <w:lang w:val="en-IE"/>
              </w:rPr>
            </w:pP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D17BE2" w14:textId="301888E3" w:rsidR="002F7490" w:rsidRPr="0030098A" w:rsidRDefault="002F7490" w:rsidP="00603157">
            <w:pPr>
              <w:rPr>
                <w:rFonts w:ascii="Aptos" w:eastAsia="Aptos" w:hAnsi="Aptos" w:cs="Aptos"/>
                <w:noProof/>
                <w:sz w:val="16"/>
                <w:szCs w:val="16"/>
                <w:lang w:val="en-IE"/>
              </w:rPr>
            </w:pPr>
            <w:r w:rsidRPr="0030098A">
              <w:rPr>
                <w:rFonts w:ascii="Aptos" w:eastAsia="Aptos" w:hAnsi="Aptos" w:cs="Aptos"/>
                <w:noProof/>
                <w:sz w:val="16"/>
                <w:szCs w:val="16"/>
                <w:lang w:val="en-IE"/>
              </w:rPr>
              <w:t>+ easier access to funding, thanks to the alignment in the basic provisions of the individual programmes</w:t>
            </w:r>
            <w:r w:rsidR="66735BA9" w:rsidRPr="12B6D5AB">
              <w:rPr>
                <w:rFonts w:ascii="Aptos" w:eastAsia="Aptos" w:hAnsi="Aptos" w:cs="Aptos"/>
                <w:noProof/>
                <w:sz w:val="16"/>
                <w:szCs w:val="16"/>
                <w:lang w:val="en-IE"/>
              </w:rPr>
              <w:t xml:space="preserve"> (however, st</w:t>
            </w:r>
            <w:r w:rsidR="66735BA9" w:rsidRPr="00D47F28">
              <w:rPr>
                <w:rFonts w:asciiTheme="minorHAnsi" w:eastAsiaTheme="minorEastAsia" w:hAnsiTheme="minorHAnsi" w:cstheme="minorBidi"/>
                <w:noProof/>
                <w:sz w:val="16"/>
                <w:szCs w:val="16"/>
                <w:lang w:val="en-IE"/>
              </w:rPr>
              <w:t xml:space="preserve">ill limited </w:t>
            </w:r>
            <w:r w:rsidR="66735BA9" w:rsidRPr="00D47F28">
              <w:rPr>
                <w:rFonts w:ascii="Aptos" w:eastAsia="Aptos" w:hAnsi="Aptos" w:cs="Aptos"/>
                <w:noProof/>
                <w:sz w:val="16"/>
                <w:szCs w:val="16"/>
              </w:rPr>
              <w:t>capacity</w:t>
            </w:r>
            <w:r w:rsidR="66735BA9" w:rsidRPr="00D47F28">
              <w:rPr>
                <w:rFonts w:asciiTheme="minorHAnsi" w:eastAsiaTheme="minorEastAsia" w:hAnsiTheme="minorHAnsi" w:cstheme="minorBidi"/>
                <w:noProof/>
                <w:sz w:val="16"/>
                <w:szCs w:val="16"/>
              </w:rPr>
              <w:t xml:space="preserve"> to provide a coherent investment environment)</w:t>
            </w:r>
          </w:p>
          <w:p w14:paraId="098A4D2B" w14:textId="77777777" w:rsidR="002F7490" w:rsidRPr="0030098A" w:rsidRDefault="002F7490" w:rsidP="00603157">
            <w:pPr>
              <w:rPr>
                <w:rFonts w:ascii="Aptos" w:eastAsia="Aptos" w:hAnsi="Aptos" w:cs="Aptos"/>
                <w:noProof/>
                <w:sz w:val="16"/>
                <w:szCs w:val="16"/>
                <w:lang w:val="en-IE"/>
              </w:rPr>
            </w:pPr>
            <w:r w:rsidRPr="0030098A">
              <w:rPr>
                <w:rFonts w:ascii="Aptos" w:eastAsia="Aptos" w:hAnsi="Aptos" w:cs="Aptos"/>
                <w:noProof/>
                <w:sz w:val="16"/>
                <w:szCs w:val="16"/>
                <w:lang w:val="en-IE"/>
              </w:rPr>
              <w:t>- struggling to find the appropriate funding sources and to manage overlapping administrative procedures.</w:t>
            </w:r>
          </w:p>
          <w:p w14:paraId="19BF29B7" w14:textId="77777777" w:rsidR="002F7490" w:rsidRPr="0030098A" w:rsidRDefault="002F7490" w:rsidP="00603157">
            <w:pPr>
              <w:rPr>
                <w:rFonts w:ascii="Aptos" w:eastAsia="Aptos" w:hAnsi="Aptos" w:cs="Aptos"/>
                <w:noProof/>
                <w:sz w:val="16"/>
                <w:szCs w:val="16"/>
                <w:lang w:val="en-IE"/>
              </w:rPr>
            </w:pPr>
            <w:r w:rsidRPr="0030098A">
              <w:rPr>
                <w:rFonts w:ascii="Aptos" w:eastAsia="Aptos" w:hAnsi="Aptos" w:cs="Aptos"/>
                <w:noProof/>
                <w:sz w:val="16"/>
                <w:szCs w:val="16"/>
                <w:lang w:val="en-IE"/>
              </w:rPr>
              <w:t xml:space="preserve">- gaps in the funding along the investment journey. </w:t>
            </w:r>
          </w:p>
          <w:p w14:paraId="55B002B5" w14:textId="77777777" w:rsidR="002F7490" w:rsidRPr="0030098A" w:rsidRDefault="002F7490" w:rsidP="00603157">
            <w:pPr>
              <w:spacing w:after="0"/>
              <w:rPr>
                <w:rFonts w:ascii="Aptos" w:eastAsia="Aptos" w:hAnsi="Aptos" w:cs="Aptos"/>
                <w:noProof/>
                <w:sz w:val="16"/>
                <w:szCs w:val="16"/>
                <w:lang w:val="en-IE"/>
              </w:rPr>
            </w:pPr>
          </w:p>
        </w:tc>
        <w:tc>
          <w:tcPr>
            <w:tcW w:w="28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64C08E" w14:textId="38483E36" w:rsidR="002F7490" w:rsidRPr="0030098A" w:rsidRDefault="1861DA0F" w:rsidP="00603157">
            <w:pPr>
              <w:rPr>
                <w:rFonts w:ascii="Aptos" w:eastAsia="Aptos" w:hAnsi="Aptos" w:cs="Aptos"/>
                <w:noProof/>
                <w:sz w:val="16"/>
                <w:szCs w:val="16"/>
                <w:lang w:val="en-IE"/>
              </w:rPr>
            </w:pPr>
            <w:r w:rsidRPr="306A25FE">
              <w:rPr>
                <w:rFonts w:ascii="Aptos" w:eastAsia="Aptos" w:hAnsi="Aptos" w:cs="Aptos"/>
                <w:noProof/>
                <w:sz w:val="16"/>
                <w:szCs w:val="16"/>
                <w:lang w:val="en-IE"/>
              </w:rPr>
              <w:t>+ Clearer and faster access to EU funding</w:t>
            </w:r>
            <w:r w:rsidR="1134E417" w:rsidRPr="306A25FE">
              <w:rPr>
                <w:rFonts w:ascii="Aptos" w:eastAsia="Aptos" w:hAnsi="Aptos" w:cs="Aptos"/>
                <w:noProof/>
                <w:sz w:val="16"/>
                <w:szCs w:val="16"/>
                <w:lang w:val="en-IE"/>
              </w:rPr>
              <w:t xml:space="preserve"> thanks to </w:t>
            </w:r>
            <w:r w:rsidR="1134E417" w:rsidRPr="00D47F28">
              <w:rPr>
                <w:rFonts w:asciiTheme="minorHAnsi" w:eastAsiaTheme="minorEastAsia" w:hAnsiTheme="minorHAnsi" w:cstheme="minorBidi"/>
                <w:noProof/>
                <w:sz w:val="16"/>
                <w:szCs w:val="16"/>
                <w:lang w:val="en-IE"/>
              </w:rPr>
              <w:t xml:space="preserve">a </w:t>
            </w:r>
            <w:r w:rsidR="1134E417" w:rsidRPr="00D47F28">
              <w:rPr>
                <w:rFonts w:asciiTheme="minorHAnsi" w:eastAsiaTheme="minorEastAsia" w:hAnsiTheme="minorHAnsi" w:cstheme="minorBidi"/>
                <w:noProof/>
                <w:sz w:val="16"/>
                <w:szCs w:val="16"/>
              </w:rPr>
              <w:t>solid strategic alignment enabling the creation of a credible and attractive investment environment</w:t>
            </w:r>
          </w:p>
          <w:p w14:paraId="203BE985" w14:textId="77777777" w:rsidR="002F7490" w:rsidRPr="0030098A" w:rsidRDefault="002F7490" w:rsidP="00603157">
            <w:pPr>
              <w:rPr>
                <w:rFonts w:ascii="Aptos" w:eastAsia="Aptos" w:hAnsi="Aptos" w:cs="Aptos"/>
                <w:noProof/>
                <w:sz w:val="16"/>
                <w:szCs w:val="16"/>
                <w:lang w:val="en-IE"/>
              </w:rPr>
            </w:pPr>
            <w:r w:rsidRPr="0030098A">
              <w:rPr>
                <w:rFonts w:ascii="Aptos" w:eastAsia="Aptos" w:hAnsi="Aptos" w:cs="Aptos"/>
                <w:noProof/>
                <w:sz w:val="16"/>
                <w:szCs w:val="16"/>
                <w:lang w:val="en-IE"/>
              </w:rPr>
              <w:t>+ Continuity in EU support at different stages of the investment journey.</w:t>
            </w:r>
          </w:p>
          <w:p w14:paraId="357A564E" w14:textId="77777777" w:rsidR="002F7490" w:rsidRPr="0030098A" w:rsidRDefault="002F7490" w:rsidP="00603157">
            <w:pPr>
              <w:rPr>
                <w:rFonts w:ascii="Aptos" w:eastAsia="Aptos" w:hAnsi="Aptos" w:cs="Aptos"/>
                <w:noProof/>
                <w:sz w:val="16"/>
                <w:szCs w:val="16"/>
                <w:lang w:val="en-IE"/>
              </w:rPr>
            </w:pPr>
            <w:r w:rsidRPr="0030098A">
              <w:rPr>
                <w:rFonts w:ascii="Aptos" w:eastAsia="Aptos" w:hAnsi="Aptos" w:cs="Aptos"/>
                <w:noProof/>
                <w:sz w:val="16"/>
                <w:szCs w:val="16"/>
                <w:lang w:val="en-IE"/>
              </w:rPr>
              <w:t xml:space="preserve">+ Represented in the consultative board, as part of the steering mechanism. </w:t>
            </w:r>
          </w:p>
          <w:p w14:paraId="314DB0A6" w14:textId="208B0007" w:rsidR="002F7490" w:rsidRPr="0030098A" w:rsidRDefault="002F7490" w:rsidP="00603157">
            <w:pPr>
              <w:rPr>
                <w:rFonts w:ascii="Aptos" w:eastAsia="Aptos" w:hAnsi="Aptos" w:cs="Aptos"/>
                <w:noProof/>
                <w:sz w:val="16"/>
                <w:szCs w:val="16"/>
                <w:lang w:val="en-IE"/>
              </w:rPr>
            </w:pPr>
            <w:r w:rsidRPr="0030098A">
              <w:rPr>
                <w:rFonts w:ascii="Aptos" w:eastAsia="Aptos" w:hAnsi="Aptos" w:cs="Aptos"/>
                <w:noProof/>
                <w:sz w:val="16"/>
                <w:szCs w:val="16"/>
                <w:lang w:val="en-IE"/>
              </w:rPr>
              <w:t>+ Streamlined advisory/ support service</w:t>
            </w:r>
            <w:r w:rsidR="6E007CD0" w:rsidRPr="3C5AB20B">
              <w:rPr>
                <w:rFonts w:ascii="Aptos" w:eastAsia="Aptos" w:hAnsi="Aptos" w:cs="Aptos"/>
                <w:noProof/>
                <w:sz w:val="16"/>
                <w:szCs w:val="16"/>
                <w:lang w:val="en-IE"/>
              </w:rPr>
              <w:t>.</w:t>
            </w:r>
          </w:p>
          <w:p w14:paraId="7B772E19" w14:textId="449727D9" w:rsidR="00DE5B4A" w:rsidRPr="0030098A" w:rsidRDefault="00DE5B4A" w:rsidP="00603157">
            <w:pPr>
              <w:rPr>
                <w:rFonts w:ascii="Aptos" w:eastAsia="Aptos" w:hAnsi="Aptos" w:cs="Aptos"/>
                <w:noProof/>
                <w:sz w:val="16"/>
                <w:szCs w:val="16"/>
                <w:lang w:val="en-IE"/>
              </w:rPr>
            </w:pPr>
            <w:r>
              <w:rPr>
                <w:rFonts w:ascii="Aptos" w:eastAsia="Aptos" w:hAnsi="Aptos" w:cs="Aptos"/>
                <w:noProof/>
                <w:sz w:val="16"/>
                <w:szCs w:val="16"/>
                <w:lang w:val="en-IE"/>
              </w:rPr>
              <w:t>+ Broader range of funding instruments available thanks to integrated financial toolbox (grants, loans, guarantees, equity</w:t>
            </w:r>
            <w:r w:rsidR="446453F5" w:rsidRPr="3C5AB20B">
              <w:rPr>
                <w:rFonts w:ascii="Aptos" w:eastAsia="Aptos" w:hAnsi="Aptos" w:cs="Aptos"/>
                <w:noProof/>
                <w:sz w:val="16"/>
                <w:szCs w:val="16"/>
                <w:lang w:val="en-IE"/>
              </w:rPr>
              <w:t>)</w:t>
            </w:r>
            <w:r w:rsidR="5BAD38D0" w:rsidRPr="3C5AB20B">
              <w:rPr>
                <w:rFonts w:ascii="Aptos" w:eastAsia="Aptos" w:hAnsi="Aptos" w:cs="Aptos"/>
                <w:noProof/>
                <w:sz w:val="16"/>
                <w:szCs w:val="16"/>
                <w:lang w:val="en-IE"/>
              </w:rPr>
              <w:t>.</w:t>
            </w:r>
            <w:r>
              <w:rPr>
                <w:rFonts w:ascii="Aptos" w:eastAsia="Aptos" w:hAnsi="Aptos" w:cs="Aptos"/>
                <w:noProof/>
                <w:sz w:val="16"/>
                <w:szCs w:val="16"/>
                <w:lang w:val="en-IE"/>
              </w:rPr>
              <w:t xml:space="preserve"> </w:t>
            </w:r>
          </w:p>
          <w:p w14:paraId="0D3FB565" w14:textId="62DA08E4" w:rsidR="002F7490" w:rsidRPr="0030098A" w:rsidRDefault="002F7490" w:rsidP="00603157">
            <w:pPr>
              <w:rPr>
                <w:rFonts w:ascii="Aptos" w:eastAsia="Aptos" w:hAnsi="Aptos" w:cs="Aptos"/>
                <w:noProof/>
                <w:sz w:val="16"/>
                <w:szCs w:val="16"/>
                <w:lang w:val="en-IE"/>
              </w:rPr>
            </w:pPr>
            <w:r w:rsidRPr="0030098A">
              <w:rPr>
                <w:rFonts w:ascii="Aptos" w:eastAsia="Aptos" w:hAnsi="Aptos" w:cs="Aptos"/>
                <w:noProof/>
                <w:sz w:val="16"/>
                <w:szCs w:val="16"/>
                <w:lang w:val="en-IE"/>
              </w:rPr>
              <w:t>- Learning costs to adapt to a new funding landscape</w:t>
            </w:r>
            <w:r w:rsidR="00DE5B4A">
              <w:rPr>
                <w:rFonts w:ascii="Aptos" w:eastAsia="Aptos" w:hAnsi="Aptos" w:cs="Aptos"/>
                <w:noProof/>
                <w:sz w:val="16"/>
                <w:szCs w:val="16"/>
                <w:lang w:val="en-IE"/>
              </w:rPr>
              <w:t xml:space="preserve"> for existing beneficiaries</w:t>
            </w:r>
            <w:r w:rsidRPr="0030098A">
              <w:rPr>
                <w:rFonts w:ascii="Aptos" w:eastAsia="Aptos" w:hAnsi="Aptos" w:cs="Aptos"/>
                <w:noProof/>
                <w:sz w:val="16"/>
                <w:szCs w:val="16"/>
                <w:lang w:val="en-IE"/>
              </w:rPr>
              <w:t xml:space="preserve">. </w:t>
            </w:r>
          </w:p>
          <w:p w14:paraId="0C7EA0A2" w14:textId="1C9BB53A" w:rsidR="002F7490" w:rsidRPr="000F55C8" w:rsidRDefault="009A7A3D" w:rsidP="00603157">
            <w:pPr>
              <w:rPr>
                <w:rFonts w:ascii="Aptos" w:eastAsia="Aptos" w:hAnsi="Aptos" w:cs="Aptos"/>
                <w:noProof/>
                <w:sz w:val="16"/>
                <w:szCs w:val="16"/>
                <w:lang w:val="en-IE"/>
              </w:rPr>
            </w:pPr>
            <w:r>
              <w:rPr>
                <w:rFonts w:ascii="Aptos" w:eastAsia="Aptos" w:hAnsi="Aptos" w:cs="Aptos"/>
                <w:noProof/>
                <w:sz w:val="16"/>
                <w:szCs w:val="16"/>
                <w:lang w:val="en-IE"/>
              </w:rPr>
              <w:t xml:space="preserve">+ Decrease in application costs reduce the </w:t>
            </w:r>
            <w:r w:rsidR="00AC5354">
              <w:rPr>
                <w:rFonts w:ascii="Aptos" w:eastAsia="Aptos" w:hAnsi="Aptos" w:cs="Aptos"/>
                <w:noProof/>
                <w:sz w:val="16"/>
                <w:szCs w:val="16"/>
                <w:lang w:val="en-IE"/>
              </w:rPr>
              <w:t xml:space="preserve">comparative </w:t>
            </w:r>
            <w:r w:rsidR="00D70DB5">
              <w:rPr>
                <w:rFonts w:ascii="Aptos" w:eastAsia="Aptos" w:hAnsi="Aptos" w:cs="Aptos"/>
                <w:noProof/>
                <w:sz w:val="16"/>
                <w:szCs w:val="16"/>
                <w:lang w:val="en-IE"/>
              </w:rPr>
              <w:t xml:space="preserve">disadvantage of SMEs vis-à-vis larger companies when applying for funding (SMEs tend to have less resources to spend on </w:t>
            </w:r>
            <w:r w:rsidR="00B4225F">
              <w:rPr>
                <w:rFonts w:ascii="Aptos" w:eastAsia="Aptos" w:hAnsi="Aptos" w:cs="Aptos"/>
                <w:noProof/>
                <w:sz w:val="16"/>
                <w:szCs w:val="16"/>
                <w:lang w:val="en-IE"/>
              </w:rPr>
              <w:t>funding application)</w:t>
            </w:r>
          </w:p>
        </w:tc>
      </w:tr>
      <w:tr w:rsidR="002F7490" w14:paraId="26F602A6" w14:textId="77777777" w:rsidTr="51E02097">
        <w:trPr>
          <w:trHeight w:val="248"/>
          <w:jc w:val="center"/>
        </w:trPr>
        <w:tc>
          <w:tcPr>
            <w:tcW w:w="2117" w:type="dxa"/>
            <w:vMerge w:val="restart"/>
            <w:tcBorders>
              <w:top w:val="single" w:sz="8" w:space="0" w:color="auto"/>
              <w:left w:val="single" w:sz="8" w:space="0" w:color="auto"/>
              <w:right w:val="single" w:sz="8" w:space="0" w:color="auto"/>
            </w:tcBorders>
            <w:tcMar>
              <w:left w:w="108" w:type="dxa"/>
              <w:right w:w="108" w:type="dxa"/>
            </w:tcMar>
            <w:vAlign w:val="center"/>
          </w:tcPr>
          <w:p w14:paraId="1E91ECD0" w14:textId="77777777" w:rsidR="002F7490" w:rsidRPr="0030098A" w:rsidRDefault="002F7490" w:rsidP="00603157">
            <w:pPr>
              <w:spacing w:after="0"/>
              <w:jc w:val="right"/>
              <w:rPr>
                <w:rFonts w:ascii="Aptos" w:eastAsia="Aptos" w:hAnsi="Aptos" w:cs="Aptos"/>
                <w:b/>
                <w:noProof/>
                <w:sz w:val="20"/>
                <w:szCs w:val="20"/>
                <w:lang w:val="en-IE"/>
              </w:rPr>
            </w:pPr>
            <w:r w:rsidRPr="0030098A">
              <w:rPr>
                <w:rFonts w:ascii="Aptos" w:eastAsia="Aptos" w:hAnsi="Aptos" w:cs="Aptos"/>
                <w:b/>
                <w:noProof/>
                <w:sz w:val="20"/>
                <w:szCs w:val="20"/>
                <w:lang w:val="en-IE"/>
              </w:rPr>
              <w:t>Research organisations (ROs, academia)</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5F36ACB8" w14:textId="536662D1" w:rsidR="002F7490" w:rsidRPr="0030098A" w:rsidRDefault="002F7490" w:rsidP="00603157">
            <w:pPr>
              <w:spacing w:after="0"/>
              <w:jc w:val="center"/>
              <w:rPr>
                <w:noProof/>
                <w:lang w:val="en-IE"/>
              </w:rPr>
            </w:pPr>
            <w:r w:rsidRPr="0030098A">
              <w:rPr>
                <w:rFonts w:ascii="Aptos" w:eastAsia="Aptos" w:hAnsi="Aptos" w:cs="Aptos"/>
                <w:noProof/>
                <w:sz w:val="20"/>
                <w:szCs w:val="20"/>
                <w:lang w:val="en-IE"/>
              </w:rPr>
              <w:t xml:space="preserve"> </w:t>
            </w:r>
            <w:r w:rsidR="4ECE7B28" w:rsidRPr="58BF9D30">
              <w:rPr>
                <w:rFonts w:ascii="Aptos" w:eastAsia="Aptos" w:hAnsi="Aptos" w:cs="Aptos"/>
                <w:noProof/>
                <w:sz w:val="20"/>
                <w:szCs w:val="20"/>
                <w:lang w:val="en-IE"/>
              </w:rPr>
              <w:t>+</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4F8D01C8" w14:textId="7E0D40E4" w:rsidR="002F7490" w:rsidRPr="0030098A" w:rsidRDefault="002F7490" w:rsidP="00603157">
            <w:pPr>
              <w:spacing w:after="0"/>
              <w:jc w:val="center"/>
              <w:rPr>
                <w:noProof/>
                <w:lang w:val="en-IE"/>
              </w:rPr>
            </w:pPr>
            <w:r w:rsidRPr="0030098A">
              <w:rPr>
                <w:rFonts w:ascii="Aptos" w:eastAsia="Aptos" w:hAnsi="Aptos" w:cs="Aptos"/>
                <w:noProof/>
                <w:sz w:val="20"/>
                <w:szCs w:val="20"/>
                <w:lang w:val="en-IE"/>
              </w:rPr>
              <w:t xml:space="preserve"> </w:t>
            </w:r>
            <w:r w:rsidR="4A8337F4" w:rsidRPr="58BF9D30">
              <w:rPr>
                <w:rFonts w:ascii="Aptos" w:eastAsia="Aptos" w:hAnsi="Aptos" w:cs="Aptos"/>
                <w:noProof/>
                <w:sz w:val="20"/>
                <w:szCs w:val="20"/>
                <w:lang w:val="en-IE"/>
              </w:rPr>
              <w:t>+</w:t>
            </w:r>
          </w:p>
        </w:tc>
        <w:tc>
          <w:tcPr>
            <w:tcW w:w="2839"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6F8A47EB" w14:textId="59FE96C1" w:rsidR="002F7490" w:rsidRPr="0030098A" w:rsidRDefault="002F7490" w:rsidP="00603157">
            <w:pPr>
              <w:spacing w:after="0"/>
              <w:jc w:val="center"/>
              <w:rPr>
                <w:noProof/>
                <w:lang w:val="en-IE"/>
              </w:rPr>
            </w:pPr>
            <w:r w:rsidRPr="0030098A">
              <w:rPr>
                <w:rFonts w:ascii="Aptos" w:eastAsia="Aptos" w:hAnsi="Aptos" w:cs="Aptos"/>
                <w:noProof/>
                <w:sz w:val="20"/>
                <w:szCs w:val="20"/>
                <w:lang w:val="en-IE"/>
              </w:rPr>
              <w:t xml:space="preserve"> </w:t>
            </w:r>
            <w:r w:rsidR="0BA28FE0" w:rsidRPr="58BF9D30">
              <w:rPr>
                <w:rFonts w:ascii="Aptos" w:eastAsia="Aptos" w:hAnsi="Aptos" w:cs="Aptos"/>
                <w:noProof/>
                <w:sz w:val="20"/>
                <w:szCs w:val="20"/>
                <w:lang w:val="en-IE"/>
              </w:rPr>
              <w:t>++</w:t>
            </w:r>
          </w:p>
        </w:tc>
      </w:tr>
      <w:tr w:rsidR="002F7490" w14:paraId="74508E00" w14:textId="77777777" w:rsidTr="51E02097">
        <w:trPr>
          <w:trHeight w:val="570"/>
          <w:jc w:val="center"/>
        </w:trPr>
        <w:tc>
          <w:tcPr>
            <w:tcW w:w="2117" w:type="dxa"/>
            <w:vMerge/>
            <w:tcMar>
              <w:left w:w="108" w:type="dxa"/>
              <w:right w:w="108" w:type="dxa"/>
            </w:tcMar>
            <w:vAlign w:val="center"/>
          </w:tcPr>
          <w:p w14:paraId="46D072F2" w14:textId="77777777" w:rsidR="002F7490" w:rsidRPr="0030098A" w:rsidRDefault="002F7490" w:rsidP="00603157">
            <w:pPr>
              <w:spacing w:after="0"/>
              <w:jc w:val="right"/>
              <w:rPr>
                <w:rFonts w:ascii="Aptos" w:eastAsia="Aptos" w:hAnsi="Aptos" w:cs="Aptos"/>
                <w:b/>
                <w:noProof/>
                <w:sz w:val="20"/>
                <w:szCs w:val="20"/>
                <w:lang w:val="en-IE"/>
              </w:rPr>
            </w:pP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E7B562" w14:textId="27B381BA" w:rsidR="002F7490" w:rsidRPr="0028115E" w:rsidRDefault="002F7490" w:rsidP="00603157">
            <w:pPr>
              <w:spacing w:after="0"/>
              <w:rPr>
                <w:rFonts w:ascii="Aptos" w:eastAsia="Aptos" w:hAnsi="Aptos" w:cs="Aptos"/>
                <w:noProof/>
                <w:sz w:val="16"/>
                <w:szCs w:val="16"/>
                <w:lang w:val="en-IE"/>
              </w:rPr>
            </w:pPr>
            <w:r w:rsidRPr="0028115E">
              <w:rPr>
                <w:rFonts w:ascii="Aptos" w:eastAsia="Aptos" w:hAnsi="Aptos" w:cs="Aptos"/>
                <w:noProof/>
                <w:sz w:val="16"/>
                <w:szCs w:val="16"/>
                <w:lang w:val="en-IE"/>
              </w:rPr>
              <w:t>ROs and academia will continue to be able to apply for programmes in their current form. Adaptation and adjustment costs will be minimised.</w:t>
            </w:r>
            <w:r w:rsidR="2D3C80D5" w:rsidRPr="58BF9D30">
              <w:rPr>
                <w:rFonts w:ascii="Aptos" w:eastAsia="Aptos" w:hAnsi="Aptos" w:cs="Aptos"/>
                <w:noProof/>
                <w:sz w:val="16"/>
                <w:szCs w:val="16"/>
                <w:lang w:val="en-IE"/>
              </w:rPr>
              <w:t xml:space="preserve"> </w:t>
            </w:r>
          </w:p>
          <w:p w14:paraId="27D04CD8" w14:textId="40107BB5" w:rsidR="002F7490" w:rsidRPr="0028115E" w:rsidRDefault="2D3C80D5" w:rsidP="00603157">
            <w:pPr>
              <w:spacing w:after="0"/>
              <w:rPr>
                <w:rFonts w:ascii="Aptos" w:eastAsia="Aptos" w:hAnsi="Aptos" w:cs="Aptos"/>
                <w:noProof/>
                <w:sz w:val="16"/>
                <w:szCs w:val="16"/>
                <w:lang w:val="en-IE"/>
              </w:rPr>
            </w:pPr>
            <w:r w:rsidRPr="58BF9D30">
              <w:rPr>
                <w:rFonts w:ascii="Aptos" w:eastAsia="Aptos" w:hAnsi="Aptos" w:cs="Aptos"/>
                <w:noProof/>
                <w:sz w:val="16"/>
                <w:szCs w:val="16"/>
                <w:lang w:val="en-IE"/>
              </w:rPr>
              <w:t xml:space="preserve">+ familiar mechanisms to access funding </w:t>
            </w:r>
            <w:r w:rsidR="00CC449B">
              <w:rPr>
                <w:rFonts w:ascii="Aptos" w:eastAsia="Aptos" w:hAnsi="Aptos" w:cs="Aptos"/>
                <w:noProof/>
                <w:sz w:val="16"/>
                <w:szCs w:val="16"/>
                <w:lang w:val="en-IE"/>
              </w:rPr>
              <w:t xml:space="preserve">for </w:t>
            </w:r>
            <w:r w:rsidR="00F30577">
              <w:rPr>
                <w:rFonts w:ascii="Aptos" w:eastAsia="Aptos" w:hAnsi="Aptos" w:cs="Aptos"/>
                <w:noProof/>
                <w:sz w:val="16"/>
                <w:szCs w:val="16"/>
                <w:lang w:val="en-IE"/>
              </w:rPr>
              <w:t>previous</w:t>
            </w:r>
            <w:r w:rsidR="00CC449B">
              <w:rPr>
                <w:rFonts w:ascii="Aptos" w:eastAsia="Aptos" w:hAnsi="Aptos" w:cs="Aptos"/>
                <w:noProof/>
                <w:sz w:val="16"/>
                <w:szCs w:val="16"/>
                <w:lang w:val="en-IE"/>
              </w:rPr>
              <w:t xml:space="preserve"> beneficiaries</w:t>
            </w:r>
            <w:r w:rsidR="767E8827" w:rsidRPr="1142CA55">
              <w:rPr>
                <w:rFonts w:ascii="Aptos" w:eastAsia="Aptos" w:hAnsi="Aptos" w:cs="Aptos"/>
                <w:noProof/>
                <w:sz w:val="16"/>
                <w:szCs w:val="16"/>
                <w:lang w:val="en-IE"/>
              </w:rPr>
              <w:t>.</w:t>
            </w:r>
          </w:p>
          <w:p w14:paraId="6402055F" w14:textId="6CD926DC" w:rsidR="002F7490" w:rsidRPr="0028115E" w:rsidRDefault="3BEAD188" w:rsidP="00603157">
            <w:pPr>
              <w:spacing w:after="0"/>
              <w:rPr>
                <w:rFonts w:ascii="Aptos" w:eastAsia="Aptos" w:hAnsi="Aptos" w:cs="Aptos"/>
                <w:noProof/>
                <w:sz w:val="16"/>
                <w:szCs w:val="16"/>
                <w:lang w:val="en-IE"/>
              </w:rPr>
            </w:pPr>
            <w:r w:rsidRPr="58BF9D30">
              <w:rPr>
                <w:rFonts w:ascii="Aptos" w:eastAsia="Aptos" w:hAnsi="Aptos" w:cs="Aptos"/>
                <w:noProof/>
                <w:sz w:val="16"/>
                <w:szCs w:val="16"/>
                <w:lang w:val="en-IE"/>
              </w:rPr>
              <w:t>- no easy transition between different stages of the innovation cycle</w:t>
            </w:r>
            <w:r w:rsidR="463FD624" w:rsidRPr="06077A5F">
              <w:rPr>
                <w:rFonts w:ascii="Aptos" w:eastAsia="Aptos" w:hAnsi="Aptos" w:cs="Aptos"/>
                <w:noProof/>
                <w:sz w:val="16"/>
                <w:szCs w:val="16"/>
                <w:lang w:val="en-IE"/>
              </w:rPr>
              <w:t>.</w:t>
            </w:r>
          </w:p>
          <w:p w14:paraId="45D6832F" w14:textId="69DCB0F3" w:rsidR="002F7490" w:rsidRPr="0028115E" w:rsidRDefault="002F7490" w:rsidP="00603157">
            <w:pPr>
              <w:spacing w:after="0"/>
              <w:rPr>
                <w:rFonts w:ascii="Aptos" w:eastAsia="Aptos" w:hAnsi="Aptos" w:cs="Aptos"/>
                <w:noProof/>
                <w:sz w:val="16"/>
                <w:szCs w:val="16"/>
                <w:lang w:val="en-IE"/>
              </w:rPr>
            </w:pP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FA3F1" w14:textId="1F0EBEE3" w:rsidR="002F7490" w:rsidRPr="0028115E" w:rsidRDefault="2D3C80D5" w:rsidP="00603157">
            <w:pPr>
              <w:spacing w:after="0"/>
              <w:rPr>
                <w:rFonts w:ascii="Aptos" w:eastAsia="Aptos" w:hAnsi="Aptos" w:cs="Aptos"/>
                <w:noProof/>
                <w:sz w:val="16"/>
                <w:szCs w:val="16"/>
                <w:lang w:val="en-IE"/>
              </w:rPr>
            </w:pPr>
            <w:r w:rsidRPr="58BF9D30">
              <w:rPr>
                <w:rFonts w:ascii="Aptos" w:eastAsia="Aptos" w:hAnsi="Aptos" w:cs="Aptos"/>
                <w:noProof/>
                <w:sz w:val="16"/>
                <w:szCs w:val="16"/>
                <w:lang w:val="en-IE"/>
              </w:rPr>
              <w:t xml:space="preserve">+ </w:t>
            </w:r>
            <w:r w:rsidR="0D65E591" w:rsidRPr="58BF9D30">
              <w:rPr>
                <w:rFonts w:ascii="Aptos" w:eastAsia="Aptos" w:hAnsi="Aptos" w:cs="Aptos"/>
                <w:noProof/>
                <w:sz w:val="16"/>
                <w:szCs w:val="16"/>
                <w:lang w:val="en-IE"/>
              </w:rPr>
              <w:t>It facilitates to some extent the transition between different stages of the innovation cycle</w:t>
            </w:r>
            <w:r w:rsidR="4879A4DB" w:rsidRPr="1142CA55">
              <w:rPr>
                <w:rFonts w:ascii="Aptos" w:eastAsia="Aptos" w:hAnsi="Aptos" w:cs="Aptos"/>
                <w:noProof/>
                <w:sz w:val="16"/>
                <w:szCs w:val="16"/>
                <w:lang w:val="en-IE"/>
              </w:rPr>
              <w:t>.</w:t>
            </w:r>
            <w:r w:rsidR="0D65E591" w:rsidRPr="58BF9D30">
              <w:rPr>
                <w:rFonts w:ascii="Aptos" w:eastAsia="Aptos" w:hAnsi="Aptos" w:cs="Aptos"/>
                <w:noProof/>
                <w:sz w:val="16"/>
                <w:szCs w:val="16"/>
                <w:lang w:val="en-IE"/>
              </w:rPr>
              <w:t xml:space="preserve"> </w:t>
            </w:r>
          </w:p>
          <w:p w14:paraId="517370AC" w14:textId="6590E5E4" w:rsidR="002F7490" w:rsidRPr="0028115E" w:rsidRDefault="7F8B9D10" w:rsidP="00603157">
            <w:pPr>
              <w:spacing w:after="0"/>
              <w:rPr>
                <w:rFonts w:ascii="Aptos" w:eastAsia="Aptos" w:hAnsi="Aptos" w:cs="Aptos"/>
                <w:noProof/>
                <w:sz w:val="16"/>
                <w:szCs w:val="16"/>
                <w:lang w:val="en-IE"/>
              </w:rPr>
            </w:pPr>
            <w:r w:rsidRPr="58BF9D30">
              <w:rPr>
                <w:rFonts w:ascii="Aptos" w:eastAsia="Aptos" w:hAnsi="Aptos" w:cs="Aptos"/>
                <w:noProof/>
                <w:sz w:val="16"/>
                <w:szCs w:val="16"/>
                <w:lang w:val="en-IE"/>
              </w:rPr>
              <w:t>-</w:t>
            </w:r>
            <w:r w:rsidR="002F7490" w:rsidRPr="0028115E">
              <w:rPr>
                <w:rFonts w:ascii="Aptos" w:eastAsia="Aptos" w:hAnsi="Aptos" w:cs="Aptos"/>
                <w:noProof/>
                <w:sz w:val="16"/>
                <w:szCs w:val="16"/>
                <w:lang w:val="en-IE"/>
              </w:rPr>
              <w:t xml:space="preserve"> the alignment of provisions might complicate the administrative work of applicants and beneficiaries, leading to adaptation and adjustment costs.</w:t>
            </w:r>
          </w:p>
        </w:tc>
        <w:tc>
          <w:tcPr>
            <w:tcW w:w="28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61A76F" w14:textId="77777777" w:rsidR="7BFC93E7" w:rsidRDefault="7BFC93E7" w:rsidP="00603157">
            <w:pPr>
              <w:rPr>
                <w:rFonts w:ascii="Aptos" w:eastAsia="Aptos" w:hAnsi="Aptos" w:cs="Aptos"/>
                <w:noProof/>
                <w:sz w:val="16"/>
                <w:szCs w:val="16"/>
                <w:lang w:val="en-IE"/>
              </w:rPr>
            </w:pPr>
            <w:r w:rsidRPr="58BF9D30">
              <w:rPr>
                <w:rFonts w:ascii="Aptos" w:eastAsia="Aptos" w:hAnsi="Aptos" w:cs="Aptos"/>
                <w:noProof/>
                <w:sz w:val="16"/>
                <w:szCs w:val="16"/>
                <w:lang w:val="en-IE"/>
              </w:rPr>
              <w:t xml:space="preserve">+ Represented in the consultative board, as part of the steering mechanism. </w:t>
            </w:r>
          </w:p>
          <w:p w14:paraId="2CA3B4FA" w14:textId="0ACF5A34" w:rsidR="7BFC93E7" w:rsidRDefault="7BFC93E7" w:rsidP="00603157">
            <w:pPr>
              <w:rPr>
                <w:rFonts w:ascii="Aptos" w:eastAsia="Aptos" w:hAnsi="Aptos" w:cs="Aptos"/>
                <w:noProof/>
                <w:sz w:val="16"/>
                <w:szCs w:val="16"/>
                <w:lang w:val="en-IE"/>
              </w:rPr>
            </w:pPr>
            <w:r w:rsidRPr="58BF9D30">
              <w:rPr>
                <w:rFonts w:ascii="Aptos" w:eastAsia="Aptos" w:hAnsi="Aptos" w:cs="Aptos"/>
                <w:noProof/>
                <w:sz w:val="16"/>
                <w:szCs w:val="16"/>
                <w:lang w:val="en-IE"/>
              </w:rPr>
              <w:t>+ Streamlined advisory/ support service</w:t>
            </w:r>
            <w:r w:rsidR="1D75BA59" w:rsidRPr="1142CA55">
              <w:rPr>
                <w:rFonts w:ascii="Aptos" w:eastAsia="Aptos" w:hAnsi="Aptos" w:cs="Aptos"/>
                <w:noProof/>
                <w:sz w:val="16"/>
                <w:szCs w:val="16"/>
                <w:lang w:val="en-IE"/>
              </w:rPr>
              <w:t>.</w:t>
            </w:r>
          </w:p>
          <w:p w14:paraId="3951E7E1" w14:textId="2550919B" w:rsidR="498BB026" w:rsidRDefault="498BB026" w:rsidP="00603157">
            <w:pPr>
              <w:spacing w:after="0"/>
              <w:rPr>
                <w:rFonts w:ascii="Aptos" w:eastAsia="Aptos" w:hAnsi="Aptos" w:cs="Aptos"/>
                <w:noProof/>
                <w:sz w:val="16"/>
                <w:szCs w:val="16"/>
                <w:lang w:val="en-IE"/>
              </w:rPr>
            </w:pPr>
            <w:r w:rsidRPr="58BF9D30">
              <w:rPr>
                <w:rFonts w:ascii="Aptos" w:eastAsia="Aptos" w:hAnsi="Aptos" w:cs="Aptos"/>
                <w:noProof/>
                <w:sz w:val="16"/>
                <w:szCs w:val="16"/>
                <w:lang w:val="en-IE"/>
              </w:rPr>
              <w:t xml:space="preserve">+ </w:t>
            </w:r>
            <w:r w:rsidR="03BE2901" w:rsidRPr="58BF9D30">
              <w:rPr>
                <w:rFonts w:ascii="Aptos" w:eastAsia="Aptos" w:hAnsi="Aptos" w:cs="Aptos"/>
                <w:noProof/>
                <w:sz w:val="16"/>
                <w:szCs w:val="16"/>
                <w:lang w:val="en-IE"/>
              </w:rPr>
              <w:t>It can facilitate the market uptake of research results and better articulate applied research with industrial priorities.</w:t>
            </w:r>
          </w:p>
          <w:p w14:paraId="54B66514" w14:textId="25C6352F" w:rsidR="002F7490" w:rsidRPr="0028115E" w:rsidRDefault="4399D465" w:rsidP="00603157">
            <w:pPr>
              <w:spacing w:after="0"/>
              <w:rPr>
                <w:rFonts w:ascii="Aptos" w:eastAsia="Aptos" w:hAnsi="Aptos" w:cs="Aptos"/>
                <w:noProof/>
                <w:sz w:val="16"/>
                <w:szCs w:val="16"/>
                <w:lang w:val="en-IE"/>
              </w:rPr>
            </w:pPr>
            <w:r w:rsidRPr="58BF9D30">
              <w:rPr>
                <w:rFonts w:ascii="Aptos" w:eastAsia="Aptos" w:hAnsi="Aptos" w:cs="Aptos"/>
                <w:noProof/>
                <w:sz w:val="16"/>
                <w:szCs w:val="16"/>
                <w:lang w:val="en-IE"/>
              </w:rPr>
              <w:t xml:space="preserve">- </w:t>
            </w:r>
            <w:r w:rsidR="5EDABCF7" w:rsidRPr="58BF9D30">
              <w:rPr>
                <w:rFonts w:ascii="Aptos" w:eastAsia="Aptos" w:hAnsi="Aptos" w:cs="Aptos"/>
                <w:noProof/>
                <w:sz w:val="16"/>
                <w:szCs w:val="16"/>
                <w:lang w:val="en-IE"/>
              </w:rPr>
              <w:t>A</w:t>
            </w:r>
            <w:r w:rsidR="71616219" w:rsidRPr="58BF9D30">
              <w:rPr>
                <w:rFonts w:ascii="Aptos" w:eastAsia="Aptos" w:hAnsi="Aptos" w:cs="Aptos"/>
                <w:noProof/>
                <w:sz w:val="16"/>
                <w:szCs w:val="16"/>
                <w:lang w:val="en-IE"/>
              </w:rPr>
              <w:t>djustment</w:t>
            </w:r>
            <w:r w:rsidR="002F7490" w:rsidRPr="0028115E">
              <w:rPr>
                <w:rFonts w:ascii="Aptos" w:eastAsia="Aptos" w:hAnsi="Aptos" w:cs="Aptos"/>
                <w:noProof/>
                <w:sz w:val="16"/>
                <w:szCs w:val="16"/>
                <w:lang w:val="en-IE"/>
              </w:rPr>
              <w:t xml:space="preserve"> costs are expected due to </w:t>
            </w:r>
            <w:r w:rsidR="00CC449B">
              <w:rPr>
                <w:rFonts w:ascii="Aptos" w:eastAsia="Aptos" w:hAnsi="Aptos" w:cs="Aptos"/>
                <w:noProof/>
                <w:sz w:val="16"/>
                <w:szCs w:val="16"/>
                <w:lang w:val="en-IE"/>
              </w:rPr>
              <w:t xml:space="preserve">possible </w:t>
            </w:r>
            <w:r w:rsidR="002F7490" w:rsidRPr="0028115E">
              <w:rPr>
                <w:rFonts w:ascii="Aptos" w:eastAsia="Aptos" w:hAnsi="Aptos" w:cs="Aptos"/>
                <w:noProof/>
                <w:sz w:val="16"/>
                <w:szCs w:val="16"/>
                <w:lang w:val="en-IE"/>
              </w:rPr>
              <w:t>changes in eligibility rules and project reporting rules.</w:t>
            </w:r>
          </w:p>
        </w:tc>
      </w:tr>
      <w:tr w:rsidR="002F7490" w14:paraId="260FDB8B" w14:textId="77777777" w:rsidTr="51E02097">
        <w:trPr>
          <w:trHeight w:val="253"/>
          <w:jc w:val="center"/>
        </w:trPr>
        <w:tc>
          <w:tcPr>
            <w:tcW w:w="2117" w:type="dxa"/>
            <w:vMerge w:val="restart"/>
            <w:tcBorders>
              <w:left w:val="single" w:sz="8" w:space="0" w:color="auto"/>
              <w:right w:val="single" w:sz="8" w:space="0" w:color="auto"/>
            </w:tcBorders>
            <w:tcMar>
              <w:left w:w="108" w:type="dxa"/>
              <w:right w:w="108" w:type="dxa"/>
            </w:tcMar>
            <w:vAlign w:val="center"/>
          </w:tcPr>
          <w:p w14:paraId="516478C1" w14:textId="77777777" w:rsidR="002F7490" w:rsidRPr="0030098A" w:rsidRDefault="002F7490" w:rsidP="00603157">
            <w:pPr>
              <w:jc w:val="right"/>
              <w:rPr>
                <w:rFonts w:ascii="Aptos" w:eastAsia="Aptos" w:hAnsi="Aptos" w:cs="Aptos"/>
                <w:b/>
                <w:noProof/>
                <w:sz w:val="20"/>
                <w:szCs w:val="20"/>
                <w:lang w:val="en-IE"/>
              </w:rPr>
            </w:pPr>
            <w:r w:rsidRPr="0030098A">
              <w:rPr>
                <w:rFonts w:ascii="Aptos" w:eastAsia="Aptos" w:hAnsi="Aptos" w:cs="Aptos"/>
                <w:b/>
                <w:noProof/>
                <w:sz w:val="20"/>
                <w:szCs w:val="20"/>
                <w:lang w:val="en-IE"/>
              </w:rPr>
              <w:t>Researchers</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16796D8A" w14:textId="1D33688B" w:rsidR="002F7490" w:rsidRPr="0030098A" w:rsidRDefault="5B433BCC" w:rsidP="00603157">
            <w:pPr>
              <w:spacing w:after="0"/>
              <w:jc w:val="center"/>
              <w:rPr>
                <w:rFonts w:ascii="Aptos" w:eastAsia="Aptos" w:hAnsi="Aptos" w:cs="Aptos"/>
                <w:noProof/>
                <w:sz w:val="20"/>
                <w:szCs w:val="20"/>
                <w:lang w:val="en-IE"/>
              </w:rPr>
            </w:pPr>
            <w:r w:rsidRPr="58BF9D30">
              <w:rPr>
                <w:rFonts w:ascii="Aptos" w:eastAsia="Aptos" w:hAnsi="Aptos" w:cs="Aptos"/>
                <w:noProof/>
                <w:sz w:val="20"/>
                <w:szCs w:val="20"/>
                <w:lang w:val="en-IE"/>
              </w:rPr>
              <w:t>+</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4B6C106A" w14:textId="38E3209A" w:rsidR="002F7490" w:rsidRPr="0030098A" w:rsidRDefault="5B433BCC" w:rsidP="00603157">
            <w:pPr>
              <w:spacing w:after="0"/>
              <w:jc w:val="center"/>
              <w:rPr>
                <w:rFonts w:ascii="Aptos" w:eastAsia="Aptos" w:hAnsi="Aptos" w:cs="Aptos"/>
                <w:noProof/>
                <w:sz w:val="20"/>
                <w:szCs w:val="20"/>
                <w:lang w:val="en-IE"/>
              </w:rPr>
            </w:pPr>
            <w:r w:rsidRPr="58BF9D30">
              <w:rPr>
                <w:rFonts w:ascii="Aptos" w:eastAsia="Aptos" w:hAnsi="Aptos" w:cs="Aptos"/>
                <w:noProof/>
                <w:sz w:val="20"/>
                <w:szCs w:val="20"/>
                <w:lang w:val="en-IE"/>
              </w:rPr>
              <w:t>+</w:t>
            </w:r>
          </w:p>
        </w:tc>
        <w:tc>
          <w:tcPr>
            <w:tcW w:w="2839"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0BBE7EB7" w14:textId="5C6FE9F5" w:rsidR="002F7490" w:rsidRPr="0030098A" w:rsidRDefault="5B433BCC" w:rsidP="00603157">
            <w:pPr>
              <w:spacing w:after="0"/>
              <w:jc w:val="center"/>
              <w:rPr>
                <w:rFonts w:ascii="Aptos" w:eastAsia="Aptos" w:hAnsi="Aptos" w:cs="Aptos"/>
                <w:noProof/>
                <w:sz w:val="20"/>
                <w:szCs w:val="20"/>
                <w:lang w:val="en-IE"/>
              </w:rPr>
            </w:pPr>
            <w:r w:rsidRPr="58BF9D30">
              <w:rPr>
                <w:rFonts w:ascii="Aptos" w:eastAsia="Aptos" w:hAnsi="Aptos" w:cs="Aptos"/>
                <w:noProof/>
                <w:sz w:val="20"/>
                <w:szCs w:val="20"/>
                <w:lang w:val="en-IE"/>
              </w:rPr>
              <w:t>++</w:t>
            </w:r>
          </w:p>
        </w:tc>
      </w:tr>
      <w:tr w:rsidR="002F7490" w14:paraId="78F650B1" w14:textId="77777777" w:rsidTr="00DB63DD">
        <w:trPr>
          <w:trHeight w:val="570"/>
          <w:jc w:val="center"/>
        </w:trPr>
        <w:tc>
          <w:tcPr>
            <w:tcW w:w="2117" w:type="dxa"/>
            <w:vMerge/>
            <w:tcMar>
              <w:left w:w="108" w:type="dxa"/>
              <w:right w:w="108" w:type="dxa"/>
            </w:tcMar>
            <w:vAlign w:val="center"/>
          </w:tcPr>
          <w:p w14:paraId="49662BA7" w14:textId="77777777" w:rsidR="002F7490" w:rsidRPr="0030098A" w:rsidRDefault="002F7490" w:rsidP="00603157">
            <w:pPr>
              <w:jc w:val="right"/>
              <w:rPr>
                <w:rFonts w:ascii="Aptos" w:eastAsia="Aptos" w:hAnsi="Aptos" w:cs="Aptos"/>
                <w:b/>
                <w:noProof/>
                <w:sz w:val="20"/>
                <w:szCs w:val="20"/>
                <w:lang w:val="en-IE"/>
              </w:rPr>
            </w:pP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A57C6F" w14:textId="77777777" w:rsidR="002F7490" w:rsidRPr="0028115E" w:rsidRDefault="002F7490" w:rsidP="00603157">
            <w:pPr>
              <w:rPr>
                <w:rFonts w:ascii="Aptos" w:eastAsia="Aptos" w:hAnsi="Aptos" w:cs="Aptos"/>
                <w:noProof/>
                <w:sz w:val="16"/>
                <w:szCs w:val="16"/>
                <w:lang w:val="en-IE"/>
              </w:rPr>
            </w:pPr>
            <w:r w:rsidRPr="0028115E">
              <w:rPr>
                <w:rFonts w:ascii="Aptos" w:eastAsia="Aptos" w:hAnsi="Aptos" w:cs="Aptos"/>
                <w:noProof/>
                <w:sz w:val="16"/>
                <w:szCs w:val="16"/>
                <w:lang w:val="en-IE"/>
              </w:rPr>
              <w:t>As for ROs and academia.</w:t>
            </w: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A39534" w14:textId="77777777" w:rsidR="002F7490" w:rsidRPr="0030098A" w:rsidRDefault="002F7490" w:rsidP="00603157">
            <w:pPr>
              <w:rPr>
                <w:rFonts w:ascii="Aptos" w:eastAsia="Aptos" w:hAnsi="Aptos" w:cs="Aptos"/>
                <w:noProof/>
                <w:sz w:val="20"/>
                <w:szCs w:val="20"/>
                <w:lang w:val="en-IE"/>
              </w:rPr>
            </w:pPr>
            <w:r w:rsidRPr="000B0F16">
              <w:rPr>
                <w:rFonts w:ascii="Aptos" w:eastAsia="Aptos" w:hAnsi="Aptos" w:cs="Aptos"/>
                <w:noProof/>
                <w:sz w:val="16"/>
                <w:szCs w:val="16"/>
                <w:lang w:val="en-IE"/>
              </w:rPr>
              <w:t>As for ROs and academia.</w:t>
            </w:r>
          </w:p>
        </w:tc>
        <w:tc>
          <w:tcPr>
            <w:tcW w:w="28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9FAE81" w14:textId="1046B56C" w:rsidR="002F7490" w:rsidRPr="0030098A" w:rsidRDefault="002F7490" w:rsidP="00D47F28">
            <w:pPr>
              <w:jc w:val="left"/>
              <w:rPr>
                <w:rFonts w:ascii="Aptos" w:eastAsia="Aptos" w:hAnsi="Aptos" w:cs="Aptos"/>
                <w:noProof/>
                <w:sz w:val="20"/>
                <w:szCs w:val="20"/>
                <w:lang w:val="en-IE"/>
              </w:rPr>
            </w:pPr>
            <w:r w:rsidRPr="000B0F16">
              <w:rPr>
                <w:rFonts w:ascii="Aptos" w:eastAsia="Aptos" w:hAnsi="Aptos" w:cs="Aptos"/>
                <w:noProof/>
                <w:sz w:val="16"/>
                <w:szCs w:val="16"/>
                <w:lang w:val="en-IE"/>
              </w:rPr>
              <w:t>As for ROs and academia.</w:t>
            </w:r>
            <w:r>
              <w:rPr>
                <w:rFonts w:ascii="Aptos" w:eastAsia="Aptos" w:hAnsi="Aptos" w:cs="Aptos"/>
                <w:noProof/>
                <w:sz w:val="16"/>
                <w:szCs w:val="16"/>
                <w:lang w:val="en-IE"/>
              </w:rPr>
              <w:t xml:space="preserve"> </w:t>
            </w:r>
          </w:p>
        </w:tc>
      </w:tr>
      <w:tr w:rsidR="002F7490" w14:paraId="7267E7D3" w14:textId="77777777" w:rsidTr="51E02097">
        <w:trPr>
          <w:trHeight w:val="199"/>
          <w:jc w:val="center"/>
        </w:trPr>
        <w:tc>
          <w:tcPr>
            <w:tcW w:w="2117" w:type="dxa"/>
            <w:vMerge w:val="restart"/>
            <w:tcBorders>
              <w:left w:val="single" w:sz="8" w:space="0" w:color="auto"/>
              <w:right w:val="single" w:sz="8" w:space="0" w:color="auto"/>
            </w:tcBorders>
            <w:tcMar>
              <w:left w:w="108" w:type="dxa"/>
              <w:right w:w="108" w:type="dxa"/>
            </w:tcMar>
            <w:vAlign w:val="center"/>
          </w:tcPr>
          <w:p w14:paraId="1C82A198" w14:textId="77777777" w:rsidR="002F7490" w:rsidRPr="0030098A" w:rsidRDefault="002F7490" w:rsidP="00603157">
            <w:pPr>
              <w:jc w:val="right"/>
              <w:rPr>
                <w:rFonts w:ascii="Aptos" w:eastAsia="Aptos" w:hAnsi="Aptos" w:cs="Aptos"/>
                <w:b/>
                <w:noProof/>
                <w:sz w:val="20"/>
                <w:szCs w:val="20"/>
                <w:lang w:val="en-IE"/>
              </w:rPr>
            </w:pPr>
            <w:r w:rsidRPr="0030098A">
              <w:rPr>
                <w:rFonts w:ascii="Aptos" w:eastAsia="Aptos" w:hAnsi="Aptos" w:cs="Aptos"/>
                <w:b/>
                <w:noProof/>
                <w:sz w:val="20"/>
                <w:szCs w:val="20"/>
                <w:lang w:val="en-IE"/>
              </w:rPr>
              <w:t>Private and public financial entities</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5A7E1178" w14:textId="20E04311" w:rsidR="002F7490" w:rsidRPr="0030098A" w:rsidRDefault="3F4281A4" w:rsidP="00603157">
            <w:pPr>
              <w:spacing w:after="0"/>
              <w:jc w:val="center"/>
              <w:rPr>
                <w:rFonts w:ascii="Aptos" w:eastAsia="Aptos" w:hAnsi="Aptos" w:cs="Aptos"/>
                <w:noProof/>
                <w:sz w:val="20"/>
                <w:szCs w:val="20"/>
                <w:lang w:val="en-IE"/>
              </w:rPr>
            </w:pPr>
            <w:r w:rsidRPr="58BF9D30">
              <w:rPr>
                <w:rFonts w:ascii="Aptos" w:eastAsia="Aptos" w:hAnsi="Aptos" w:cs="Aptos"/>
                <w:noProof/>
                <w:sz w:val="20"/>
                <w:szCs w:val="20"/>
                <w:lang w:val="en-IE"/>
              </w:rPr>
              <w:t>+</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31710CD9" w14:textId="4E5546FD" w:rsidR="002F7490" w:rsidRPr="0030098A" w:rsidRDefault="3F4281A4" w:rsidP="00603157">
            <w:pPr>
              <w:spacing w:after="0"/>
              <w:jc w:val="center"/>
              <w:rPr>
                <w:rFonts w:ascii="Aptos" w:eastAsia="Aptos" w:hAnsi="Aptos" w:cs="Aptos"/>
                <w:noProof/>
                <w:sz w:val="20"/>
                <w:szCs w:val="20"/>
                <w:lang w:val="en-IE"/>
              </w:rPr>
            </w:pPr>
            <w:r w:rsidRPr="58BF9D30">
              <w:rPr>
                <w:rFonts w:ascii="Aptos" w:eastAsia="Aptos" w:hAnsi="Aptos" w:cs="Aptos"/>
                <w:noProof/>
                <w:sz w:val="20"/>
                <w:szCs w:val="20"/>
                <w:lang w:val="en-IE"/>
              </w:rPr>
              <w:t>+</w:t>
            </w:r>
          </w:p>
        </w:tc>
        <w:tc>
          <w:tcPr>
            <w:tcW w:w="2839"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5906BC05" w14:textId="5AE51DC9" w:rsidR="002F7490" w:rsidRPr="0030098A" w:rsidRDefault="3F4281A4" w:rsidP="00603157">
            <w:pPr>
              <w:spacing w:after="0"/>
              <w:jc w:val="center"/>
              <w:rPr>
                <w:rFonts w:ascii="Aptos" w:eastAsia="Aptos" w:hAnsi="Aptos" w:cs="Aptos"/>
                <w:noProof/>
                <w:sz w:val="20"/>
                <w:szCs w:val="20"/>
                <w:lang w:val="en-IE"/>
              </w:rPr>
            </w:pPr>
            <w:r w:rsidRPr="58BF9D30">
              <w:rPr>
                <w:rFonts w:ascii="Aptos" w:eastAsia="Aptos" w:hAnsi="Aptos" w:cs="Aptos"/>
                <w:noProof/>
                <w:sz w:val="20"/>
                <w:szCs w:val="20"/>
                <w:lang w:val="en-IE"/>
              </w:rPr>
              <w:t>++</w:t>
            </w:r>
            <w:r w:rsidR="3108ED37" w:rsidRPr="58BF9D30">
              <w:rPr>
                <w:rFonts w:ascii="Aptos" w:eastAsia="Aptos" w:hAnsi="Aptos" w:cs="Aptos"/>
                <w:noProof/>
                <w:sz w:val="20"/>
                <w:szCs w:val="20"/>
                <w:lang w:val="en-IE"/>
              </w:rPr>
              <w:t>+</w:t>
            </w:r>
          </w:p>
        </w:tc>
      </w:tr>
      <w:tr w:rsidR="002F7490" w14:paraId="2B2F943B" w14:textId="77777777" w:rsidTr="51E02097">
        <w:trPr>
          <w:trHeight w:val="570"/>
          <w:jc w:val="center"/>
        </w:trPr>
        <w:tc>
          <w:tcPr>
            <w:tcW w:w="2117" w:type="dxa"/>
            <w:vMerge/>
            <w:tcMar>
              <w:left w:w="108" w:type="dxa"/>
              <w:right w:w="108" w:type="dxa"/>
            </w:tcMar>
            <w:vAlign w:val="center"/>
          </w:tcPr>
          <w:p w14:paraId="17358BF5" w14:textId="77777777" w:rsidR="002F7490" w:rsidRPr="0030098A" w:rsidRDefault="002F7490" w:rsidP="00603157">
            <w:pPr>
              <w:jc w:val="right"/>
              <w:rPr>
                <w:rFonts w:ascii="Aptos" w:eastAsia="Aptos" w:hAnsi="Aptos" w:cs="Aptos"/>
                <w:b/>
                <w:noProof/>
                <w:sz w:val="20"/>
                <w:szCs w:val="20"/>
                <w:lang w:val="en-IE"/>
              </w:rPr>
            </w:pP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46E4AE" w14:textId="671788D4" w:rsidR="002F7490" w:rsidRPr="0030098A" w:rsidRDefault="002F7490" w:rsidP="00603157">
            <w:pPr>
              <w:rPr>
                <w:rFonts w:ascii="Aptos" w:eastAsia="Aptos" w:hAnsi="Aptos" w:cs="Aptos"/>
                <w:noProof/>
                <w:sz w:val="16"/>
                <w:szCs w:val="16"/>
                <w:lang w:val="en-IE"/>
              </w:rPr>
            </w:pPr>
            <w:r w:rsidRPr="0030098A">
              <w:rPr>
                <w:rFonts w:ascii="Aptos" w:eastAsia="Aptos" w:hAnsi="Aptos" w:cs="Aptos"/>
                <w:noProof/>
                <w:sz w:val="16"/>
                <w:szCs w:val="16"/>
                <w:lang w:val="en-IE"/>
              </w:rPr>
              <w:t>+ continuity and predictability of existing funding instruments</w:t>
            </w:r>
            <w:r w:rsidR="2512DB10" w:rsidRPr="06077A5F">
              <w:rPr>
                <w:rFonts w:ascii="Aptos" w:eastAsia="Aptos" w:hAnsi="Aptos" w:cs="Aptos"/>
                <w:noProof/>
                <w:sz w:val="16"/>
                <w:szCs w:val="16"/>
                <w:lang w:val="en-IE"/>
              </w:rPr>
              <w:t>.</w:t>
            </w:r>
          </w:p>
          <w:p w14:paraId="46BFEDA2" w14:textId="42CDC41C" w:rsidR="002F7490" w:rsidRPr="0030098A" w:rsidRDefault="71616219" w:rsidP="00603157">
            <w:pPr>
              <w:rPr>
                <w:rFonts w:ascii="Aptos" w:eastAsia="Aptos" w:hAnsi="Aptos" w:cs="Aptos"/>
                <w:noProof/>
                <w:sz w:val="16"/>
                <w:szCs w:val="16"/>
                <w:lang w:val="en-IE"/>
              </w:rPr>
            </w:pPr>
            <w:r w:rsidRPr="58BF9D30">
              <w:rPr>
                <w:rFonts w:ascii="Aptos" w:eastAsia="Aptos" w:hAnsi="Aptos" w:cs="Aptos"/>
                <w:noProof/>
                <w:sz w:val="16"/>
                <w:szCs w:val="16"/>
                <w:lang w:val="en-IE"/>
              </w:rPr>
              <w:t xml:space="preserve">- </w:t>
            </w:r>
            <w:r w:rsidR="5E5B69EE" w:rsidRPr="58BF9D30">
              <w:rPr>
                <w:rFonts w:ascii="Aptos" w:eastAsia="Aptos" w:hAnsi="Aptos" w:cs="Aptos"/>
                <w:noProof/>
                <w:sz w:val="16"/>
                <w:szCs w:val="16"/>
                <w:lang w:val="en-IE"/>
              </w:rPr>
              <w:t>lack of flexibility in structuring funding solutions, including</w:t>
            </w:r>
            <w:r w:rsidR="002F7490" w:rsidRPr="0030098A">
              <w:rPr>
                <w:rFonts w:ascii="Aptos" w:eastAsia="Aptos" w:hAnsi="Aptos" w:cs="Aptos"/>
                <w:noProof/>
                <w:sz w:val="16"/>
                <w:szCs w:val="16"/>
                <w:lang w:val="en-IE"/>
              </w:rPr>
              <w:t xml:space="preserve"> blended </w:t>
            </w:r>
            <w:r w:rsidR="0E740D10" w:rsidRPr="58BF9D30">
              <w:rPr>
                <w:rFonts w:ascii="Aptos" w:eastAsia="Aptos" w:hAnsi="Aptos" w:cs="Aptos"/>
                <w:noProof/>
                <w:sz w:val="16"/>
                <w:szCs w:val="16"/>
                <w:lang w:val="en-IE"/>
              </w:rPr>
              <w:t>products</w:t>
            </w:r>
            <w:r w:rsidR="3A82684F" w:rsidRPr="58BF9D30">
              <w:rPr>
                <w:rFonts w:ascii="Aptos" w:eastAsia="Aptos" w:hAnsi="Aptos" w:cs="Aptos"/>
                <w:noProof/>
                <w:sz w:val="16"/>
                <w:szCs w:val="16"/>
                <w:lang w:val="en-IE"/>
              </w:rPr>
              <w:t>.</w:t>
            </w: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0C3498" w14:textId="77777777" w:rsidR="002F7490" w:rsidRPr="0030098A" w:rsidRDefault="002F7490" w:rsidP="00603157">
            <w:pPr>
              <w:rPr>
                <w:rFonts w:ascii="Aptos" w:eastAsia="Aptos" w:hAnsi="Aptos" w:cs="Aptos"/>
                <w:noProof/>
                <w:sz w:val="16"/>
                <w:szCs w:val="16"/>
                <w:lang w:val="en-IE"/>
              </w:rPr>
            </w:pPr>
            <w:r w:rsidRPr="0030098A">
              <w:rPr>
                <w:rFonts w:ascii="Aptos" w:eastAsia="Aptos" w:hAnsi="Aptos" w:cs="Aptos"/>
                <w:noProof/>
                <w:sz w:val="16"/>
                <w:szCs w:val="16"/>
                <w:lang w:val="en-IE"/>
              </w:rPr>
              <w:t>+ easier alignment of the financial entities’ investment strategies with EU policy objectives.</w:t>
            </w:r>
          </w:p>
          <w:p w14:paraId="0B4A95C5" w14:textId="237920F4" w:rsidR="002F7490" w:rsidRPr="0030098A" w:rsidRDefault="002F7490" w:rsidP="00603157">
            <w:pPr>
              <w:rPr>
                <w:rFonts w:ascii="Aptos" w:eastAsia="Aptos" w:hAnsi="Aptos" w:cs="Aptos"/>
                <w:noProof/>
                <w:sz w:val="16"/>
                <w:szCs w:val="16"/>
                <w:lang w:val="en-IE"/>
              </w:rPr>
            </w:pPr>
            <w:r w:rsidRPr="0030098A">
              <w:rPr>
                <w:rFonts w:ascii="Aptos" w:eastAsia="Aptos" w:hAnsi="Aptos" w:cs="Aptos"/>
                <w:noProof/>
                <w:sz w:val="16"/>
                <w:szCs w:val="16"/>
                <w:lang w:val="en-IE"/>
              </w:rPr>
              <w:t>-</w:t>
            </w:r>
            <w:r w:rsidR="555660CF" w:rsidRPr="58BF9D30">
              <w:rPr>
                <w:rFonts w:ascii="Aptos" w:eastAsia="Aptos" w:hAnsi="Aptos" w:cs="Aptos"/>
                <w:noProof/>
                <w:sz w:val="16"/>
                <w:szCs w:val="16"/>
                <w:lang w:val="en-IE"/>
              </w:rPr>
              <w:t xml:space="preserve"> lack of flexibility in structuring funding solutions, including blended products.</w:t>
            </w:r>
          </w:p>
        </w:tc>
        <w:tc>
          <w:tcPr>
            <w:tcW w:w="28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606548" w14:textId="77777777" w:rsidR="002F7490" w:rsidRPr="0030098A" w:rsidRDefault="002F7490" w:rsidP="00603157">
            <w:pPr>
              <w:rPr>
                <w:rFonts w:ascii="Aptos" w:eastAsia="Aptos" w:hAnsi="Aptos" w:cs="Aptos"/>
                <w:noProof/>
                <w:sz w:val="16"/>
                <w:szCs w:val="16"/>
                <w:lang w:val="en-IE"/>
              </w:rPr>
            </w:pPr>
            <w:r w:rsidRPr="0030098A">
              <w:rPr>
                <w:rFonts w:ascii="Aptos" w:eastAsia="Aptos" w:hAnsi="Aptos" w:cs="Aptos"/>
                <w:noProof/>
                <w:sz w:val="16"/>
                <w:szCs w:val="16"/>
                <w:lang w:val="en-IE"/>
              </w:rPr>
              <w:t>+ Represented in the consultative board.</w:t>
            </w:r>
          </w:p>
          <w:p w14:paraId="581A5645" w14:textId="0EE8202F" w:rsidR="002F7490" w:rsidRPr="0030098A" w:rsidRDefault="002F7490" w:rsidP="00603157">
            <w:pPr>
              <w:rPr>
                <w:rFonts w:ascii="Aptos" w:eastAsia="Aptos" w:hAnsi="Aptos" w:cs="Aptos"/>
                <w:noProof/>
                <w:sz w:val="16"/>
                <w:szCs w:val="16"/>
                <w:lang w:val="en-IE"/>
              </w:rPr>
            </w:pPr>
            <w:r w:rsidRPr="0030098A">
              <w:rPr>
                <w:rFonts w:ascii="Aptos" w:eastAsia="Aptos" w:hAnsi="Aptos" w:cs="Aptos"/>
                <w:noProof/>
                <w:sz w:val="16"/>
                <w:szCs w:val="16"/>
                <w:lang w:val="en-IE"/>
              </w:rPr>
              <w:t xml:space="preserve">+ greater flexibility in structuring funding solutions, including </w:t>
            </w:r>
            <w:r w:rsidR="1B77266C" w:rsidRPr="58BF9D30">
              <w:rPr>
                <w:rFonts w:ascii="Aptos" w:eastAsia="Aptos" w:hAnsi="Aptos" w:cs="Aptos"/>
                <w:noProof/>
                <w:sz w:val="16"/>
                <w:szCs w:val="16"/>
                <w:lang w:val="en-IE"/>
              </w:rPr>
              <w:t xml:space="preserve">blended </w:t>
            </w:r>
            <w:r w:rsidRPr="0030098A">
              <w:rPr>
                <w:rFonts w:ascii="Aptos" w:eastAsia="Aptos" w:hAnsi="Aptos" w:cs="Aptos"/>
                <w:noProof/>
                <w:sz w:val="16"/>
                <w:szCs w:val="16"/>
                <w:lang w:val="en-IE"/>
              </w:rPr>
              <w:t>products.</w:t>
            </w:r>
          </w:p>
          <w:p w14:paraId="056C6A1D" w14:textId="74CC34C5" w:rsidR="002F7490" w:rsidRPr="0030098A" w:rsidRDefault="002F7490" w:rsidP="00603157">
            <w:pPr>
              <w:rPr>
                <w:rFonts w:ascii="Aptos" w:eastAsia="Aptos" w:hAnsi="Aptos" w:cs="Aptos"/>
                <w:noProof/>
                <w:sz w:val="20"/>
                <w:szCs w:val="20"/>
                <w:lang w:val="en-IE"/>
              </w:rPr>
            </w:pPr>
            <w:r w:rsidRPr="2A1AD167">
              <w:rPr>
                <w:rFonts w:ascii="Aptos" w:eastAsia="Aptos" w:hAnsi="Aptos" w:cs="Aptos"/>
                <w:noProof/>
                <w:sz w:val="16"/>
                <w:szCs w:val="16"/>
                <w:lang w:val="en-IE"/>
              </w:rPr>
              <w:t>- possible uncertainty in the early stage of implementation due to the new funding landscape.</w:t>
            </w:r>
            <w:r w:rsidRPr="2A1AD167">
              <w:rPr>
                <w:rFonts w:ascii="Aptos" w:eastAsia="Aptos" w:hAnsi="Aptos" w:cs="Aptos"/>
                <w:noProof/>
                <w:sz w:val="20"/>
                <w:szCs w:val="20"/>
                <w:lang w:val="en-IE"/>
              </w:rPr>
              <w:t xml:space="preserve"> </w:t>
            </w:r>
          </w:p>
        </w:tc>
      </w:tr>
    </w:tbl>
    <w:p w14:paraId="5B567007" w14:textId="77777777" w:rsidR="00FC3D58" w:rsidRPr="0030098A" w:rsidRDefault="00FC3D58" w:rsidP="00603157">
      <w:pPr>
        <w:spacing w:after="0"/>
        <w:rPr>
          <w:rFonts w:ascii="Aptos" w:eastAsia="Aptos" w:hAnsi="Aptos" w:cs="Aptos"/>
          <w:noProof/>
          <w:sz w:val="22"/>
          <w:szCs w:val="22"/>
          <w:lang w:val="en-IE"/>
        </w:rPr>
      </w:pPr>
      <w:r w:rsidRPr="0030098A">
        <w:rPr>
          <w:rFonts w:ascii="Aptos" w:eastAsia="Aptos" w:hAnsi="Aptos" w:cs="Aptos"/>
          <w:noProof/>
          <w:sz w:val="22"/>
          <w:szCs w:val="22"/>
          <w:lang w:val="en-IE"/>
        </w:rPr>
        <w:t xml:space="preserve"> </w:t>
      </w:r>
    </w:p>
    <w:p w14:paraId="1E149928" w14:textId="77777777" w:rsidR="00FC3D58" w:rsidRPr="0030098A" w:rsidRDefault="00FC3D58" w:rsidP="00630814">
      <w:pPr>
        <w:pStyle w:val="Heading2"/>
        <w:tabs>
          <w:tab w:val="clear" w:pos="1200"/>
          <w:tab w:val="num" w:pos="720"/>
          <w:tab w:val="num" w:pos="10217"/>
        </w:tabs>
        <w:spacing w:before="0" w:after="240"/>
        <w:ind w:left="720"/>
        <w:rPr>
          <w:noProof/>
          <w:lang w:val="en-IE"/>
        </w:rPr>
      </w:pPr>
      <w:bookmarkStart w:id="264" w:name="_Toc195700237"/>
      <w:bookmarkStart w:id="265" w:name="_Toc203043654"/>
      <w:r w:rsidRPr="0030098A">
        <w:rPr>
          <w:noProof/>
          <w:lang w:val="en-IE"/>
        </w:rPr>
        <w:t>Coherence</w:t>
      </w:r>
      <w:bookmarkEnd w:id="264"/>
      <w:bookmarkEnd w:id="265"/>
    </w:p>
    <w:p w14:paraId="1A23A35C" w14:textId="04BD4D40" w:rsidR="00FC3D58" w:rsidRDefault="00FC3D58" w:rsidP="00603157">
      <w:pPr>
        <w:pStyle w:val="Text2"/>
        <w:ind w:left="0"/>
        <w:rPr>
          <w:noProof/>
          <w:lang w:val="en-IE"/>
        </w:rPr>
      </w:pPr>
      <w:r>
        <w:rPr>
          <w:noProof/>
          <w:lang w:val="en-IE"/>
        </w:rPr>
        <w:t>T</w:t>
      </w:r>
      <w:r w:rsidRPr="001A7BE1">
        <w:rPr>
          <w:noProof/>
          <w:lang w:val="en-IE"/>
        </w:rPr>
        <w:t>hree options are considered:</w:t>
      </w:r>
      <w:r w:rsidR="002429C0">
        <w:rPr>
          <w:noProof/>
          <w:lang w:val="en-IE"/>
        </w:rPr>
        <w:t xml:space="preserve"> (1)</w:t>
      </w:r>
      <w:r w:rsidR="002429C0">
        <w:rPr>
          <w:noProof/>
          <w:lang w:val="en-US"/>
        </w:rPr>
        <w:t xml:space="preserve"> </w:t>
      </w:r>
      <w:r w:rsidRPr="00B03DD3">
        <w:rPr>
          <w:noProof/>
          <w:lang w:val="en-US"/>
        </w:rPr>
        <w:t>Option A: Limited coherence improvements due to unaddressed fragmentation</w:t>
      </w:r>
      <w:r w:rsidR="002429C0">
        <w:rPr>
          <w:noProof/>
          <w:lang w:val="en-US"/>
        </w:rPr>
        <w:t xml:space="preserve">; (2) </w:t>
      </w:r>
      <w:r w:rsidRPr="00B03DD3">
        <w:rPr>
          <w:noProof/>
          <w:lang w:val="en-US"/>
        </w:rPr>
        <w:t xml:space="preserve">Option B: Moderate coherence improvement through </w:t>
      </w:r>
      <w:r w:rsidRPr="00BB184A">
        <w:rPr>
          <w:noProof/>
        </w:rPr>
        <w:t>standardised</w:t>
      </w:r>
      <w:r w:rsidRPr="00B03DD3">
        <w:rPr>
          <w:noProof/>
          <w:lang w:val="en-US"/>
        </w:rPr>
        <w:t xml:space="preserve"> rules, but fragmented governance remains</w:t>
      </w:r>
      <w:r w:rsidR="002429C0">
        <w:rPr>
          <w:noProof/>
          <w:lang w:val="en-US"/>
        </w:rPr>
        <w:t xml:space="preserve">; (3) </w:t>
      </w:r>
      <w:r w:rsidRPr="00B03DD3">
        <w:rPr>
          <w:noProof/>
          <w:lang w:val="en-US"/>
        </w:rPr>
        <w:t>Option C: Significant coherence enhancement through consolidated funding, reduced duplication, and broken sectoral silos.</w:t>
      </w:r>
    </w:p>
    <w:tbl>
      <w:tblPr>
        <w:tblStyle w:val="TableGrid"/>
        <w:tblW w:w="10632" w:type="dxa"/>
        <w:jc w:val="center"/>
        <w:tblLayout w:type="fixed"/>
        <w:tblLook w:val="04A0" w:firstRow="1" w:lastRow="0" w:firstColumn="1" w:lastColumn="0" w:noHBand="0" w:noVBand="1"/>
      </w:tblPr>
      <w:tblGrid>
        <w:gridCol w:w="2117"/>
        <w:gridCol w:w="2838"/>
        <w:gridCol w:w="2838"/>
        <w:gridCol w:w="2839"/>
      </w:tblGrid>
      <w:tr w:rsidR="00FC3D58" w14:paraId="57F0801E" w14:textId="77777777" w:rsidTr="520177E4">
        <w:trPr>
          <w:trHeight w:val="300"/>
          <w:tblHeader/>
          <w:jc w:val="center"/>
        </w:trPr>
        <w:tc>
          <w:tcPr>
            <w:tcW w:w="2117"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643ED145" w14:textId="77777777" w:rsidR="00FC3D58" w:rsidRPr="0030098A" w:rsidRDefault="00FC3D58" w:rsidP="00603157">
            <w:pPr>
              <w:spacing w:after="0"/>
              <w:rPr>
                <w:noProof/>
                <w:lang w:val="en-IE"/>
              </w:rPr>
            </w:pPr>
            <w:r w:rsidRPr="0030098A">
              <w:rPr>
                <w:rFonts w:ascii="Aptos" w:eastAsia="Aptos" w:hAnsi="Aptos" w:cs="Aptos"/>
                <w:b/>
                <w:noProof/>
                <w:color w:val="000000" w:themeColor="text1"/>
                <w:sz w:val="20"/>
                <w:szCs w:val="20"/>
                <w:lang w:val="en-IE"/>
              </w:rPr>
              <w:t>Coherence</w:t>
            </w:r>
          </w:p>
        </w:tc>
        <w:tc>
          <w:tcPr>
            <w:tcW w:w="2838"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58EF1D88" w14:textId="77777777" w:rsidR="00FC3D58" w:rsidRPr="0030098A" w:rsidRDefault="00FC3D58" w:rsidP="00603157">
            <w:pPr>
              <w:spacing w:after="0"/>
              <w:jc w:val="center"/>
              <w:rPr>
                <w:noProof/>
                <w:lang w:val="en-IE"/>
              </w:rPr>
            </w:pPr>
            <w:r w:rsidRPr="0030098A">
              <w:rPr>
                <w:rFonts w:ascii="Aptos" w:eastAsia="Aptos" w:hAnsi="Aptos" w:cs="Aptos"/>
                <w:b/>
                <w:noProof/>
                <w:color w:val="000000" w:themeColor="text1"/>
                <w:sz w:val="20"/>
                <w:szCs w:val="20"/>
                <w:lang w:val="en-IE"/>
              </w:rPr>
              <w:t>Option A – Business-as-usual-plus</w:t>
            </w:r>
          </w:p>
        </w:tc>
        <w:tc>
          <w:tcPr>
            <w:tcW w:w="2838"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684CBF99" w14:textId="77777777" w:rsidR="00FC3D58" w:rsidRPr="0030098A" w:rsidRDefault="00FC3D58" w:rsidP="00603157">
            <w:pPr>
              <w:spacing w:after="0"/>
              <w:jc w:val="center"/>
              <w:rPr>
                <w:noProof/>
                <w:lang w:val="en-IE"/>
              </w:rPr>
            </w:pPr>
            <w:r w:rsidRPr="0030098A">
              <w:rPr>
                <w:rFonts w:ascii="Aptos" w:eastAsia="Aptos" w:hAnsi="Aptos" w:cs="Aptos"/>
                <w:b/>
                <w:noProof/>
                <w:color w:val="000000" w:themeColor="text1"/>
                <w:sz w:val="20"/>
                <w:szCs w:val="20"/>
                <w:lang w:val="en-IE"/>
              </w:rPr>
              <w:t>Option B – Enhanced coordination</w:t>
            </w:r>
          </w:p>
        </w:tc>
        <w:tc>
          <w:tcPr>
            <w:tcW w:w="2839"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635F3E93" w14:textId="77777777" w:rsidR="00FC3D58" w:rsidRPr="0030098A" w:rsidRDefault="00FC3D58" w:rsidP="00603157">
            <w:pPr>
              <w:spacing w:after="0"/>
              <w:jc w:val="center"/>
              <w:rPr>
                <w:noProof/>
                <w:lang w:val="en-IE"/>
              </w:rPr>
            </w:pPr>
            <w:r w:rsidRPr="0030098A">
              <w:rPr>
                <w:rFonts w:ascii="Aptos" w:eastAsia="Aptos" w:hAnsi="Aptos" w:cs="Aptos"/>
                <w:b/>
                <w:noProof/>
                <w:color w:val="000000" w:themeColor="text1"/>
                <w:sz w:val="20"/>
                <w:szCs w:val="20"/>
                <w:lang w:val="en-IE"/>
              </w:rPr>
              <w:t>Option C – Full consolidation</w:t>
            </w:r>
          </w:p>
        </w:tc>
      </w:tr>
      <w:tr w:rsidR="00FC3D58" w14:paraId="217FD658" w14:textId="77777777" w:rsidTr="520177E4">
        <w:trPr>
          <w:trHeight w:val="315"/>
          <w:jc w:val="center"/>
        </w:trPr>
        <w:tc>
          <w:tcPr>
            <w:tcW w:w="2117"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6FDC42" w14:textId="77777777" w:rsidR="00FC3D58" w:rsidRPr="0030098A" w:rsidRDefault="00FC3D58" w:rsidP="00603157">
            <w:pPr>
              <w:spacing w:after="0"/>
              <w:rPr>
                <w:noProof/>
                <w:lang w:val="en-IE"/>
              </w:rPr>
            </w:pPr>
            <w:r w:rsidRPr="0030098A">
              <w:rPr>
                <w:rFonts w:ascii="Aptos" w:eastAsia="Aptos" w:hAnsi="Aptos" w:cs="Aptos"/>
                <w:b/>
                <w:noProof/>
                <w:sz w:val="20"/>
                <w:szCs w:val="20"/>
                <w:lang w:val="en-IE"/>
              </w:rPr>
              <w:t>Internal coherence</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1E61B642"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0</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2599B322"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w:t>
            </w:r>
          </w:p>
        </w:tc>
        <w:tc>
          <w:tcPr>
            <w:tcW w:w="2839"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1479D8D3"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w:t>
            </w:r>
          </w:p>
        </w:tc>
      </w:tr>
      <w:tr w:rsidR="00FC3D58" w:rsidRPr="00412C22" w14:paraId="5980BCF0" w14:textId="77777777" w:rsidTr="520177E4">
        <w:trPr>
          <w:trHeight w:val="570"/>
          <w:jc w:val="center"/>
        </w:trPr>
        <w:tc>
          <w:tcPr>
            <w:tcW w:w="2117" w:type="dxa"/>
            <w:vMerge/>
            <w:tcMar>
              <w:left w:w="108" w:type="dxa"/>
              <w:right w:w="108" w:type="dxa"/>
            </w:tcMar>
            <w:vAlign w:val="center"/>
          </w:tcPr>
          <w:p w14:paraId="404EB095" w14:textId="77777777" w:rsidR="00FC3D58" w:rsidRPr="0030098A" w:rsidRDefault="00FC3D58" w:rsidP="00603157">
            <w:pPr>
              <w:rPr>
                <w:noProof/>
                <w:lang w:val="en-IE"/>
              </w:rPr>
            </w:pP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5D909F7" w14:textId="77777777"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 EC coordination across the programmes to enable improved horizontal consistency across funds.</w:t>
            </w:r>
          </w:p>
          <w:p w14:paraId="1260074C" w14:textId="77777777"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- 14 different programmes with their own entry-points.</w:t>
            </w:r>
          </w:p>
          <w:p w14:paraId="0904BBCA" w14:textId="1B9CE18B" w:rsidR="00FC3D58" w:rsidRPr="0030098A" w:rsidRDefault="00FC3D58" w:rsidP="00603157">
            <w:pPr>
              <w:rPr>
                <w:rFonts w:ascii="Aptos" w:eastAsia="Aptos" w:hAnsi="Aptos" w:cs="Aptos"/>
                <w:noProof/>
                <w:sz w:val="16"/>
                <w:szCs w:val="16"/>
                <w:lang w:val="en-IE"/>
              </w:rPr>
            </w:pPr>
            <w:r w:rsidRPr="6BB27D49">
              <w:rPr>
                <w:rFonts w:ascii="Aptos" w:eastAsia="Aptos" w:hAnsi="Aptos" w:cs="Aptos"/>
                <w:noProof/>
                <w:sz w:val="16"/>
                <w:szCs w:val="16"/>
                <w:lang w:val="en-IE"/>
              </w:rPr>
              <w:t xml:space="preserve">Similar </w:t>
            </w:r>
            <w:r w:rsidRPr="0030098A">
              <w:rPr>
                <w:rFonts w:ascii="Aptos" w:eastAsia="Aptos" w:hAnsi="Aptos" w:cs="Aptos"/>
                <w:noProof/>
                <w:sz w:val="16"/>
                <w:szCs w:val="16"/>
                <w:lang w:val="en-IE"/>
              </w:rPr>
              <w:t>level of internal coherence as the baseline. The coordination tool would diminish potential deficiencies in this regard</w:t>
            </w:r>
            <w:r w:rsidR="6C0D9B65" w:rsidRPr="53E26BD3">
              <w:rPr>
                <w:rFonts w:ascii="Aptos" w:eastAsia="Aptos" w:hAnsi="Aptos" w:cs="Aptos"/>
                <w:noProof/>
                <w:sz w:val="16"/>
                <w:szCs w:val="16"/>
                <w:lang w:val="en-IE"/>
              </w:rPr>
              <w:t>.</w:t>
            </w:r>
          </w:p>
          <w:p w14:paraId="15A4EB4F" w14:textId="77777777" w:rsidR="00FC3D58" w:rsidRPr="0030098A" w:rsidRDefault="00FC3D58" w:rsidP="00603157">
            <w:pPr>
              <w:rPr>
                <w:rFonts w:ascii="Aptos" w:eastAsia="Aptos" w:hAnsi="Aptos" w:cs="Aptos"/>
                <w:noProof/>
                <w:sz w:val="16"/>
                <w:szCs w:val="16"/>
                <w:lang w:val="en-IE"/>
              </w:rPr>
            </w:pP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E3EEA4" w14:textId="77777777"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 Alignment in the basic provisions of the individual programmes.</w:t>
            </w:r>
          </w:p>
          <w:p w14:paraId="2D470B95" w14:textId="77777777"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- 14 different programmes with their own entry-points.</w:t>
            </w:r>
          </w:p>
          <w:p w14:paraId="19940C4D" w14:textId="77777777" w:rsidR="00FC3D58" w:rsidRPr="0030098A" w:rsidRDefault="00FC3D58" w:rsidP="00603157">
            <w:pPr>
              <w:rPr>
                <w:rFonts w:ascii="Aptos" w:eastAsia="Aptos" w:hAnsi="Aptos" w:cs="Aptos"/>
                <w:noProof/>
                <w:sz w:val="16"/>
                <w:szCs w:val="16"/>
                <w:lang w:val="en-IE"/>
              </w:rPr>
            </w:pPr>
          </w:p>
          <w:p w14:paraId="5FA8B026" w14:textId="06C59F21"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Slightly higher internal coherence than Option A, considering the higher level of strategic steer, the existence of a single rulebook and the coordination tool</w:t>
            </w:r>
            <w:r w:rsidR="2B3769E9" w:rsidRPr="53E26BD3">
              <w:rPr>
                <w:rFonts w:ascii="Aptos" w:eastAsia="Aptos" w:hAnsi="Aptos" w:cs="Aptos"/>
                <w:noProof/>
                <w:sz w:val="16"/>
                <w:szCs w:val="16"/>
                <w:lang w:val="en-IE"/>
              </w:rPr>
              <w:t>.</w:t>
            </w:r>
          </w:p>
          <w:p w14:paraId="657A9B43" w14:textId="77777777" w:rsidR="00FC3D58" w:rsidRPr="0030098A" w:rsidRDefault="00FC3D58" w:rsidP="00603157">
            <w:pPr>
              <w:rPr>
                <w:rFonts w:ascii="Aptos" w:eastAsia="Aptos" w:hAnsi="Aptos" w:cs="Aptos"/>
                <w:noProof/>
                <w:sz w:val="16"/>
                <w:szCs w:val="16"/>
                <w:lang w:val="en-IE"/>
              </w:rPr>
            </w:pPr>
          </w:p>
        </w:tc>
        <w:tc>
          <w:tcPr>
            <w:tcW w:w="28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760049" w14:textId="277E3EB5" w:rsidR="00FC3D58" w:rsidRPr="0030098A" w:rsidRDefault="00FC3D58" w:rsidP="00603157">
            <w:pPr>
              <w:rPr>
                <w:rFonts w:ascii="Aptos" w:eastAsia="Aptos" w:hAnsi="Aptos" w:cs="Aptos"/>
                <w:noProof/>
                <w:sz w:val="16"/>
                <w:szCs w:val="16"/>
                <w:lang w:val="en-IE"/>
              </w:rPr>
            </w:pPr>
            <w:r w:rsidRPr="204CA1C3">
              <w:rPr>
                <w:rFonts w:ascii="Aptos" w:eastAsia="Aptos" w:hAnsi="Aptos" w:cs="Aptos"/>
                <w:noProof/>
                <w:sz w:val="16"/>
                <w:szCs w:val="16"/>
                <w:lang w:val="en-IE"/>
              </w:rPr>
              <w:t>+ Common rulebook and single-entry point</w:t>
            </w:r>
            <w:r w:rsidR="093BBF07" w:rsidRPr="204CA1C3">
              <w:rPr>
                <w:rFonts w:ascii="Aptos" w:eastAsia="Aptos" w:hAnsi="Aptos" w:cs="Aptos"/>
                <w:noProof/>
                <w:sz w:val="16"/>
                <w:szCs w:val="16"/>
                <w:lang w:val="en-IE"/>
              </w:rPr>
              <w:t>.</w:t>
            </w:r>
          </w:p>
          <w:p w14:paraId="6D55A91E" w14:textId="309252E8"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 xml:space="preserve">+ Coordination between the different instruments (grant, guarantees, equity etc.). </w:t>
            </w:r>
          </w:p>
          <w:p w14:paraId="0A45E348" w14:textId="77777777" w:rsidR="00FC3D58" w:rsidRPr="00516C66" w:rsidRDefault="00FC3D58" w:rsidP="00603157">
            <w:pPr>
              <w:rPr>
                <w:rFonts w:ascii="Aptos" w:eastAsia="Aptos" w:hAnsi="Aptos" w:cs="Aptos"/>
                <w:noProof/>
                <w:sz w:val="16"/>
                <w:szCs w:val="16"/>
                <w:lang w:val="en-IE"/>
              </w:rPr>
            </w:pPr>
            <w:r w:rsidRPr="204CA1C3">
              <w:rPr>
                <w:rFonts w:ascii="Aptos" w:eastAsia="Aptos" w:hAnsi="Aptos" w:cs="Aptos"/>
                <w:noProof/>
                <w:sz w:val="16"/>
                <w:szCs w:val="16"/>
                <w:lang w:val="en-IE"/>
              </w:rPr>
              <w:t xml:space="preserve">+ Easier exploitation of the synergies among instruments and actions falling under the same programme. </w:t>
            </w:r>
          </w:p>
          <w:p w14:paraId="38E58DE1" w14:textId="40BCA953" w:rsidR="00FC3D58" w:rsidRPr="00E05B09"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 xml:space="preserve">Higher level of internal coherence. One single fund, one single rulebook, increased strategic steer and common objectives. </w:t>
            </w:r>
          </w:p>
        </w:tc>
      </w:tr>
      <w:tr w:rsidR="00FC3D58" w14:paraId="1A409F0D" w14:textId="77777777" w:rsidTr="520177E4">
        <w:trPr>
          <w:trHeight w:val="300"/>
          <w:jc w:val="center"/>
        </w:trPr>
        <w:tc>
          <w:tcPr>
            <w:tcW w:w="2117"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DD38FA" w14:textId="77777777" w:rsidR="00FC3D58" w:rsidRPr="0030098A" w:rsidRDefault="00FC3D58" w:rsidP="00603157">
            <w:pPr>
              <w:spacing w:after="0"/>
              <w:rPr>
                <w:noProof/>
                <w:lang w:val="en-IE"/>
              </w:rPr>
            </w:pPr>
            <w:r w:rsidRPr="0030098A">
              <w:rPr>
                <w:rFonts w:ascii="Aptos" w:eastAsia="Aptos" w:hAnsi="Aptos" w:cs="Aptos"/>
                <w:b/>
                <w:noProof/>
                <w:sz w:val="20"/>
                <w:szCs w:val="20"/>
                <w:lang w:val="en-IE"/>
              </w:rPr>
              <w:t>Synergies with other EU programs</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53DF96FA"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0</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43AFCB96"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w:t>
            </w:r>
          </w:p>
        </w:tc>
        <w:tc>
          <w:tcPr>
            <w:tcW w:w="2839"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4A22205E"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w:t>
            </w:r>
          </w:p>
        </w:tc>
      </w:tr>
      <w:tr w:rsidR="00FC3D58" w14:paraId="097E9744" w14:textId="77777777" w:rsidTr="520177E4">
        <w:trPr>
          <w:trHeight w:val="570"/>
          <w:jc w:val="center"/>
        </w:trPr>
        <w:tc>
          <w:tcPr>
            <w:tcW w:w="2117" w:type="dxa"/>
            <w:vMerge/>
            <w:tcMar>
              <w:left w:w="108" w:type="dxa"/>
              <w:right w:w="108" w:type="dxa"/>
            </w:tcMar>
            <w:vAlign w:val="center"/>
          </w:tcPr>
          <w:p w14:paraId="3C227497" w14:textId="77777777" w:rsidR="00FC3D58" w:rsidRPr="0030098A" w:rsidRDefault="00FC3D58" w:rsidP="00603157">
            <w:pPr>
              <w:rPr>
                <w:noProof/>
                <w:lang w:val="en-IE"/>
              </w:rPr>
            </w:pP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DF878B" w14:textId="781027C9"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 Limited synergies due to the existence of multiple distinct programs, conflicting policy objectives and inconsistent provisions in their basic acts.</w:t>
            </w:r>
          </w:p>
          <w:p w14:paraId="6A5FAC4C" w14:textId="449FDD98"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Synergies provisions in all the 14 programmes</w:t>
            </w:r>
            <w:r w:rsidR="000371C7">
              <w:rPr>
                <w:rFonts w:ascii="Aptos" w:eastAsia="Aptos" w:hAnsi="Aptos" w:cs="Aptos"/>
                <w:noProof/>
                <w:sz w:val="16"/>
                <w:szCs w:val="16"/>
                <w:lang w:val="en-IE"/>
              </w:rPr>
              <w:t xml:space="preserve"> </w:t>
            </w:r>
            <w:r w:rsidR="00503C0A">
              <w:rPr>
                <w:rFonts w:ascii="Aptos" w:eastAsia="Aptos" w:hAnsi="Aptos" w:cs="Aptos"/>
                <w:noProof/>
                <w:sz w:val="16"/>
                <w:szCs w:val="16"/>
                <w:lang w:val="en-IE"/>
              </w:rPr>
              <w:t>have</w:t>
            </w:r>
            <w:r w:rsidR="000371C7">
              <w:rPr>
                <w:rFonts w:ascii="Aptos" w:eastAsia="Aptos" w:hAnsi="Aptos" w:cs="Aptos"/>
                <w:noProof/>
                <w:sz w:val="16"/>
                <w:szCs w:val="16"/>
                <w:lang w:val="en-IE"/>
              </w:rPr>
              <w:t xml:space="preserve"> limited </w:t>
            </w:r>
            <w:r w:rsidR="00503C0A">
              <w:rPr>
                <w:rFonts w:ascii="Aptos" w:eastAsia="Aptos" w:hAnsi="Aptos" w:cs="Aptos"/>
                <w:noProof/>
                <w:sz w:val="16"/>
                <w:szCs w:val="16"/>
                <w:lang w:val="en-IE"/>
              </w:rPr>
              <w:t>impact on actual synergy gains</w:t>
            </w:r>
            <w:r w:rsidRPr="0030098A">
              <w:rPr>
                <w:rFonts w:ascii="Aptos" w:eastAsia="Aptos" w:hAnsi="Aptos" w:cs="Aptos"/>
                <w:noProof/>
                <w:sz w:val="16"/>
                <w:szCs w:val="16"/>
                <w:lang w:val="en-IE"/>
              </w:rPr>
              <w:t>. Improved synergies based on the coordination tool.</w:t>
            </w: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61C06A" w14:textId="77777777"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 xml:space="preserve">+ improved synergies with other EU programs compared to Option A. </w:t>
            </w:r>
          </w:p>
          <w:p w14:paraId="081F966D" w14:textId="353E7A61"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 Limited synergies due to the continued existence of multiple distinct programs</w:t>
            </w:r>
            <w:r w:rsidR="3820E5B3" w:rsidRPr="3B1CDB3B">
              <w:rPr>
                <w:rFonts w:ascii="Aptos" w:eastAsia="Aptos" w:hAnsi="Aptos" w:cs="Aptos"/>
                <w:noProof/>
                <w:sz w:val="16"/>
                <w:szCs w:val="16"/>
                <w:lang w:val="en-IE"/>
              </w:rPr>
              <w:t>.</w:t>
            </w:r>
          </w:p>
          <w:p w14:paraId="3EDA8713" w14:textId="77777777" w:rsidR="00FC3D58" w:rsidRPr="0030098A" w:rsidRDefault="00FC3D58" w:rsidP="00603157">
            <w:pPr>
              <w:rPr>
                <w:rFonts w:ascii="Aptos" w:eastAsia="Aptos" w:hAnsi="Aptos" w:cs="Aptos"/>
                <w:noProof/>
                <w:sz w:val="16"/>
                <w:szCs w:val="16"/>
                <w:lang w:val="en-IE"/>
              </w:rPr>
            </w:pPr>
          </w:p>
          <w:p w14:paraId="607CB593" w14:textId="77777777"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Coordination and clarity enhanced based on the single rulebook, higher strategic steer and the coordination tool.</w:t>
            </w:r>
          </w:p>
        </w:tc>
        <w:tc>
          <w:tcPr>
            <w:tcW w:w="28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4EA1CB" w14:textId="77777777"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 xml:space="preserve">+ Thanks to the consolidation, there will be a limited number of EU programmes to synergize with. </w:t>
            </w:r>
          </w:p>
          <w:p w14:paraId="5DA5A48F" w14:textId="448EE576" w:rsidR="000371C7" w:rsidRPr="0030098A" w:rsidRDefault="000371C7" w:rsidP="00603157">
            <w:pPr>
              <w:rPr>
                <w:rFonts w:ascii="Aptos" w:eastAsia="Aptos" w:hAnsi="Aptos" w:cs="Aptos"/>
                <w:noProof/>
                <w:sz w:val="16"/>
                <w:szCs w:val="16"/>
                <w:lang w:val="en-IE"/>
              </w:rPr>
            </w:pPr>
            <w:r>
              <w:rPr>
                <w:rFonts w:ascii="Aptos" w:eastAsia="Aptos" w:hAnsi="Aptos" w:cs="Aptos"/>
                <w:noProof/>
                <w:sz w:val="16"/>
                <w:szCs w:val="16"/>
                <w:lang w:val="en-IE"/>
              </w:rPr>
              <w:t>+ Steering mechanism to ensure synergies at the level of the MFF</w:t>
            </w:r>
            <w:r w:rsidR="381856E5" w:rsidRPr="3B1CDB3B">
              <w:rPr>
                <w:rFonts w:ascii="Aptos" w:eastAsia="Aptos" w:hAnsi="Aptos" w:cs="Aptos"/>
                <w:noProof/>
                <w:sz w:val="16"/>
                <w:szCs w:val="16"/>
                <w:lang w:val="en-IE"/>
              </w:rPr>
              <w:t>.</w:t>
            </w:r>
          </w:p>
          <w:p w14:paraId="02A1B6FA" w14:textId="53669DBA" w:rsidR="00FC3D58" w:rsidRPr="0030098A" w:rsidRDefault="6A6E838C" w:rsidP="00603157">
            <w:pPr>
              <w:rPr>
                <w:rFonts w:ascii="Aptos" w:eastAsia="Aptos" w:hAnsi="Aptos" w:cs="Aptos"/>
                <w:noProof/>
                <w:sz w:val="16"/>
                <w:szCs w:val="16"/>
                <w:lang w:val="en-IE"/>
              </w:rPr>
            </w:pPr>
            <w:r w:rsidRPr="3EA7425B">
              <w:rPr>
                <w:rFonts w:ascii="Aptos" w:eastAsia="Aptos" w:hAnsi="Aptos" w:cs="Aptos"/>
                <w:noProof/>
                <w:sz w:val="16"/>
                <w:szCs w:val="16"/>
                <w:lang w:val="en-IE"/>
              </w:rPr>
              <w:t xml:space="preserve">+ The Competitiveness Coordination tool will ensure synergies with </w:t>
            </w:r>
            <w:r w:rsidR="2C3B6799" w:rsidRPr="3EA7425B">
              <w:rPr>
                <w:rFonts w:ascii="Aptos" w:eastAsia="Aptos" w:hAnsi="Aptos" w:cs="Aptos"/>
                <w:noProof/>
                <w:sz w:val="16"/>
                <w:szCs w:val="16"/>
                <w:lang w:val="en-IE"/>
              </w:rPr>
              <w:t>natio</w:t>
            </w:r>
            <w:r w:rsidR="41275CAE" w:rsidRPr="3EA7425B">
              <w:rPr>
                <w:rFonts w:ascii="Aptos" w:eastAsia="Aptos" w:hAnsi="Aptos" w:cs="Aptos"/>
                <w:noProof/>
                <w:sz w:val="16"/>
                <w:szCs w:val="16"/>
                <w:lang w:val="en-IE"/>
              </w:rPr>
              <w:t>n</w:t>
            </w:r>
            <w:r w:rsidR="2C3B6799" w:rsidRPr="3EA7425B">
              <w:rPr>
                <w:rFonts w:ascii="Aptos" w:eastAsia="Aptos" w:hAnsi="Aptos" w:cs="Aptos"/>
                <w:noProof/>
                <w:sz w:val="16"/>
                <w:szCs w:val="16"/>
                <w:lang w:val="en-IE"/>
              </w:rPr>
              <w:t xml:space="preserve">ally and regionally </w:t>
            </w:r>
            <w:r w:rsidR="51D59A2C" w:rsidRPr="3EA7425B">
              <w:rPr>
                <w:rFonts w:ascii="Aptos" w:eastAsia="Aptos" w:hAnsi="Aptos" w:cs="Aptos"/>
                <w:noProof/>
                <w:sz w:val="16"/>
                <w:szCs w:val="16"/>
                <w:lang w:val="en-IE"/>
              </w:rPr>
              <w:t>pre-allocated envelopes</w:t>
            </w:r>
            <w:r w:rsidR="5CD29A97" w:rsidRPr="3EA7425B">
              <w:rPr>
                <w:rFonts w:ascii="Aptos" w:eastAsia="Aptos" w:hAnsi="Aptos" w:cs="Aptos"/>
                <w:noProof/>
                <w:sz w:val="16"/>
                <w:szCs w:val="16"/>
                <w:lang w:val="en-IE"/>
              </w:rPr>
              <w:t>, for example on further supporting competitiveness and continuation of funding for beneficiaries</w:t>
            </w:r>
            <w:r w:rsidR="14C4DE84" w:rsidRPr="3EA7425B">
              <w:rPr>
                <w:rFonts w:ascii="Aptos" w:eastAsia="Aptos" w:hAnsi="Aptos" w:cs="Aptos"/>
                <w:noProof/>
                <w:sz w:val="16"/>
                <w:szCs w:val="16"/>
                <w:lang w:val="en-IE"/>
              </w:rPr>
              <w:t xml:space="preserve"> at different governance level</w:t>
            </w:r>
            <w:r w:rsidRPr="3EA7425B">
              <w:rPr>
                <w:rFonts w:ascii="Aptos" w:eastAsia="Aptos" w:hAnsi="Aptos" w:cs="Aptos"/>
                <w:noProof/>
                <w:sz w:val="16"/>
                <w:szCs w:val="16"/>
                <w:lang w:val="en-IE"/>
              </w:rPr>
              <w:t xml:space="preserve">. </w:t>
            </w:r>
          </w:p>
          <w:p w14:paraId="2DC8C01B" w14:textId="0B7F1A20"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 xml:space="preserve">+ Synergies with Global Europe Fund on aspects concerning the competitiveness of EU industries and companies in third countries (i.e. accession countries, </w:t>
            </w:r>
            <w:r w:rsidR="00BD161C">
              <w:rPr>
                <w:rFonts w:ascii="Aptos" w:eastAsia="Aptos" w:hAnsi="Aptos" w:cs="Aptos"/>
                <w:noProof/>
                <w:sz w:val="16"/>
                <w:szCs w:val="16"/>
                <w:lang w:val="en-IE"/>
              </w:rPr>
              <w:t>emerging markets and developing economies</w:t>
            </w:r>
            <w:r w:rsidRPr="0030098A">
              <w:rPr>
                <w:rFonts w:ascii="Aptos" w:eastAsia="Aptos" w:hAnsi="Aptos" w:cs="Aptos"/>
                <w:noProof/>
                <w:sz w:val="16"/>
                <w:szCs w:val="16"/>
                <w:lang w:val="en-IE"/>
              </w:rPr>
              <w:t xml:space="preserve">. </w:t>
            </w:r>
          </w:p>
        </w:tc>
      </w:tr>
      <w:tr w:rsidR="00FC3D58" w:rsidRPr="00782019" w14:paraId="196309A7" w14:textId="77777777" w:rsidTr="520177E4">
        <w:trPr>
          <w:trHeight w:val="300"/>
          <w:jc w:val="center"/>
        </w:trPr>
        <w:tc>
          <w:tcPr>
            <w:tcW w:w="2117"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7DBBCE" w14:textId="77777777" w:rsidR="00FC3D58" w:rsidRPr="0030098A" w:rsidRDefault="00FC3D58" w:rsidP="00603157">
            <w:pPr>
              <w:spacing w:after="0"/>
              <w:rPr>
                <w:noProof/>
                <w:lang w:val="fr-FR"/>
              </w:rPr>
            </w:pPr>
            <w:r w:rsidRPr="0030098A">
              <w:rPr>
                <w:rFonts w:ascii="Aptos" w:eastAsia="Aptos" w:hAnsi="Aptos" w:cs="Aptos"/>
                <w:b/>
                <w:noProof/>
                <w:sz w:val="20"/>
                <w:szCs w:val="20"/>
                <w:lang w:val="fr-FR"/>
              </w:rPr>
              <w:t>Synergies with EU initiatives/policies</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6A9ABF33"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0</w:t>
            </w:r>
          </w:p>
        </w:tc>
        <w:tc>
          <w:tcPr>
            <w:tcW w:w="2838"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4DA600E9"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w:t>
            </w:r>
          </w:p>
        </w:tc>
        <w:tc>
          <w:tcPr>
            <w:tcW w:w="2839" w:type="dxa"/>
            <w:tcBorders>
              <w:top w:val="single" w:sz="8" w:space="0" w:color="auto"/>
              <w:left w:val="single" w:sz="8" w:space="0" w:color="auto"/>
              <w:bottom w:val="single" w:sz="8" w:space="0" w:color="auto"/>
              <w:right w:val="single" w:sz="8" w:space="0" w:color="auto"/>
            </w:tcBorders>
            <w:shd w:val="clear" w:color="auto" w:fill="EEECE1" w:themeFill="background2"/>
            <w:tcMar>
              <w:left w:w="108" w:type="dxa"/>
              <w:right w:w="108" w:type="dxa"/>
            </w:tcMar>
            <w:vAlign w:val="center"/>
          </w:tcPr>
          <w:p w14:paraId="747DCE5F" w14:textId="77777777" w:rsidR="00FC3D58" w:rsidRPr="0030098A" w:rsidRDefault="00FC3D58" w:rsidP="00603157">
            <w:pPr>
              <w:spacing w:after="0"/>
              <w:jc w:val="center"/>
              <w:rPr>
                <w:noProof/>
                <w:lang w:val="en-IE"/>
              </w:rPr>
            </w:pPr>
            <w:r w:rsidRPr="0030098A">
              <w:rPr>
                <w:rFonts w:ascii="Aptos" w:eastAsia="Aptos" w:hAnsi="Aptos" w:cs="Aptos"/>
                <w:noProof/>
                <w:sz w:val="20"/>
                <w:szCs w:val="20"/>
                <w:lang w:val="en-IE"/>
              </w:rPr>
              <w:t>+++</w:t>
            </w:r>
          </w:p>
        </w:tc>
      </w:tr>
      <w:tr w:rsidR="00FC3D58" w:rsidRPr="005779EA" w14:paraId="284017B7" w14:textId="77777777" w:rsidTr="520177E4">
        <w:trPr>
          <w:trHeight w:val="570"/>
          <w:jc w:val="center"/>
        </w:trPr>
        <w:tc>
          <w:tcPr>
            <w:tcW w:w="2117" w:type="dxa"/>
            <w:vMerge/>
            <w:tcMar>
              <w:left w:w="108" w:type="dxa"/>
              <w:right w:w="108" w:type="dxa"/>
            </w:tcMar>
            <w:vAlign w:val="center"/>
          </w:tcPr>
          <w:p w14:paraId="0775F7F4" w14:textId="77777777" w:rsidR="00FC3D58" w:rsidRPr="0030098A" w:rsidRDefault="00FC3D58" w:rsidP="00603157">
            <w:pPr>
              <w:rPr>
                <w:noProof/>
                <w:lang w:val="en-IE"/>
              </w:rPr>
            </w:pP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B60C87" w14:textId="449168B2"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 xml:space="preserve">- synergies with broader EU initiatives remain sub-optimal due to the fragmentation of EU funding, making it harder to maximize the impact of EU funding on strategic priorities. </w:t>
            </w:r>
          </w:p>
          <w:p w14:paraId="0A0B7C6D" w14:textId="196A48D0" w:rsidR="00FC3D58" w:rsidRPr="0030098A" w:rsidRDefault="00FC3D58" w:rsidP="00603157">
            <w:pPr>
              <w:rPr>
                <w:rFonts w:ascii="Aptos" w:eastAsia="Aptos" w:hAnsi="Aptos" w:cs="Aptos"/>
                <w:noProof/>
                <w:sz w:val="16"/>
                <w:szCs w:val="16"/>
                <w:lang w:val="en-IE"/>
              </w:rPr>
            </w:pP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B10BDB" w14:textId="30AD3559"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 Enhanced strategic steer across programmes</w:t>
            </w:r>
            <w:r w:rsidR="0BF4CBF8" w:rsidRPr="360F01C4">
              <w:rPr>
                <w:rFonts w:ascii="Aptos" w:eastAsia="Aptos" w:hAnsi="Aptos" w:cs="Aptos"/>
                <w:noProof/>
                <w:sz w:val="16"/>
                <w:szCs w:val="16"/>
                <w:lang w:val="en-IE"/>
              </w:rPr>
              <w:t>.</w:t>
            </w:r>
          </w:p>
          <w:p w14:paraId="2420BB7C" w14:textId="7FA58204"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An enhanced strategic steer will ensure that all programmes are in line with broader EU priorities, but this will likely be very similar to Option A and the baseline, in practice</w:t>
            </w:r>
            <w:r w:rsidR="17D32E4A" w:rsidRPr="360F01C4">
              <w:rPr>
                <w:rFonts w:ascii="Aptos" w:eastAsia="Aptos" w:hAnsi="Aptos" w:cs="Aptos"/>
                <w:noProof/>
                <w:sz w:val="16"/>
                <w:szCs w:val="16"/>
                <w:lang w:val="en-IE"/>
              </w:rPr>
              <w:t>.</w:t>
            </w:r>
          </w:p>
        </w:tc>
        <w:tc>
          <w:tcPr>
            <w:tcW w:w="28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C53F51" w14:textId="77777777" w:rsidR="00FC3D58" w:rsidRPr="0030098A" w:rsidRDefault="00FC3D58" w:rsidP="00603157">
            <w:pPr>
              <w:rPr>
                <w:rFonts w:ascii="Aptos" w:eastAsia="Aptos" w:hAnsi="Aptos" w:cs="Aptos"/>
                <w:noProof/>
                <w:sz w:val="16"/>
                <w:szCs w:val="16"/>
                <w:lang w:val="en-IE"/>
              </w:rPr>
            </w:pPr>
            <w:r w:rsidRPr="0030098A">
              <w:rPr>
                <w:rFonts w:ascii="Aptos" w:eastAsia="Aptos" w:hAnsi="Aptos" w:cs="Aptos"/>
                <w:noProof/>
                <w:sz w:val="16"/>
                <w:szCs w:val="16"/>
                <w:lang w:val="en-IE"/>
              </w:rPr>
              <w:t xml:space="preserve">+ Strong alignment with EU priorities thanks to the steering mechanism. </w:t>
            </w:r>
          </w:p>
          <w:p w14:paraId="281AD3E7" w14:textId="2098FD79" w:rsidR="00FC3D58" w:rsidRPr="0030098A" w:rsidRDefault="000371C7" w:rsidP="00603157">
            <w:pPr>
              <w:rPr>
                <w:rFonts w:ascii="Aptos" w:eastAsia="Aptos" w:hAnsi="Aptos" w:cs="Aptos"/>
                <w:noProof/>
                <w:sz w:val="16"/>
                <w:szCs w:val="16"/>
                <w:lang w:val="en-IE"/>
              </w:rPr>
            </w:pPr>
            <w:r>
              <w:rPr>
                <w:rFonts w:ascii="Aptos" w:eastAsia="Aptos" w:hAnsi="Aptos" w:cs="Aptos"/>
                <w:noProof/>
                <w:sz w:val="16"/>
                <w:szCs w:val="16"/>
                <w:lang w:val="en-IE"/>
              </w:rPr>
              <w:t>P</w:t>
            </w:r>
            <w:r w:rsidR="00FC3D58" w:rsidRPr="0030098A">
              <w:rPr>
                <w:rFonts w:ascii="Aptos" w:eastAsia="Aptos" w:hAnsi="Aptos" w:cs="Aptos"/>
                <w:noProof/>
                <w:sz w:val="16"/>
                <w:szCs w:val="16"/>
                <w:lang w:val="en-IE"/>
              </w:rPr>
              <w:t xml:space="preserve">riority setting for strategic sectors and technologies will mean that the Fund provides support to well-defined priorities, which are expected to reflect broader EU </w:t>
            </w:r>
            <w:r w:rsidR="4DBDF0EF" w:rsidRPr="30AD258A">
              <w:rPr>
                <w:rFonts w:ascii="Aptos" w:eastAsia="Aptos" w:hAnsi="Aptos" w:cs="Aptos"/>
                <w:noProof/>
                <w:sz w:val="16"/>
                <w:szCs w:val="16"/>
                <w:lang w:val="en-IE"/>
              </w:rPr>
              <w:t xml:space="preserve">strategic </w:t>
            </w:r>
            <w:r w:rsidR="00FC3D58" w:rsidRPr="0030098A">
              <w:rPr>
                <w:rFonts w:ascii="Aptos" w:eastAsia="Aptos" w:hAnsi="Aptos" w:cs="Aptos"/>
                <w:noProof/>
                <w:sz w:val="16"/>
                <w:szCs w:val="16"/>
                <w:lang w:val="en-IE"/>
              </w:rPr>
              <w:t>priorities</w:t>
            </w:r>
            <w:r w:rsidR="0041708B">
              <w:rPr>
                <w:rFonts w:ascii="Aptos" w:eastAsia="Aptos" w:hAnsi="Aptos" w:cs="Aptos"/>
                <w:noProof/>
                <w:sz w:val="16"/>
                <w:szCs w:val="16"/>
                <w:lang w:val="en-IE"/>
              </w:rPr>
              <w:t>, while respecting the needs of sectors with a stronger bottom-up drive</w:t>
            </w:r>
            <w:r w:rsidR="00FC3D58" w:rsidRPr="0030098A">
              <w:rPr>
                <w:rFonts w:ascii="Aptos" w:eastAsia="Aptos" w:hAnsi="Aptos" w:cs="Aptos"/>
                <w:noProof/>
                <w:sz w:val="16"/>
                <w:szCs w:val="16"/>
                <w:lang w:val="en-IE"/>
              </w:rPr>
              <w:t xml:space="preserve">. </w:t>
            </w:r>
          </w:p>
        </w:tc>
      </w:tr>
      <w:tr w:rsidR="05C4514A" w14:paraId="5AEC82A8" w14:textId="77777777" w:rsidTr="520177E4">
        <w:trPr>
          <w:trHeight w:val="300"/>
          <w:jc w:val="center"/>
        </w:trPr>
        <w:tc>
          <w:tcPr>
            <w:tcW w:w="211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E11454" w14:textId="689176B9" w:rsidR="53ECE67D" w:rsidRDefault="53ECE67D" w:rsidP="05C4514A">
            <w:pPr>
              <w:rPr>
                <w:rFonts w:ascii="Aptos" w:eastAsia="Aptos" w:hAnsi="Aptos" w:cs="Aptos"/>
                <w:b/>
                <w:bCs/>
                <w:noProof/>
                <w:sz w:val="20"/>
                <w:szCs w:val="20"/>
                <w:lang w:val="fr-FR"/>
              </w:rPr>
            </w:pPr>
            <w:r w:rsidRPr="05C4514A">
              <w:rPr>
                <w:rFonts w:ascii="Aptos" w:eastAsia="Aptos" w:hAnsi="Aptos" w:cs="Aptos"/>
                <w:b/>
                <w:bCs/>
                <w:noProof/>
                <w:sz w:val="20"/>
                <w:szCs w:val="20"/>
                <w:lang w:val="fr-FR"/>
              </w:rPr>
              <w:t xml:space="preserve">Possible unintended consequences </w:t>
            </w: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8EF117" w14:textId="44CBC137" w:rsidR="53ECE67D" w:rsidRPr="0057016E" w:rsidRDefault="001804B4" w:rsidP="520177E4">
            <w:pPr>
              <w:rPr>
                <w:rFonts w:asciiTheme="minorHAnsi" w:eastAsiaTheme="minorEastAsia" w:hAnsiTheme="minorHAnsi" w:cstheme="minorBidi"/>
                <w:noProof/>
                <w:sz w:val="16"/>
                <w:szCs w:val="16"/>
                <w:lang w:val="en-IE" w:eastAsia="en-US"/>
              </w:rPr>
            </w:pPr>
            <w:r>
              <w:rPr>
                <w:rFonts w:asciiTheme="minorHAnsi" w:eastAsiaTheme="minorEastAsia" w:hAnsiTheme="minorHAnsi" w:cstheme="minorBidi"/>
                <w:noProof/>
                <w:sz w:val="16"/>
                <w:szCs w:val="16"/>
                <w:lang w:val="en-IE"/>
              </w:rPr>
              <w:t>No si</w:t>
            </w:r>
            <w:r w:rsidR="53ECE67D" w:rsidRPr="520177E4">
              <w:rPr>
                <w:rFonts w:asciiTheme="minorHAnsi" w:eastAsiaTheme="minorEastAsia" w:hAnsiTheme="minorHAnsi" w:cstheme="minorBidi"/>
                <w:noProof/>
                <w:sz w:val="16"/>
                <w:szCs w:val="16"/>
                <w:lang w:val="en-IE"/>
              </w:rPr>
              <w:t>gnificant change compared to the status quo.</w:t>
            </w:r>
          </w:p>
        </w:tc>
        <w:tc>
          <w:tcPr>
            <w:tcW w:w="28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FAE0EC" w14:textId="2FFA6D5B" w:rsidR="5A54597E" w:rsidRDefault="013A4F61" w:rsidP="560711AB">
            <w:pPr>
              <w:jc w:val="left"/>
              <w:rPr>
                <w:rFonts w:asciiTheme="minorHAnsi" w:eastAsiaTheme="minorEastAsia" w:hAnsiTheme="minorHAnsi" w:cstheme="minorBidi"/>
                <w:noProof/>
                <w:sz w:val="16"/>
                <w:szCs w:val="16"/>
              </w:rPr>
            </w:pPr>
            <w:r w:rsidRPr="560711AB">
              <w:rPr>
                <w:rFonts w:asciiTheme="minorHAnsi" w:eastAsiaTheme="minorEastAsia" w:hAnsiTheme="minorHAnsi" w:cstheme="minorBidi"/>
                <w:noProof/>
                <w:sz w:val="16"/>
                <w:szCs w:val="16"/>
                <w:lang w:eastAsia="en-US"/>
              </w:rPr>
              <w:t>-</w:t>
            </w:r>
            <w:r w:rsidR="712F13C7" w:rsidRPr="560711AB">
              <w:rPr>
                <w:rFonts w:asciiTheme="minorHAnsi" w:eastAsiaTheme="minorEastAsia" w:hAnsiTheme="minorHAnsi" w:cstheme="minorBidi"/>
                <w:noProof/>
                <w:sz w:val="16"/>
                <w:szCs w:val="16"/>
              </w:rPr>
              <w:t xml:space="preserve">Due to </w:t>
            </w:r>
            <w:r w:rsidR="001804B4" w:rsidRPr="560711AB">
              <w:rPr>
                <w:rFonts w:asciiTheme="minorHAnsi" w:eastAsiaTheme="minorEastAsia" w:hAnsiTheme="minorHAnsi" w:cstheme="minorBidi"/>
                <w:noProof/>
                <w:sz w:val="16"/>
                <w:szCs w:val="16"/>
              </w:rPr>
              <w:t>the separation</w:t>
            </w:r>
            <w:r w:rsidR="712F13C7" w:rsidRPr="560711AB">
              <w:rPr>
                <w:rFonts w:asciiTheme="minorHAnsi" w:eastAsiaTheme="minorEastAsia" w:hAnsiTheme="minorHAnsi" w:cstheme="minorBidi"/>
                <w:noProof/>
                <w:sz w:val="16"/>
                <w:szCs w:val="16"/>
              </w:rPr>
              <w:t xml:space="preserve"> of EU support to competitiveness into multiple separate programmes</w:t>
            </w:r>
            <w:r w:rsidR="28B81C3E" w:rsidRPr="560711AB">
              <w:rPr>
                <w:rFonts w:asciiTheme="minorHAnsi" w:eastAsiaTheme="minorEastAsia" w:hAnsiTheme="minorHAnsi" w:cstheme="minorBidi"/>
                <w:noProof/>
                <w:sz w:val="16"/>
                <w:szCs w:val="16"/>
              </w:rPr>
              <w:t>windows</w:t>
            </w:r>
            <w:r w:rsidR="2A3DABA0" w:rsidRPr="560711AB">
              <w:rPr>
                <w:rFonts w:asciiTheme="minorHAnsi" w:eastAsiaTheme="minorEastAsia" w:hAnsiTheme="minorHAnsi" w:cstheme="minorBidi"/>
                <w:noProof/>
                <w:sz w:val="16"/>
                <w:szCs w:val="16"/>
              </w:rPr>
              <w:t xml:space="preserve">, governance and strategic oversight </w:t>
            </w:r>
            <w:r w:rsidR="24A5C063" w:rsidRPr="560711AB">
              <w:rPr>
                <w:rFonts w:asciiTheme="minorHAnsi" w:eastAsiaTheme="minorEastAsia" w:hAnsiTheme="minorHAnsi" w:cstheme="minorBidi"/>
                <w:noProof/>
                <w:sz w:val="16"/>
                <w:szCs w:val="16"/>
              </w:rPr>
              <w:t>c</w:t>
            </w:r>
            <w:r w:rsidR="2A3DABA0" w:rsidRPr="560711AB">
              <w:rPr>
                <w:rFonts w:asciiTheme="minorHAnsi" w:eastAsiaTheme="minorEastAsia" w:hAnsiTheme="minorHAnsi" w:cstheme="minorBidi"/>
                <w:noProof/>
                <w:sz w:val="16"/>
                <w:szCs w:val="16"/>
              </w:rPr>
              <w:t xml:space="preserve">ould remain </w:t>
            </w:r>
            <w:r w:rsidR="2CBB4552" w:rsidRPr="560711AB">
              <w:rPr>
                <w:rFonts w:asciiTheme="minorHAnsi" w:eastAsiaTheme="minorEastAsia" w:hAnsiTheme="minorHAnsi" w:cstheme="minorBidi"/>
                <w:noProof/>
                <w:sz w:val="16"/>
                <w:szCs w:val="16"/>
              </w:rPr>
              <w:t>challenging</w:t>
            </w:r>
            <w:r w:rsidR="712F13C7" w:rsidRPr="560711AB">
              <w:rPr>
                <w:rFonts w:asciiTheme="minorHAnsi" w:eastAsiaTheme="minorEastAsia" w:hAnsiTheme="minorHAnsi" w:cstheme="minorBidi"/>
                <w:noProof/>
                <w:sz w:val="16"/>
                <w:szCs w:val="16"/>
              </w:rPr>
              <w:t>.</w:t>
            </w:r>
          </w:p>
          <w:p w14:paraId="28AAB8B0" w14:textId="503E7808" w:rsidR="77D0B96D" w:rsidRPr="0057016E" w:rsidRDefault="77D0B96D" w:rsidP="520177E4">
            <w:pPr>
              <w:jc w:val="left"/>
              <w:rPr>
                <w:rFonts w:asciiTheme="minorHAnsi" w:eastAsiaTheme="minorEastAsia" w:hAnsiTheme="minorHAnsi" w:cstheme="minorBidi"/>
                <w:noProof/>
                <w:sz w:val="16"/>
                <w:szCs w:val="16"/>
                <w:lang w:val="en-IE" w:eastAsia="en-US"/>
              </w:rPr>
            </w:pPr>
            <w:r w:rsidRPr="520177E4">
              <w:rPr>
                <w:rFonts w:asciiTheme="minorHAnsi" w:eastAsiaTheme="minorEastAsia" w:hAnsiTheme="minorHAnsi" w:cstheme="minorBidi"/>
                <w:noProof/>
                <w:sz w:val="16"/>
                <w:szCs w:val="16"/>
                <w:lang w:val="en-IE"/>
              </w:rPr>
              <w:t>-</w:t>
            </w:r>
            <w:r w:rsidR="53ECE67D" w:rsidRPr="520177E4">
              <w:rPr>
                <w:rFonts w:asciiTheme="minorHAnsi" w:eastAsiaTheme="minorEastAsia" w:hAnsiTheme="minorHAnsi" w:cstheme="minorBidi"/>
                <w:noProof/>
                <w:sz w:val="16"/>
                <w:szCs w:val="16"/>
                <w:lang w:val="en-IE"/>
              </w:rPr>
              <w:t>At the same time, harmonisation of rules and implementation tools could generate the risk that they may not sufficiently reflect the specificities of</w:t>
            </w:r>
            <w:r w:rsidR="2E9725EA" w:rsidRPr="520177E4">
              <w:rPr>
                <w:rFonts w:asciiTheme="minorHAnsi" w:eastAsiaTheme="minorEastAsia" w:hAnsiTheme="minorHAnsi" w:cstheme="minorBidi"/>
                <w:noProof/>
                <w:sz w:val="16"/>
                <w:szCs w:val="16"/>
                <w:lang w:val="en-IE"/>
              </w:rPr>
              <w:t>would need</w:t>
            </w:r>
            <w:r w:rsidR="689E5FE9" w:rsidRPr="520177E4">
              <w:rPr>
                <w:rFonts w:asciiTheme="minorHAnsi" w:eastAsiaTheme="minorEastAsia" w:hAnsiTheme="minorHAnsi" w:cstheme="minorBidi"/>
                <w:noProof/>
                <w:sz w:val="16"/>
                <w:szCs w:val="16"/>
                <w:lang w:val="en-IE"/>
              </w:rPr>
              <w:t xml:space="preserve"> stakeholder </w:t>
            </w:r>
            <w:r w:rsidR="15385542" w:rsidRPr="520177E4">
              <w:rPr>
                <w:rFonts w:asciiTheme="minorHAnsi" w:eastAsiaTheme="minorEastAsia" w:hAnsiTheme="minorHAnsi" w:cstheme="minorBidi"/>
                <w:noProof/>
                <w:sz w:val="16"/>
                <w:szCs w:val="16"/>
                <w:lang w:val="en-IE"/>
              </w:rPr>
              <w:t>to get use to different implementation rules than in existing programmes</w:t>
            </w:r>
            <w:r w:rsidR="53ECE67D" w:rsidRPr="520177E4">
              <w:rPr>
                <w:rFonts w:asciiTheme="minorHAnsi" w:eastAsiaTheme="minorEastAsia" w:hAnsiTheme="minorHAnsi" w:cstheme="minorBidi"/>
                <w:noProof/>
                <w:sz w:val="16"/>
                <w:szCs w:val="16"/>
                <w:lang w:val="en-IE"/>
              </w:rPr>
              <w:t xml:space="preserve">, </w:t>
            </w:r>
          </w:p>
        </w:tc>
        <w:tc>
          <w:tcPr>
            <w:tcW w:w="283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0A8049" w14:textId="53559CD1" w:rsidR="077950A2" w:rsidRDefault="077950A2">
            <w:pPr>
              <w:rPr>
                <w:rFonts w:asciiTheme="minorHAnsi" w:eastAsiaTheme="minorEastAsia" w:hAnsiTheme="minorHAnsi" w:cstheme="minorBidi"/>
                <w:noProof/>
                <w:sz w:val="16"/>
                <w:szCs w:val="16"/>
                <w:lang w:val="en-US" w:eastAsia="en-US"/>
              </w:rPr>
            </w:pPr>
            <w:r w:rsidRPr="05C4514A">
              <w:rPr>
                <w:rFonts w:asciiTheme="minorHAnsi" w:eastAsiaTheme="minorEastAsia" w:hAnsiTheme="minorHAnsi" w:cstheme="minorBidi"/>
                <w:noProof/>
                <w:sz w:val="16"/>
                <w:szCs w:val="16"/>
                <w:lang w:val="en-US" w:eastAsia="en-US"/>
              </w:rPr>
              <w:t>+/-</w:t>
            </w:r>
            <w:r w:rsidR="2ECCE176" w:rsidRPr="0057016E">
              <w:rPr>
                <w:rFonts w:asciiTheme="minorHAnsi" w:eastAsiaTheme="minorEastAsia" w:hAnsiTheme="minorHAnsi" w:cstheme="minorBidi"/>
                <w:noProof/>
                <w:sz w:val="16"/>
                <w:szCs w:val="16"/>
                <w:lang w:val="en-US"/>
              </w:rPr>
              <w:t>While this option provides the most significant improvement in terms of coherence, a risk arises in terms of uniformisation of rules and implementation tools</w:t>
            </w:r>
            <w:r w:rsidR="0F46AD0D" w:rsidRPr="05C4514A">
              <w:rPr>
                <w:rFonts w:asciiTheme="minorHAnsi" w:eastAsiaTheme="minorEastAsia" w:hAnsiTheme="minorHAnsi" w:cstheme="minorBidi"/>
                <w:noProof/>
                <w:sz w:val="16"/>
                <w:szCs w:val="16"/>
                <w:lang w:val="en-US" w:eastAsia="en-US"/>
              </w:rPr>
              <w:t xml:space="preserve"> with a need to cater for the </w:t>
            </w:r>
            <w:r w:rsidR="00A67841" w:rsidRPr="05C4514A">
              <w:rPr>
                <w:rFonts w:asciiTheme="minorHAnsi" w:eastAsiaTheme="minorEastAsia" w:hAnsiTheme="minorHAnsi" w:cstheme="minorBidi"/>
                <w:noProof/>
                <w:sz w:val="16"/>
                <w:szCs w:val="16"/>
                <w:lang w:val="en-US" w:eastAsia="en-US"/>
              </w:rPr>
              <w:t>s</w:t>
            </w:r>
            <w:r w:rsidR="00A67841" w:rsidRPr="05C4514A">
              <w:rPr>
                <w:rFonts w:asciiTheme="minorHAnsi" w:eastAsiaTheme="minorEastAsia" w:hAnsiTheme="minorHAnsi" w:cstheme="minorBidi"/>
                <w:noProof/>
                <w:sz w:val="16"/>
                <w:szCs w:val="16"/>
                <w:lang w:val="en-US"/>
              </w:rPr>
              <w:t>pecificities</w:t>
            </w:r>
            <w:r w:rsidR="0F46AD0D" w:rsidRPr="05C4514A">
              <w:rPr>
                <w:rFonts w:asciiTheme="minorHAnsi" w:eastAsiaTheme="minorEastAsia" w:hAnsiTheme="minorHAnsi" w:cstheme="minorBidi"/>
                <w:noProof/>
                <w:sz w:val="16"/>
                <w:szCs w:val="16"/>
                <w:lang w:val="en-US" w:eastAsia="en-US"/>
              </w:rPr>
              <w:t xml:space="preserve"> of the various targets.</w:t>
            </w:r>
          </w:p>
        </w:tc>
      </w:tr>
    </w:tbl>
    <w:p w14:paraId="05C50B7A" w14:textId="77777777" w:rsidR="00FC3D58" w:rsidRPr="0030098A" w:rsidRDefault="00FC3D58" w:rsidP="00630814">
      <w:pPr>
        <w:pStyle w:val="Heading1"/>
        <w:spacing w:before="120"/>
        <w:rPr>
          <w:noProof/>
          <w:lang w:val="en-IE"/>
        </w:rPr>
      </w:pPr>
      <w:bookmarkStart w:id="266" w:name="_Toc139373867"/>
      <w:bookmarkStart w:id="267" w:name="_Toc195700238"/>
      <w:bookmarkStart w:id="268" w:name="_Toc203043655"/>
      <w:r w:rsidRPr="0030098A">
        <w:rPr>
          <w:noProof/>
          <w:lang w:val="en-IE"/>
        </w:rPr>
        <w:t>Preferred option</w:t>
      </w:r>
      <w:bookmarkEnd w:id="266"/>
      <w:bookmarkEnd w:id="267"/>
      <w:bookmarkEnd w:id="268"/>
    </w:p>
    <w:p w14:paraId="7355F254" w14:textId="06918085" w:rsidR="00FC3D58" w:rsidRPr="001A161E" w:rsidRDefault="770A4B85" w:rsidP="00603157">
      <w:pPr>
        <w:rPr>
          <w:noProof/>
          <w:lang w:val="en-US"/>
        </w:rPr>
      </w:pPr>
      <w:r w:rsidRPr="2A1AD167">
        <w:rPr>
          <w:noProof/>
          <w:lang w:val="en-US"/>
        </w:rPr>
        <w:t xml:space="preserve">After assessing the impacts, effectiveness, and efficiency of the three policy options, Option C (consolidation of </w:t>
      </w:r>
      <w:r w:rsidRPr="00BB184A">
        <w:rPr>
          <w:noProof/>
        </w:rPr>
        <w:t>programmes</w:t>
      </w:r>
      <w:r w:rsidRPr="2A1AD167">
        <w:rPr>
          <w:noProof/>
          <w:lang w:val="en-US"/>
        </w:rPr>
        <w:t xml:space="preserve"> into a new European Competitiveness Fund) emerges as the preferred choice. This option offers a comprehensive set of policy measures to overcome current deficiencies in the EU's funding landscape related to competitiveness. It would establish a unified investment capacity to support strategic sectors and technologies, facilitating a seamless investment journey from research to deployment</w:t>
      </w:r>
      <w:r w:rsidR="00D73CB2">
        <w:rPr>
          <w:noProof/>
          <w:lang w:val="en-US"/>
        </w:rPr>
        <w:t xml:space="preserve"> </w:t>
      </w:r>
      <w:r w:rsidR="00F11D9A">
        <w:rPr>
          <w:noProof/>
          <w:lang w:val="en-US"/>
        </w:rPr>
        <w:t xml:space="preserve">on EU-level </w:t>
      </w:r>
      <w:r w:rsidR="00D73CB2">
        <w:rPr>
          <w:noProof/>
          <w:lang w:val="en-US"/>
        </w:rPr>
        <w:t>and strengthen EU’s investment capacity and leverage tool</w:t>
      </w:r>
      <w:r w:rsidRPr="2A1AD167">
        <w:rPr>
          <w:noProof/>
          <w:lang w:val="en-US"/>
        </w:rPr>
        <w:t>.</w:t>
      </w:r>
    </w:p>
    <w:p w14:paraId="51F78630" w14:textId="299D0E55" w:rsidR="00FC3D58" w:rsidRPr="001A161E" w:rsidRDefault="00FC3D58" w:rsidP="00603157">
      <w:pPr>
        <w:rPr>
          <w:noProof/>
          <w:lang w:val="en-IE"/>
        </w:rPr>
      </w:pPr>
      <w:r w:rsidRPr="001A161E">
        <w:rPr>
          <w:noProof/>
          <w:lang w:val="en-US"/>
        </w:rPr>
        <w:t xml:space="preserve">Option C would simplify and harmonize application rules and requirements, introducing a single access point and a unified rulebook for applicants. This would reduce complexity, eliminate overlaps, and allow the EU to fully harness its potential to mobilize private capital and increase budgetary flexibility. The new fund would also strengthen connections between fundamental research and advanced stages of </w:t>
      </w:r>
      <w:r w:rsidR="008717A5">
        <w:rPr>
          <w:noProof/>
          <w:lang w:val="en-US"/>
        </w:rPr>
        <w:t>research,</w:t>
      </w:r>
      <w:r w:rsidRPr="001A161E">
        <w:rPr>
          <w:noProof/>
          <w:lang w:val="en-US"/>
        </w:rPr>
        <w:t xml:space="preserve"> innovation manufacturing</w:t>
      </w:r>
      <w:r w:rsidR="00767A37">
        <w:rPr>
          <w:noProof/>
          <w:lang w:val="en-US"/>
        </w:rPr>
        <w:t xml:space="preserve"> and </w:t>
      </w:r>
      <w:r w:rsidR="00035E5D">
        <w:rPr>
          <w:noProof/>
          <w:lang w:val="en-US"/>
        </w:rPr>
        <w:t>deployment</w:t>
      </w:r>
      <w:r w:rsidRPr="001A161E">
        <w:rPr>
          <w:noProof/>
          <w:lang w:val="en-US"/>
        </w:rPr>
        <w:t>, ensuring a dynamic economic structure within the EU</w:t>
      </w:r>
      <w:r w:rsidR="15F11CF0" w:rsidRPr="79DBA0D8">
        <w:rPr>
          <w:noProof/>
          <w:lang w:val="en-US"/>
        </w:rPr>
        <w:t xml:space="preserve"> - with </w:t>
      </w:r>
      <w:r w:rsidR="15F11CF0" w:rsidRPr="4459F09F">
        <w:rPr>
          <w:noProof/>
          <w:lang w:val="en-US"/>
        </w:rPr>
        <w:t xml:space="preserve">the objective to </w:t>
      </w:r>
      <w:r w:rsidR="7354644A" w:rsidRPr="4459F09F">
        <w:rPr>
          <w:noProof/>
          <w:lang w:val="en-US"/>
        </w:rPr>
        <w:t>promote Europe's resilience and leadership in the era of global innovation</w:t>
      </w:r>
      <w:r w:rsidR="7354644A" w:rsidRPr="252EDBDD">
        <w:rPr>
          <w:noProof/>
          <w:lang w:val="en-US"/>
        </w:rPr>
        <w:t>.</w:t>
      </w:r>
    </w:p>
    <w:p w14:paraId="4ED1557C" w14:textId="3BB96485" w:rsidR="00FC3D58" w:rsidRPr="0053383B" w:rsidRDefault="00B64121" w:rsidP="00603157">
      <w:pPr>
        <w:rPr>
          <w:noProof/>
          <w:lang w:val="en-IE"/>
        </w:rPr>
      </w:pPr>
      <w:r w:rsidRPr="78F96115">
        <w:rPr>
          <w:noProof/>
          <w:lang w:val="en-US"/>
        </w:rPr>
        <w:t xml:space="preserve">To ensure the success of Option C, the EU will implement measures to minimize potential negative impacts including by balancing flexibility with the need for </w:t>
      </w:r>
      <w:r w:rsidR="002B4EB9" w:rsidRPr="78F96115">
        <w:rPr>
          <w:noProof/>
          <w:lang w:val="en-US"/>
        </w:rPr>
        <w:t>predictability</w:t>
      </w:r>
      <w:r w:rsidR="37515469" w:rsidRPr="78F96115">
        <w:rPr>
          <w:noProof/>
          <w:lang w:val="en-US"/>
        </w:rPr>
        <w:t xml:space="preserve"> for long-term investments</w:t>
      </w:r>
      <w:r w:rsidR="002B4EB9" w:rsidRPr="78F96115">
        <w:rPr>
          <w:noProof/>
          <w:lang w:val="en-US"/>
        </w:rPr>
        <w:t xml:space="preserve"> and</w:t>
      </w:r>
      <w:r w:rsidRPr="78F96115">
        <w:rPr>
          <w:noProof/>
          <w:lang w:val="en-US"/>
        </w:rPr>
        <w:t xml:space="preserve"> maximizing the benefits of R&amp;I investments. This requires ensuring a sufficient degree of predictability for R&amp;I activities, including for fundamental research and disruptive innovation, and a clear distinction between R&amp;I and deployment activities. </w:t>
      </w:r>
      <w:r w:rsidRPr="78F96115">
        <w:rPr>
          <w:noProof/>
          <w:lang w:val="en-IE"/>
        </w:rPr>
        <w:t>The proposed European Competitiveness Fund (ECF) aims to simplify and improve EU funding by consolidating 14 existing programs into one fund. The ECF is designed to reduce regulatory costs, enhance efficiency, and improve responsiveness to economic crises, ultimately supporting EU competitiveness.</w:t>
      </w:r>
    </w:p>
    <w:p w14:paraId="040B5BAA" w14:textId="1EA96266" w:rsidR="00FC3D58" w:rsidRDefault="770A4B85" w:rsidP="00630814">
      <w:pPr>
        <w:pStyle w:val="Heading1"/>
        <w:spacing w:before="120"/>
        <w:rPr>
          <w:noProof/>
          <w:lang w:val="en-IE"/>
        </w:rPr>
      </w:pPr>
      <w:bookmarkStart w:id="269" w:name="_Toc139373868"/>
      <w:bookmarkStart w:id="270" w:name="_Toc195700239"/>
      <w:bookmarkStart w:id="271" w:name="_Toc203043656"/>
      <w:r w:rsidRPr="001C4420">
        <w:rPr>
          <w:noProof/>
          <w:lang w:val="en-IE"/>
        </w:rPr>
        <w:t>How will actual impacts be monitored and evaluated?</w:t>
      </w:r>
      <w:bookmarkEnd w:id="269"/>
      <w:bookmarkEnd w:id="270"/>
      <w:bookmarkEnd w:id="271"/>
    </w:p>
    <w:p w14:paraId="5344CEBC" w14:textId="52522692" w:rsidR="002632EE" w:rsidRPr="00997EDA" w:rsidRDefault="00517B16" w:rsidP="002632EE">
      <w:pPr>
        <w:rPr>
          <w:noProof/>
        </w:rPr>
      </w:pPr>
      <w:bookmarkStart w:id="272" w:name="_Toc195700240"/>
      <w:r>
        <w:rPr>
          <w:noProof/>
        </w:rPr>
        <w:t xml:space="preserve">This initiative will be monitored through the performance framework for the post-2027 budget, which is examined in a separate impact assessment. The performance framework provides for an implementation report during the implementation phase of the programme, as well as a retrospective evaluation to be carried out in accordance with Article 34(3) of Regulation (EU, Euratom) 2024/2509. The evaluation shall be conducted in accordance with the Commission's Better Regulation Guidelines and will be based on indicators relevant to the objectives of the </w:t>
      </w:r>
      <w:r w:rsidR="00EC02BC">
        <w:rPr>
          <w:noProof/>
        </w:rPr>
        <w:t>Fund</w:t>
      </w:r>
      <w:r>
        <w:rPr>
          <w:noProof/>
        </w:rPr>
        <w:t>.</w:t>
      </w:r>
      <w:bookmarkEnd w:id="272"/>
      <w:r w:rsidR="002632EE">
        <w:rPr>
          <w:noProof/>
        </w:rPr>
        <w:t xml:space="preserve"> </w:t>
      </w:r>
      <w:r w:rsidR="002632EE" w:rsidRPr="52E8B210">
        <w:rPr>
          <w:noProof/>
        </w:rPr>
        <w:t xml:space="preserve">The latter shall comprise output, outcome and impact SMART (specific, measurable, achievable, relevant, and time-bound) indicators to capture the progress towards achieving the Fund’s specific and general objectives along impact pathways in the short-, medium- and long-term respectively. </w:t>
      </w:r>
    </w:p>
    <w:p w14:paraId="11BBE9A0" w14:textId="77777777" w:rsidR="002632EE" w:rsidRPr="00997EDA" w:rsidRDefault="002632EE" w:rsidP="002632EE">
      <w:pPr>
        <w:spacing w:before="0" w:after="200" w:line="276" w:lineRule="auto"/>
        <w:jc w:val="left"/>
        <w:rPr>
          <w:rFonts w:eastAsia="Times New Roman"/>
          <w:b/>
          <w:smallCaps/>
          <w:noProof/>
          <w:szCs w:val="20"/>
          <w:lang w:val="en-IE"/>
        </w:rPr>
      </w:pPr>
      <w:r w:rsidRPr="00997EDA">
        <w:rPr>
          <w:noProof/>
          <w:lang w:val="en-IE"/>
        </w:rPr>
        <w:br w:type="page"/>
      </w:r>
    </w:p>
    <w:p w14:paraId="79216F98" w14:textId="307FF50B" w:rsidR="00784EE2" w:rsidRDefault="00784EE2" w:rsidP="00603157">
      <w:pPr>
        <w:pStyle w:val="Heading2"/>
        <w:numPr>
          <w:ilvl w:val="0"/>
          <w:numId w:val="0"/>
        </w:numPr>
        <w:ind w:left="1200" w:hanging="720"/>
        <w:rPr>
          <w:noProof/>
          <w:lang w:val="en-US"/>
        </w:rPr>
      </w:pPr>
      <w:bookmarkStart w:id="273" w:name="_Toc203043657"/>
      <w:r w:rsidRPr="00E81A4D">
        <w:rPr>
          <w:noProof/>
          <w:lang w:val="en-US"/>
        </w:rPr>
        <w:t>A</w:t>
      </w:r>
      <w:r w:rsidR="00441C25">
        <w:rPr>
          <w:noProof/>
          <w:lang w:val="en-US"/>
        </w:rPr>
        <w:t>nnex 1: Procedural Information</w:t>
      </w:r>
      <w:bookmarkEnd w:id="273"/>
    </w:p>
    <w:p w14:paraId="6060E3D9" w14:textId="77777777" w:rsidR="00784EE2" w:rsidRDefault="00784EE2" w:rsidP="008C51EB">
      <w:pPr>
        <w:pStyle w:val="ListParagraph"/>
        <w:numPr>
          <w:ilvl w:val="0"/>
          <w:numId w:val="27"/>
        </w:numPr>
        <w:rPr>
          <w:rFonts w:eastAsia="Times New Roman"/>
          <w:b/>
          <w:bCs/>
          <w:smallCaps/>
          <w:noProof/>
          <w:lang w:val="en-US"/>
        </w:rPr>
      </w:pPr>
      <w:r w:rsidRPr="009465E2">
        <w:rPr>
          <w:rFonts w:eastAsia="Times New Roman"/>
          <w:b/>
          <w:bCs/>
          <w:smallCaps/>
          <w:noProof/>
          <w:lang w:val="en-US"/>
        </w:rPr>
        <w:t>LEAD DG, DECIDE PLANNING/CWP REFERENCES</w:t>
      </w:r>
    </w:p>
    <w:p w14:paraId="0011D800" w14:textId="740F3F7A" w:rsidR="00784EE2" w:rsidRPr="009465E2" w:rsidRDefault="00784EE2" w:rsidP="00603157">
      <w:pPr>
        <w:rPr>
          <w:noProof/>
          <w:lang w:val="en-IE"/>
        </w:rPr>
      </w:pPr>
      <w:r w:rsidRPr="009465E2">
        <w:rPr>
          <w:noProof/>
          <w:lang w:val="en-IE"/>
        </w:rPr>
        <w:t xml:space="preserve">Lead DG: DG GROW, DG </w:t>
      </w:r>
      <w:r>
        <w:rPr>
          <w:noProof/>
          <w:lang w:val="en-IE"/>
        </w:rPr>
        <w:t>RTD</w:t>
      </w:r>
      <w:r w:rsidR="001C0288">
        <w:rPr>
          <w:noProof/>
          <w:lang w:val="en-IE"/>
        </w:rPr>
        <w:t xml:space="preserve">, SG and </w:t>
      </w:r>
      <w:r w:rsidR="00413091">
        <w:rPr>
          <w:noProof/>
          <w:lang w:val="en-IE"/>
        </w:rPr>
        <w:t xml:space="preserve">DG </w:t>
      </w:r>
      <w:r w:rsidR="001C0288">
        <w:rPr>
          <w:noProof/>
          <w:lang w:val="en-IE"/>
        </w:rPr>
        <w:t>BUDG</w:t>
      </w:r>
    </w:p>
    <w:p w14:paraId="47981526" w14:textId="2E5610F6" w:rsidR="00784EE2" w:rsidRPr="009465E2" w:rsidRDefault="00784EE2" w:rsidP="00603157">
      <w:pPr>
        <w:rPr>
          <w:noProof/>
          <w:lang w:val="en-IE"/>
        </w:rPr>
      </w:pPr>
      <w:r w:rsidRPr="009465E2">
        <w:rPr>
          <w:noProof/>
          <w:lang w:val="en-IE"/>
        </w:rPr>
        <w:t xml:space="preserve">Decide </w:t>
      </w:r>
      <w:r w:rsidR="00873FA8" w:rsidRPr="009465E2">
        <w:rPr>
          <w:noProof/>
          <w:lang w:val="en-IE"/>
        </w:rPr>
        <w:t>Planning</w:t>
      </w:r>
      <w:r w:rsidR="00873FA8">
        <w:rPr>
          <w:noProof/>
          <w:lang w:val="en-IE"/>
        </w:rPr>
        <w:t>:</w:t>
      </w:r>
      <w:r w:rsidR="00323793">
        <w:rPr>
          <w:noProof/>
          <w:lang w:val="en-IE"/>
        </w:rPr>
        <w:t xml:space="preserve"> N/A</w:t>
      </w:r>
    </w:p>
    <w:p w14:paraId="30701F89" w14:textId="36D571ED" w:rsidR="00784EE2" w:rsidRPr="009465E2" w:rsidRDefault="00784EE2" w:rsidP="00603157">
      <w:pPr>
        <w:rPr>
          <w:noProof/>
          <w:lang w:val="en-IE"/>
        </w:rPr>
      </w:pPr>
      <w:r w:rsidRPr="009465E2">
        <w:rPr>
          <w:noProof/>
          <w:lang w:val="en-IE"/>
        </w:rPr>
        <w:t xml:space="preserve">CWP </w:t>
      </w:r>
      <w:r w:rsidR="00873FA8" w:rsidRPr="009465E2">
        <w:rPr>
          <w:noProof/>
          <w:lang w:val="en-IE"/>
        </w:rPr>
        <w:t>Reference</w:t>
      </w:r>
      <w:r w:rsidR="00873FA8">
        <w:rPr>
          <w:noProof/>
          <w:lang w:val="en-IE"/>
        </w:rPr>
        <w:t>:</w:t>
      </w:r>
      <w:r w:rsidR="00323793">
        <w:rPr>
          <w:noProof/>
          <w:lang w:val="en-IE"/>
        </w:rPr>
        <w:t xml:space="preserve"> N/A</w:t>
      </w:r>
    </w:p>
    <w:p w14:paraId="58768BE2" w14:textId="77777777" w:rsidR="00784EE2" w:rsidRDefault="00784EE2" w:rsidP="008C51EB">
      <w:pPr>
        <w:pStyle w:val="ListParagraph"/>
        <w:numPr>
          <w:ilvl w:val="0"/>
          <w:numId w:val="27"/>
        </w:numPr>
        <w:rPr>
          <w:rFonts w:eastAsia="Times New Roman"/>
          <w:b/>
          <w:bCs/>
          <w:smallCaps/>
          <w:noProof/>
          <w:lang w:val="en-US"/>
        </w:rPr>
      </w:pPr>
      <w:r w:rsidRPr="009465E2">
        <w:rPr>
          <w:rFonts w:eastAsia="Times New Roman"/>
          <w:b/>
          <w:bCs/>
          <w:smallCaps/>
          <w:noProof/>
          <w:lang w:val="en-US"/>
        </w:rPr>
        <w:t>ORGANISATION AND TIMING</w:t>
      </w:r>
    </w:p>
    <w:p w14:paraId="56E13105" w14:textId="69DA8B05" w:rsidR="00784EE2" w:rsidRPr="001F7D47" w:rsidRDefault="5E3F0B22" w:rsidP="00603157">
      <w:pPr>
        <w:rPr>
          <w:noProof/>
          <w:lang w:val="en-IE"/>
        </w:rPr>
      </w:pPr>
      <w:r>
        <w:rPr>
          <w:noProof/>
        </w:rPr>
        <w:t xml:space="preserve">The IAs work started in the second half of 2024 guided by the Inter Service Steering Group (ISSGs), which was chaired by SG in close coordination with BUDG. The ISSG was composed of the representatives of </w:t>
      </w:r>
      <w:r w:rsidR="06037497">
        <w:rPr>
          <w:noProof/>
        </w:rPr>
        <w:t>LS</w:t>
      </w:r>
      <w:r>
        <w:rPr>
          <w:noProof/>
        </w:rPr>
        <w:t>, JRC and the DGs responsible for the programmes in the scope of this initiative (</w:t>
      </w:r>
      <w:r w:rsidR="4ED5F090">
        <w:rPr>
          <w:noProof/>
        </w:rPr>
        <w:t>GROW, RTD, COMP, MOVE, ENER, ENV, ECFIN, CLIMA, DEFIS, CNECT, SANTE, FISMA, MARE, DIGIT, INTPA, HERA, HOME)</w:t>
      </w:r>
      <w:r>
        <w:rPr>
          <w:noProof/>
        </w:rPr>
        <w:t xml:space="preserve">. The ISSG met </w:t>
      </w:r>
      <w:r w:rsidR="7EBA4851">
        <w:rPr>
          <w:noProof/>
        </w:rPr>
        <w:t xml:space="preserve">five </w:t>
      </w:r>
      <w:r>
        <w:rPr>
          <w:noProof/>
        </w:rPr>
        <w:t xml:space="preserve">times. with the last meeting taking place on </w:t>
      </w:r>
      <w:r w:rsidR="0C3E42BC">
        <w:rPr>
          <w:noProof/>
        </w:rPr>
        <w:t>24 April</w:t>
      </w:r>
      <w:r>
        <w:rPr>
          <w:noProof/>
        </w:rPr>
        <w:t xml:space="preserve"> 2025. </w:t>
      </w:r>
    </w:p>
    <w:p w14:paraId="18227771" w14:textId="00142061" w:rsidR="00784EE2" w:rsidRPr="00D7600B" w:rsidRDefault="00784EE2" w:rsidP="00603157">
      <w:pPr>
        <w:rPr>
          <w:noProof/>
        </w:rPr>
      </w:pPr>
      <w:r w:rsidRPr="001F7D47">
        <w:rPr>
          <w:b/>
          <w:bCs/>
          <w:noProof/>
        </w:rPr>
        <w:t>External study:</w:t>
      </w:r>
      <w:r w:rsidRPr="00D7600B">
        <w:rPr>
          <w:noProof/>
        </w:rPr>
        <w:t xml:space="preserve"> an external study was </w:t>
      </w:r>
      <w:r>
        <w:rPr>
          <w:noProof/>
        </w:rPr>
        <w:t>commissioned and conducted between</w:t>
      </w:r>
      <w:r w:rsidRPr="00D7600B">
        <w:rPr>
          <w:noProof/>
        </w:rPr>
        <w:t xml:space="preserve"> March</w:t>
      </w:r>
      <w:r>
        <w:rPr>
          <w:noProof/>
        </w:rPr>
        <w:t xml:space="preserve"> and </w:t>
      </w:r>
      <w:r w:rsidRPr="00D7600B">
        <w:rPr>
          <w:noProof/>
        </w:rPr>
        <w:t>May 2025</w:t>
      </w:r>
      <w:r>
        <w:rPr>
          <w:noProof/>
        </w:rPr>
        <w:t xml:space="preserve"> resulting in two key deliverables: </w:t>
      </w:r>
      <w:r w:rsidRPr="00D7600B">
        <w:rPr>
          <w:noProof/>
        </w:rPr>
        <w:t xml:space="preserve">assessment of costs and benefits </w:t>
      </w:r>
      <w:r>
        <w:rPr>
          <w:noProof/>
        </w:rPr>
        <w:t xml:space="preserve">and comparison </w:t>
      </w:r>
      <w:r w:rsidRPr="00D7600B">
        <w:rPr>
          <w:noProof/>
        </w:rPr>
        <w:t>of options as well as the analysis of the Public Consultation</w:t>
      </w:r>
      <w:r>
        <w:rPr>
          <w:noProof/>
        </w:rPr>
        <w:t>.</w:t>
      </w:r>
      <w:r w:rsidRPr="00D7600B">
        <w:rPr>
          <w:noProof/>
        </w:rPr>
        <w:t xml:space="preserve"> </w:t>
      </w:r>
      <w:r>
        <w:rPr>
          <w:noProof/>
        </w:rPr>
        <w:t>B</w:t>
      </w:r>
      <w:r w:rsidRPr="00D7600B">
        <w:rPr>
          <w:noProof/>
        </w:rPr>
        <w:t xml:space="preserve">oth fed into the IA report. </w:t>
      </w:r>
    </w:p>
    <w:p w14:paraId="0B95D64B" w14:textId="1ED3370B" w:rsidR="00784EE2" w:rsidRPr="00BB184A" w:rsidRDefault="00784EE2" w:rsidP="00603157">
      <w:pPr>
        <w:rPr>
          <w:noProof/>
          <w:lang w:val="en-US"/>
        </w:rPr>
      </w:pPr>
      <w:r w:rsidRPr="00A95DAD">
        <w:rPr>
          <w:b/>
          <w:bCs/>
          <w:noProof/>
        </w:rPr>
        <w:t>Consultations</w:t>
      </w:r>
      <w:r>
        <w:rPr>
          <w:noProof/>
        </w:rPr>
        <w:t xml:space="preserve">: a Public Consultation (PC) ran between </w:t>
      </w:r>
      <w:r w:rsidRPr="00A95DAD">
        <w:rPr>
          <w:noProof/>
          <w:lang w:val="en-US"/>
        </w:rPr>
        <w:t>12 February 2025 - 0</w:t>
      </w:r>
      <w:r w:rsidR="00013487">
        <w:rPr>
          <w:noProof/>
          <w:lang w:val="en-US"/>
        </w:rPr>
        <w:t>7</w:t>
      </w:r>
      <w:r w:rsidRPr="00A95DAD">
        <w:rPr>
          <w:noProof/>
          <w:lang w:val="en-US"/>
        </w:rPr>
        <w:t xml:space="preserve"> May 2025</w:t>
      </w:r>
      <w:r>
        <w:rPr>
          <w:noProof/>
          <w:lang w:val="en-US"/>
        </w:rPr>
        <w:t>.</w:t>
      </w:r>
      <w:r w:rsidRPr="008332E1">
        <w:rPr>
          <w:noProof/>
          <w:lang w:val="en-US"/>
        </w:rPr>
        <w:t xml:space="preserve"> </w:t>
      </w:r>
      <w:r>
        <w:rPr>
          <w:noProof/>
          <w:lang w:val="en-US"/>
        </w:rPr>
        <w:t xml:space="preserve">It was </w:t>
      </w:r>
      <w:r w:rsidRPr="00A95DAD">
        <w:rPr>
          <w:noProof/>
          <w:lang w:val="en-US"/>
        </w:rPr>
        <w:t>part of the overall public consultation exercise on the next MFF</w:t>
      </w:r>
      <w:r>
        <w:rPr>
          <w:noProof/>
          <w:lang w:val="en-US"/>
        </w:rPr>
        <w:t xml:space="preserve"> with one particular strand covering </w:t>
      </w:r>
      <w:r w:rsidRPr="00A95DAD">
        <w:rPr>
          <w:noProof/>
          <w:lang w:val="en-US"/>
        </w:rPr>
        <w:t>EU funds that boost competitiveness</w:t>
      </w:r>
      <w:r>
        <w:rPr>
          <w:noProof/>
          <w:lang w:val="en-US"/>
        </w:rPr>
        <w:t xml:space="preserve">: </w:t>
      </w:r>
      <w:hyperlink r:id="rId23">
        <w:r w:rsidRPr="1DB4FA49">
          <w:rPr>
            <w:rStyle w:val="Hyperlink"/>
            <w:noProof/>
          </w:rPr>
          <w:t>EU’s next long-term budget (MFF) – EU funding for competitiveness</w:t>
        </w:r>
      </w:hyperlink>
      <w:r w:rsidRPr="1DB4FA49">
        <w:rPr>
          <w:rStyle w:val="Hyperlink"/>
          <w:noProof/>
        </w:rPr>
        <w:t>.</w:t>
      </w:r>
      <w:r>
        <w:rPr>
          <w:noProof/>
        </w:rPr>
        <w:t xml:space="preserve">(for the details and the results of the consultation, please see the Synopsis report in Annex </w:t>
      </w:r>
      <w:r w:rsidR="003011E9">
        <w:rPr>
          <w:noProof/>
        </w:rPr>
        <w:t>2</w:t>
      </w:r>
      <w:r>
        <w:rPr>
          <w:noProof/>
        </w:rPr>
        <w:t>).</w:t>
      </w:r>
    </w:p>
    <w:p w14:paraId="61770861" w14:textId="43AF5616" w:rsidR="00784EE2" w:rsidRPr="00BB184A" w:rsidRDefault="00784EE2" w:rsidP="008C51EB">
      <w:pPr>
        <w:pStyle w:val="ListParagraph"/>
        <w:numPr>
          <w:ilvl w:val="0"/>
          <w:numId w:val="27"/>
        </w:numPr>
        <w:rPr>
          <w:rFonts w:eastAsia="Times New Roman"/>
          <w:b/>
          <w:bCs/>
          <w:smallCaps/>
          <w:noProof/>
          <w:lang w:val="en-US"/>
        </w:rPr>
      </w:pPr>
      <w:r w:rsidRPr="009465E2">
        <w:rPr>
          <w:rFonts w:eastAsia="Times New Roman"/>
          <w:b/>
          <w:bCs/>
          <w:smallCaps/>
          <w:noProof/>
          <w:lang w:val="en-US"/>
        </w:rPr>
        <w:t>CONSULTATION OF THE RSB</w:t>
      </w:r>
    </w:p>
    <w:p w14:paraId="2DD8F117" w14:textId="77777777" w:rsidR="00FB25B5" w:rsidRDefault="00784EE2" w:rsidP="00603157">
      <w:pPr>
        <w:rPr>
          <w:noProof/>
        </w:rPr>
      </w:pPr>
      <w:r w:rsidRPr="00473EEF">
        <w:rPr>
          <w:noProof/>
        </w:rPr>
        <w:t>An u</w:t>
      </w:r>
      <w:r w:rsidRPr="00957F9F">
        <w:rPr>
          <w:noProof/>
        </w:rPr>
        <w:t>pstream meeting RSB and SG, BUDG, RTD, GROW </w:t>
      </w:r>
      <w:r w:rsidRPr="00473EEF">
        <w:rPr>
          <w:noProof/>
        </w:rPr>
        <w:t xml:space="preserve">took place on </w:t>
      </w:r>
      <w:r w:rsidRPr="00957F9F">
        <w:rPr>
          <w:noProof/>
        </w:rPr>
        <w:t xml:space="preserve">3 April </w:t>
      </w:r>
      <w:r w:rsidR="00EB29A2" w:rsidRPr="00957F9F">
        <w:rPr>
          <w:noProof/>
        </w:rPr>
        <w:t>2025.</w:t>
      </w:r>
      <w:r w:rsidRPr="00473EEF">
        <w:rPr>
          <w:noProof/>
        </w:rPr>
        <w:t xml:space="preserve"> </w:t>
      </w:r>
    </w:p>
    <w:p w14:paraId="75D9590E" w14:textId="573928A8" w:rsidR="00EF3320" w:rsidRDefault="00B66E12" w:rsidP="00603157">
      <w:pPr>
        <w:rPr>
          <w:noProof/>
        </w:rPr>
      </w:pPr>
      <w:r w:rsidRPr="00B66E12">
        <w:rPr>
          <w:noProof/>
        </w:rPr>
        <w:t xml:space="preserve">The draft Impact Assessment Report was submitted to the RSB on </w:t>
      </w:r>
      <w:r w:rsidR="001E4C48">
        <w:rPr>
          <w:noProof/>
        </w:rPr>
        <w:t>19 May 2025</w:t>
      </w:r>
      <w:r w:rsidRPr="00B66E12">
        <w:rPr>
          <w:noProof/>
        </w:rPr>
        <w:t xml:space="preserve"> and was examined during the RSB meeting of </w:t>
      </w:r>
      <w:r w:rsidR="00EF3320">
        <w:rPr>
          <w:noProof/>
        </w:rPr>
        <w:t>4 June 2025</w:t>
      </w:r>
      <w:r w:rsidRPr="00B66E12">
        <w:rPr>
          <w:noProof/>
        </w:rPr>
        <w:t xml:space="preserve">. The RSB issued </w:t>
      </w:r>
      <w:r w:rsidR="00EF3320">
        <w:rPr>
          <w:noProof/>
        </w:rPr>
        <w:t>an</w:t>
      </w:r>
      <w:r w:rsidRPr="00B66E12">
        <w:rPr>
          <w:noProof/>
        </w:rPr>
        <w:t xml:space="preserve"> opinion on the draft Impact Assessment Report on </w:t>
      </w:r>
      <w:r w:rsidR="003703DC">
        <w:rPr>
          <w:noProof/>
        </w:rPr>
        <w:t>13 June 2025</w:t>
      </w:r>
      <w:r w:rsidRPr="00B66E12">
        <w:rPr>
          <w:noProof/>
        </w:rPr>
        <w:t xml:space="preserve">. </w:t>
      </w:r>
    </w:p>
    <w:p w14:paraId="0C8228F6" w14:textId="51564672" w:rsidR="00B66E12" w:rsidRDefault="00B66E12" w:rsidP="00603157">
      <w:pPr>
        <w:rPr>
          <w:noProof/>
        </w:rPr>
      </w:pPr>
      <w:r w:rsidRPr="00B66E12">
        <w:rPr>
          <w:noProof/>
        </w:rPr>
        <w:t>Below are recommendations of the RSB:</w:t>
      </w:r>
    </w:p>
    <w:p w14:paraId="3DD18462" w14:textId="77777777" w:rsidR="00DB2C3D" w:rsidRDefault="00DB2C3D" w:rsidP="00603157">
      <w:pPr>
        <w:rPr>
          <w:noProof/>
        </w:rPr>
      </w:pPr>
    </w:p>
    <w:tbl>
      <w:tblPr>
        <w:tblStyle w:val="TableGrid"/>
        <w:tblW w:w="0" w:type="auto"/>
        <w:tblLook w:val="04A0" w:firstRow="1" w:lastRow="0" w:firstColumn="1" w:lastColumn="0" w:noHBand="0" w:noVBand="1"/>
      </w:tblPr>
      <w:tblGrid>
        <w:gridCol w:w="4814"/>
        <w:gridCol w:w="4814"/>
      </w:tblGrid>
      <w:tr w:rsidR="00F918A1" w14:paraId="5F2E45CE" w14:textId="77777777" w:rsidTr="00044310">
        <w:tc>
          <w:tcPr>
            <w:tcW w:w="4814" w:type="dxa"/>
          </w:tcPr>
          <w:p w14:paraId="72BA7D16" w14:textId="1B0E455D" w:rsidR="00F918A1" w:rsidRDefault="00F918A1" w:rsidP="00F918A1">
            <w:pPr>
              <w:rPr>
                <w:noProof/>
              </w:rPr>
            </w:pPr>
            <w:r w:rsidRPr="00B80529">
              <w:rPr>
                <w:noProof/>
              </w:rPr>
              <w:t>On scope: The report does not sufficiently elaborate the definition of competitiveness, nor does it indicate how the ECF is to strengthen European competitiveness. The interplay between competitiveness and security is not sufficiently addressed.</w:t>
            </w:r>
          </w:p>
        </w:tc>
        <w:tc>
          <w:tcPr>
            <w:tcW w:w="4814" w:type="dxa"/>
          </w:tcPr>
          <w:p w14:paraId="775DA921" w14:textId="515D2DAF" w:rsidR="00F918A1" w:rsidRDefault="00F918A1" w:rsidP="004F3A12">
            <w:pPr>
              <w:rPr>
                <w:noProof/>
              </w:rPr>
            </w:pPr>
            <w:r>
              <w:rPr>
                <w:noProof/>
              </w:rPr>
              <w:t>The definition of competitiveness is now explained upfront in the</w:t>
            </w:r>
            <w:r w:rsidRPr="001722D8">
              <w:rPr>
                <w:noProof/>
              </w:rPr>
              <w:t xml:space="preserve"> </w:t>
            </w:r>
            <w:r>
              <w:rPr>
                <w:noProof/>
              </w:rPr>
              <w:t>section 1.1</w:t>
            </w:r>
            <w:r w:rsidRPr="001722D8">
              <w:rPr>
                <w:noProof/>
              </w:rPr>
              <w:t xml:space="preserve"> of the report</w:t>
            </w:r>
            <w:r>
              <w:rPr>
                <w:noProof/>
              </w:rPr>
              <w:t xml:space="preserve">. The revised report also reflects the links between ECF and European competitiveness </w:t>
            </w:r>
            <w:r w:rsidRPr="002941B3">
              <w:rPr>
                <w:noProof/>
              </w:rPr>
              <w:t>(section 1.2).</w:t>
            </w:r>
            <w:r>
              <w:rPr>
                <w:noProof/>
              </w:rPr>
              <w:t xml:space="preserve"> Finally, the interplay between competitiveness and security is </w:t>
            </w:r>
            <w:r w:rsidRPr="004F3A12">
              <w:rPr>
                <w:noProof/>
              </w:rPr>
              <w:t>clarified (</w:t>
            </w:r>
            <w:r w:rsidRPr="00137567">
              <w:rPr>
                <w:noProof/>
              </w:rPr>
              <w:t>section 2.1</w:t>
            </w:r>
            <w:r w:rsidRPr="004F3A12">
              <w:rPr>
                <w:noProof/>
              </w:rPr>
              <w:t>)</w:t>
            </w:r>
            <w:r w:rsidR="004F3A12">
              <w:rPr>
                <w:noProof/>
              </w:rPr>
              <w:t xml:space="preserve">. </w:t>
            </w:r>
            <w:r w:rsidRPr="00D931FF">
              <w:rPr>
                <w:noProof/>
              </w:rPr>
              <w:t>All the 14 programmes in the scope of this IA are mentioned in the section 1.2.</w:t>
            </w:r>
            <w:r>
              <w:rPr>
                <w:noProof/>
              </w:rPr>
              <w:t xml:space="preserve"> </w:t>
            </w:r>
            <w:r w:rsidRPr="0078757E">
              <w:rPr>
                <w:noProof/>
              </w:rPr>
              <w:t xml:space="preserve">The discontinuation and re-orientation of programmes is discussed under the sections comparing the different options </w:t>
            </w:r>
            <w:r w:rsidRPr="005F0E44">
              <w:rPr>
                <w:noProof/>
              </w:rPr>
              <w:t>(both under section 6 assessing the three options and section 7 comparing the options),</w:t>
            </w:r>
            <w:r w:rsidRPr="0078757E">
              <w:rPr>
                <w:noProof/>
              </w:rPr>
              <w:t xml:space="preserve"> which outlines adjustment costs and benefits for relevant beneficiaries.</w:t>
            </w:r>
            <w:r>
              <w:rPr>
                <w:noProof/>
              </w:rPr>
              <w:t xml:space="preserve"> </w:t>
            </w:r>
          </w:p>
        </w:tc>
      </w:tr>
      <w:tr w:rsidR="00F918A1" w14:paraId="00B3F269" w14:textId="77777777" w:rsidTr="00044310">
        <w:tc>
          <w:tcPr>
            <w:tcW w:w="4814" w:type="dxa"/>
          </w:tcPr>
          <w:p w14:paraId="0D38E28E" w14:textId="0C0AAF8E" w:rsidR="00F918A1" w:rsidRDefault="00F918A1" w:rsidP="00F918A1">
            <w:pPr>
              <w:rPr>
                <w:noProof/>
              </w:rPr>
            </w:pPr>
            <w:r w:rsidRPr="00367C42">
              <w:rPr>
                <w:noProof/>
              </w:rPr>
              <w:t>On the problem definition and on the use of evaluations: The report does not consistently build on evidence from evaluations. It does not specify the market and regulatory failures and the societal problems, including their magnitude, which this intervention is intended to address.</w:t>
            </w:r>
          </w:p>
        </w:tc>
        <w:tc>
          <w:tcPr>
            <w:tcW w:w="4814" w:type="dxa"/>
          </w:tcPr>
          <w:p w14:paraId="5A581895" w14:textId="06117E35" w:rsidR="00F918A1" w:rsidRPr="009762F0" w:rsidRDefault="00F918A1" w:rsidP="002405CF">
            <w:pPr>
              <w:rPr>
                <w:noProof/>
              </w:rPr>
            </w:pPr>
            <w:r>
              <w:rPr>
                <w:noProof/>
                <w:lang w:val="en-US"/>
              </w:rPr>
              <w:t>M</w:t>
            </w:r>
            <w:r w:rsidRPr="0063793C">
              <w:rPr>
                <w:noProof/>
                <w:lang w:val="en-US"/>
              </w:rPr>
              <w:t xml:space="preserve">ore targeted examples from interim and ex post evaluations feature </w:t>
            </w:r>
            <w:r w:rsidRPr="00086FF6">
              <w:rPr>
                <w:noProof/>
                <w:lang w:val="en-US"/>
              </w:rPr>
              <w:t xml:space="preserve">in parts of the problem definition (section </w:t>
            </w:r>
            <w:r w:rsidR="001B4B0E" w:rsidRPr="00086FF6">
              <w:rPr>
                <w:noProof/>
                <w:lang w:val="en-US"/>
              </w:rPr>
              <w:t>2</w:t>
            </w:r>
            <w:r w:rsidRPr="00086FF6">
              <w:rPr>
                <w:noProof/>
                <w:lang w:val="en-US"/>
              </w:rPr>
              <w:t>).</w:t>
            </w:r>
            <w:r w:rsidRPr="001B4B0E">
              <w:rPr>
                <w:noProof/>
                <w:lang w:val="en-US"/>
              </w:rPr>
              <w:t xml:space="preserve"> </w:t>
            </w:r>
            <w:r w:rsidRPr="001B4B0E">
              <w:rPr>
                <w:noProof/>
              </w:rPr>
              <w:t>The</w:t>
            </w:r>
            <w:r w:rsidRPr="45A6DC60">
              <w:rPr>
                <w:noProof/>
              </w:rPr>
              <w:t xml:space="preserve"> </w:t>
            </w:r>
            <w:r>
              <w:rPr>
                <w:noProof/>
              </w:rPr>
              <w:t xml:space="preserve">regulatory and </w:t>
            </w:r>
            <w:r w:rsidRPr="45A6DC60">
              <w:rPr>
                <w:noProof/>
              </w:rPr>
              <w:t xml:space="preserve">market failures are more prominently visible in the revised report </w:t>
            </w:r>
            <w:r w:rsidRPr="001B7921">
              <w:rPr>
                <w:noProof/>
              </w:rPr>
              <w:t>(</w:t>
            </w:r>
            <w:r w:rsidRPr="005F34D2">
              <w:rPr>
                <w:noProof/>
              </w:rPr>
              <w:t>section 2.1</w:t>
            </w:r>
            <w:r w:rsidR="003F7871">
              <w:rPr>
                <w:noProof/>
              </w:rPr>
              <w:t xml:space="preserve"> and 2.2</w:t>
            </w:r>
            <w:r w:rsidRPr="001B7921">
              <w:rPr>
                <w:noProof/>
              </w:rPr>
              <w:t>).</w:t>
            </w:r>
            <w:r w:rsidRPr="45A6DC60">
              <w:rPr>
                <w:noProof/>
              </w:rPr>
              <w:t xml:space="preserve"> </w:t>
            </w:r>
            <w:r w:rsidRPr="00137567">
              <w:rPr>
                <w:noProof/>
              </w:rPr>
              <w:t>The problem definition now distinguishes more clearly between problems and problem drivers (Section 2.1)</w:t>
            </w:r>
          </w:p>
        </w:tc>
      </w:tr>
      <w:tr w:rsidR="00F918A1" w14:paraId="343E869B" w14:textId="77777777" w:rsidTr="00044310">
        <w:tc>
          <w:tcPr>
            <w:tcW w:w="4814" w:type="dxa"/>
          </w:tcPr>
          <w:p w14:paraId="1267574D" w14:textId="37489BC3" w:rsidR="00F918A1" w:rsidRDefault="00F918A1" w:rsidP="00F918A1">
            <w:pPr>
              <w:rPr>
                <w:noProof/>
              </w:rPr>
            </w:pPr>
            <w:r w:rsidRPr="000B472A">
              <w:rPr>
                <w:noProof/>
              </w:rPr>
              <w:t>On the intervention logic and objectives: The proposed options do not address all identified problems. The proposed objectives are not S.M.A.R.T.</w:t>
            </w:r>
          </w:p>
        </w:tc>
        <w:tc>
          <w:tcPr>
            <w:tcW w:w="4814" w:type="dxa"/>
          </w:tcPr>
          <w:p w14:paraId="218CDE72" w14:textId="7FC250A5" w:rsidR="00F918A1" w:rsidRDefault="00F918A1" w:rsidP="00F918A1">
            <w:pPr>
              <w:rPr>
                <w:noProof/>
              </w:rPr>
            </w:pPr>
            <w:r>
              <w:rPr>
                <w:noProof/>
              </w:rPr>
              <w:t xml:space="preserve">The section 4 on general objectives now further clarifies that they are both 1) achievable </w:t>
            </w:r>
            <w:r w:rsidRPr="000E4F89">
              <w:rPr>
                <w:noProof/>
              </w:rPr>
              <w:t>by way of set-up and implementation of the programme where the progress will be continuously monitored to address potential challenges; 2) relevant as they align the investment goals with the EU's strategic priorities, ensuring they contribute to overall EU competitiveness, and 3) time-bound to the duration of the next MFF</w:t>
            </w:r>
            <w:r>
              <w:rPr>
                <w:noProof/>
              </w:rPr>
              <w:t xml:space="preserve"> (post 2027)</w:t>
            </w:r>
            <w:r w:rsidRPr="000E4F89">
              <w:rPr>
                <w:noProof/>
              </w:rPr>
              <w:t>.</w:t>
            </w:r>
          </w:p>
        </w:tc>
      </w:tr>
      <w:tr w:rsidR="00F918A1" w14:paraId="0BCCAE32" w14:textId="77777777" w:rsidTr="00044310">
        <w:tc>
          <w:tcPr>
            <w:tcW w:w="4814" w:type="dxa"/>
          </w:tcPr>
          <w:p w14:paraId="5DBEB991" w14:textId="55D31424" w:rsidR="00F918A1" w:rsidRDefault="00F918A1" w:rsidP="00F918A1">
            <w:pPr>
              <w:rPr>
                <w:noProof/>
              </w:rPr>
            </w:pPr>
            <w:r w:rsidRPr="00744035">
              <w:rPr>
                <w:noProof/>
              </w:rPr>
              <w:t>On options: The report does not adequately identify the full range of options.</w:t>
            </w:r>
          </w:p>
        </w:tc>
        <w:tc>
          <w:tcPr>
            <w:tcW w:w="4814" w:type="dxa"/>
          </w:tcPr>
          <w:p w14:paraId="78E1DC48" w14:textId="7E156397" w:rsidR="00F918A1" w:rsidRPr="00BE2A7D" w:rsidRDefault="00F918A1" w:rsidP="00F918A1">
            <w:pPr>
              <w:rPr>
                <w:noProof/>
                <w:lang w:val="en-US"/>
              </w:rPr>
            </w:pPr>
            <w:r w:rsidRPr="00FE6763">
              <w:rPr>
                <w:noProof/>
                <w:lang w:val="en-US"/>
              </w:rPr>
              <w:t>The revised report clearly delineates which problems and problem drivers related to competitiveness will be addressed by the initiative (Section 2.1). In addition, the revised report now explicitly mentions how the different problem drivers will be tackled by the three policy options (section 6.2.1.1, 6.2.2.1. and 6.2.3.1).</w:t>
            </w:r>
            <w:r w:rsidRPr="00333077">
              <w:rPr>
                <w:noProof/>
                <w:lang w:val="en-US"/>
              </w:rPr>
              <w:t xml:space="preserve"> </w:t>
            </w:r>
          </w:p>
        </w:tc>
      </w:tr>
      <w:tr w:rsidR="00F918A1" w14:paraId="12875914" w14:textId="77777777" w:rsidTr="00044310">
        <w:tc>
          <w:tcPr>
            <w:tcW w:w="4814" w:type="dxa"/>
          </w:tcPr>
          <w:p w14:paraId="46436757" w14:textId="62219E8D" w:rsidR="00F918A1" w:rsidRDefault="00F918A1" w:rsidP="00F918A1">
            <w:pPr>
              <w:rPr>
                <w:noProof/>
              </w:rPr>
            </w:pPr>
            <w:r w:rsidRPr="00F07A88">
              <w:rPr>
                <w:noProof/>
              </w:rPr>
              <w:t>On comparison of options and cost-benefit analysis: The report does not adequately assess the costs and benefits of the options</w:t>
            </w:r>
          </w:p>
        </w:tc>
        <w:tc>
          <w:tcPr>
            <w:tcW w:w="4814" w:type="dxa"/>
          </w:tcPr>
          <w:p w14:paraId="22E050C5" w14:textId="268FEBB9" w:rsidR="00F918A1" w:rsidRDefault="00F918A1" w:rsidP="00F918A1">
            <w:pPr>
              <w:rPr>
                <w:noProof/>
              </w:rPr>
            </w:pPr>
            <w:r w:rsidRPr="00BE2A7D">
              <w:rPr>
                <w:noProof/>
                <w:lang w:val="en-US"/>
              </w:rPr>
              <w:t xml:space="preserve">A clearer presentation of the comparison of option is included outlining both quantitative and qualitative costs for beneficiaries, compared to the baseline scenario (section </w:t>
            </w:r>
            <w:r w:rsidR="00145D1A">
              <w:rPr>
                <w:noProof/>
                <w:lang w:val="en-US"/>
              </w:rPr>
              <w:t>7.2</w:t>
            </w:r>
            <w:r w:rsidRPr="00BE2A7D">
              <w:rPr>
                <w:noProof/>
                <w:lang w:val="en-US"/>
              </w:rPr>
              <w:t>).</w:t>
            </w:r>
            <w:r>
              <w:rPr>
                <w:noProof/>
                <w:sz w:val="22"/>
                <w:szCs w:val="22"/>
              </w:rPr>
              <w:t xml:space="preserve"> </w:t>
            </w:r>
          </w:p>
        </w:tc>
      </w:tr>
      <w:tr w:rsidR="00F918A1" w14:paraId="5DBE4C48" w14:textId="77777777" w:rsidTr="00044310">
        <w:tc>
          <w:tcPr>
            <w:tcW w:w="4814" w:type="dxa"/>
          </w:tcPr>
          <w:p w14:paraId="6D7120FD" w14:textId="5E96E4D8" w:rsidR="00F918A1" w:rsidRDefault="00F918A1" w:rsidP="00F918A1">
            <w:pPr>
              <w:rPr>
                <w:noProof/>
              </w:rPr>
            </w:pPr>
            <w:r w:rsidRPr="00477088">
              <w:rPr>
                <w:noProof/>
              </w:rPr>
              <w:t>On governance: The report does not sufficiently describe the governance mechanisms.</w:t>
            </w:r>
          </w:p>
        </w:tc>
        <w:tc>
          <w:tcPr>
            <w:tcW w:w="4814" w:type="dxa"/>
          </w:tcPr>
          <w:p w14:paraId="280B8A1D" w14:textId="26897A79" w:rsidR="00F918A1" w:rsidRDefault="00F918A1" w:rsidP="00F918A1">
            <w:pPr>
              <w:rPr>
                <w:noProof/>
              </w:rPr>
            </w:pPr>
            <w:r w:rsidRPr="00BE5FF2">
              <w:rPr>
                <w:noProof/>
              </w:rPr>
              <w:t xml:space="preserve">As outlined in the </w:t>
            </w:r>
            <w:r>
              <w:rPr>
                <w:noProof/>
              </w:rPr>
              <w:t xml:space="preserve">description of Option C </w:t>
            </w:r>
            <w:r w:rsidRPr="00FE6763">
              <w:rPr>
                <w:noProof/>
              </w:rPr>
              <w:t>(Section 5.2),</w:t>
            </w:r>
            <w:r>
              <w:rPr>
                <w:noProof/>
              </w:rPr>
              <w:t xml:space="preserve"> </w:t>
            </w:r>
            <w:r w:rsidRPr="00BE5FF2">
              <w:rPr>
                <w:noProof/>
              </w:rPr>
              <w:t>the ECF would be organised around a limited number of thematic policy windows</w:t>
            </w:r>
            <w:r>
              <w:rPr>
                <w:noProof/>
              </w:rPr>
              <w:t xml:space="preserve"> </w:t>
            </w:r>
            <w:r w:rsidRPr="00BE5FF2">
              <w:rPr>
                <w:noProof/>
              </w:rPr>
              <w:t>reflecting strategic priorities essential to enhancing EU competitiveness and resilience. These windows will encompass the full range of policy areas covered by the programmes consolidated under the ECF. The specific list of policy windows will be set out in the legal act. Investment priorities will be determined through a steering mechanism that spans the entire Multiannual Financial Framework. It will be designed to ensure alignment between funding and strategic objectives. It will also draw on input from a consultative board comprising key stakeholders and will include the Competitiveness Coordination Tool</w:t>
            </w:r>
            <w:r>
              <w:rPr>
                <w:noProof/>
              </w:rPr>
              <w:t>.</w:t>
            </w:r>
          </w:p>
        </w:tc>
      </w:tr>
      <w:tr w:rsidR="00F918A1" w14:paraId="03BE0B95" w14:textId="77777777" w:rsidTr="00044310">
        <w:tc>
          <w:tcPr>
            <w:tcW w:w="4814" w:type="dxa"/>
          </w:tcPr>
          <w:p w14:paraId="68814683" w14:textId="6FA3B766" w:rsidR="00F918A1" w:rsidRDefault="00F918A1" w:rsidP="00F918A1">
            <w:pPr>
              <w:rPr>
                <w:noProof/>
              </w:rPr>
            </w:pPr>
            <w:r w:rsidRPr="00A20D8F">
              <w:rPr>
                <w:noProof/>
              </w:rPr>
              <w:t>On unintended consequences: The report does not analyse the unintended consequences that can result from the intervention</w:t>
            </w:r>
          </w:p>
        </w:tc>
        <w:tc>
          <w:tcPr>
            <w:tcW w:w="4814" w:type="dxa"/>
          </w:tcPr>
          <w:p w14:paraId="427B000F" w14:textId="7E3D5AC3" w:rsidR="00F918A1" w:rsidRDefault="00F918A1" w:rsidP="00F918A1">
            <w:pPr>
              <w:rPr>
                <w:noProof/>
              </w:rPr>
            </w:pPr>
            <w:r w:rsidRPr="007A0285">
              <w:rPr>
                <w:noProof/>
              </w:rPr>
              <w:t>Section 7</w:t>
            </w:r>
            <w:r w:rsidR="007A0285">
              <w:rPr>
                <w:noProof/>
              </w:rPr>
              <w:t xml:space="preserve"> comparing the different options</w:t>
            </w:r>
            <w:r>
              <w:rPr>
                <w:noProof/>
              </w:rPr>
              <w:t xml:space="preserve"> now includes a dedicated analysis of possible unintended consequences. </w:t>
            </w:r>
          </w:p>
        </w:tc>
      </w:tr>
      <w:tr w:rsidR="00F918A1" w14:paraId="611634F0" w14:textId="77777777" w:rsidTr="00044310">
        <w:tc>
          <w:tcPr>
            <w:tcW w:w="4814" w:type="dxa"/>
          </w:tcPr>
          <w:p w14:paraId="2CCEF539" w14:textId="45311098" w:rsidR="00F918A1" w:rsidRDefault="00F918A1" w:rsidP="00F918A1">
            <w:pPr>
              <w:rPr>
                <w:noProof/>
              </w:rPr>
            </w:pPr>
            <w:r w:rsidRPr="00676B37">
              <w:rPr>
                <w:noProof/>
              </w:rPr>
              <w:t>On coherence: The report does not sufficiently specify how the ECF links with other parts of the post-2027 MFF,</w:t>
            </w:r>
          </w:p>
        </w:tc>
        <w:tc>
          <w:tcPr>
            <w:tcW w:w="4814" w:type="dxa"/>
          </w:tcPr>
          <w:p w14:paraId="1AA257FD" w14:textId="14B4484B" w:rsidR="00F918A1" w:rsidRDefault="00F918A1" w:rsidP="00F918A1">
            <w:pPr>
              <w:rPr>
                <w:noProof/>
              </w:rPr>
            </w:pPr>
            <w:r w:rsidRPr="00EF4545">
              <w:rPr>
                <w:noProof/>
              </w:rPr>
              <w:t xml:space="preserve">The revised report reflects the </w:t>
            </w:r>
            <w:r>
              <w:rPr>
                <w:noProof/>
              </w:rPr>
              <w:t xml:space="preserve">links between the ECF and other parts of the post-2027 MFF </w:t>
            </w:r>
          </w:p>
        </w:tc>
      </w:tr>
      <w:tr w:rsidR="003E7692" w14:paraId="7D9CB616" w14:textId="77777777" w:rsidTr="00044310">
        <w:tc>
          <w:tcPr>
            <w:tcW w:w="4814" w:type="dxa"/>
          </w:tcPr>
          <w:p w14:paraId="7CDCACEE" w14:textId="248242C1" w:rsidR="003E7692" w:rsidRPr="00676B37" w:rsidRDefault="003E7692" w:rsidP="00603157">
            <w:pPr>
              <w:rPr>
                <w:noProof/>
              </w:rPr>
            </w:pPr>
            <w:r w:rsidRPr="003E7692">
              <w:rPr>
                <w:noProof/>
              </w:rPr>
              <w:t>On future monitoring and evaluation: The report is not clear what monitoring and evaluation arrangements will be put in place to measure the achievement of the ECF objectives</w:t>
            </w:r>
          </w:p>
        </w:tc>
        <w:tc>
          <w:tcPr>
            <w:tcW w:w="4814" w:type="dxa"/>
          </w:tcPr>
          <w:p w14:paraId="38E328B0" w14:textId="0EB8B37C" w:rsidR="003E7692" w:rsidRDefault="3DF562D2" w:rsidP="00603157">
            <w:pPr>
              <w:rPr>
                <w:noProof/>
              </w:rPr>
            </w:pPr>
            <w:r w:rsidRPr="70DBF08A">
              <w:rPr>
                <w:noProof/>
                <w:color w:val="000000" w:themeColor="text1"/>
              </w:rPr>
              <w:t>The framework for assessing the ECF will be based on the development of a simplified and single performance framework for the post-2027 budget, which will include indicators relevant to the objectives of the programme. The performance framework of the next MFF is the subject of a separate impact assessment, prepared by a dedicated ISSG.</w:t>
            </w:r>
          </w:p>
        </w:tc>
      </w:tr>
    </w:tbl>
    <w:p w14:paraId="446269B3" w14:textId="13548E04" w:rsidR="00784EE2" w:rsidRPr="00BB184A" w:rsidRDefault="00784EE2" w:rsidP="007A0285">
      <w:pPr>
        <w:pStyle w:val="ListParagraph"/>
        <w:numPr>
          <w:ilvl w:val="0"/>
          <w:numId w:val="27"/>
        </w:numPr>
        <w:rPr>
          <w:rFonts w:eastAsia="Times New Roman"/>
          <w:b/>
          <w:bCs/>
          <w:smallCaps/>
          <w:noProof/>
          <w:lang w:val="en-US"/>
        </w:rPr>
      </w:pPr>
      <w:r w:rsidRPr="00FD60D4">
        <w:rPr>
          <w:rFonts w:eastAsia="Times New Roman"/>
          <w:b/>
          <w:bCs/>
          <w:smallCaps/>
          <w:noProof/>
          <w:lang w:val="en-US"/>
        </w:rPr>
        <w:t>EVIDENCE, SOURCES AND QUALITY</w:t>
      </w:r>
    </w:p>
    <w:p w14:paraId="0E7DDF5B" w14:textId="12CCABD5" w:rsidR="00784EE2" w:rsidRDefault="00784EE2" w:rsidP="00603157">
      <w:pPr>
        <w:rPr>
          <w:noProof/>
        </w:rPr>
      </w:pPr>
      <w:r>
        <w:rPr>
          <w:noProof/>
        </w:rPr>
        <w:t xml:space="preserve">This IA is based on an extensive </w:t>
      </w:r>
      <w:r w:rsidRPr="00D272B6">
        <w:rPr>
          <w:noProof/>
        </w:rPr>
        <w:t xml:space="preserve">desk review </w:t>
      </w:r>
      <w:r>
        <w:rPr>
          <w:noProof/>
        </w:rPr>
        <w:t xml:space="preserve">carried out by </w:t>
      </w:r>
      <w:r w:rsidR="005A0940">
        <w:rPr>
          <w:noProof/>
        </w:rPr>
        <w:t>the European Commission</w:t>
      </w:r>
      <w:r w:rsidR="006F7886">
        <w:rPr>
          <w:noProof/>
        </w:rPr>
        <w:t xml:space="preserve"> and, for the cost-benefit analysis and </w:t>
      </w:r>
      <w:r w:rsidR="00FA0259">
        <w:rPr>
          <w:noProof/>
        </w:rPr>
        <w:t xml:space="preserve">public consultation synopsis report, </w:t>
      </w:r>
      <w:r>
        <w:rPr>
          <w:noProof/>
        </w:rPr>
        <w:t xml:space="preserve">an external </w:t>
      </w:r>
      <w:r w:rsidR="00A042C5">
        <w:rPr>
          <w:noProof/>
        </w:rPr>
        <w:t>study</w:t>
      </w:r>
      <w:r>
        <w:rPr>
          <w:noProof/>
        </w:rPr>
        <w:t xml:space="preserve"> </w:t>
      </w:r>
      <w:r w:rsidR="00A87655">
        <w:rPr>
          <w:noProof/>
        </w:rPr>
        <w:t>was tendered</w:t>
      </w:r>
      <w:r>
        <w:rPr>
          <w:noProof/>
        </w:rPr>
        <w:t>. The desk research covered approximately</w:t>
      </w:r>
      <w:r w:rsidRPr="00D272B6">
        <w:rPr>
          <w:noProof/>
        </w:rPr>
        <w:t xml:space="preserve"> 140 documents</w:t>
      </w:r>
      <w:r>
        <w:rPr>
          <w:noProof/>
        </w:rPr>
        <w:t xml:space="preserve">, including </w:t>
      </w:r>
      <w:r w:rsidRPr="00D272B6">
        <w:rPr>
          <w:noProof/>
        </w:rPr>
        <w:t>previous Impact Assessments, mid-term evaluations</w:t>
      </w:r>
      <w:r>
        <w:rPr>
          <w:noProof/>
        </w:rPr>
        <w:t xml:space="preserve"> for </w:t>
      </w:r>
      <w:r w:rsidRPr="00D272B6">
        <w:rPr>
          <w:noProof/>
        </w:rPr>
        <w:t>2021-2027</w:t>
      </w:r>
      <w:r>
        <w:rPr>
          <w:noProof/>
        </w:rPr>
        <w:t xml:space="preserve"> and </w:t>
      </w:r>
      <w:r w:rsidRPr="00D272B6">
        <w:rPr>
          <w:noProof/>
        </w:rPr>
        <w:t>ex-post evaluations</w:t>
      </w:r>
      <w:r>
        <w:rPr>
          <w:noProof/>
        </w:rPr>
        <w:t xml:space="preserve"> for </w:t>
      </w:r>
      <w:r w:rsidRPr="00D272B6">
        <w:rPr>
          <w:noProof/>
        </w:rPr>
        <w:t xml:space="preserve">2014-2020, </w:t>
      </w:r>
      <w:r>
        <w:rPr>
          <w:noProof/>
        </w:rPr>
        <w:t>for all</w:t>
      </w:r>
      <w:r w:rsidRPr="00D272B6">
        <w:rPr>
          <w:noProof/>
        </w:rPr>
        <w:t xml:space="preserve"> 1</w:t>
      </w:r>
      <w:r>
        <w:rPr>
          <w:noProof/>
        </w:rPr>
        <w:t>4</w:t>
      </w:r>
      <w:r w:rsidRPr="00D272B6">
        <w:rPr>
          <w:noProof/>
        </w:rPr>
        <w:t xml:space="preserve"> programmes </w:t>
      </w:r>
      <w:r>
        <w:rPr>
          <w:noProof/>
        </w:rPr>
        <w:t>within</w:t>
      </w:r>
      <w:r w:rsidRPr="00D272B6">
        <w:rPr>
          <w:noProof/>
        </w:rPr>
        <w:t xml:space="preserve"> </w:t>
      </w:r>
      <w:r>
        <w:rPr>
          <w:noProof/>
        </w:rPr>
        <w:t xml:space="preserve">the </w:t>
      </w:r>
      <w:r w:rsidRPr="00D272B6">
        <w:rPr>
          <w:noProof/>
        </w:rPr>
        <w:t>scope</w:t>
      </w:r>
      <w:r>
        <w:rPr>
          <w:noProof/>
        </w:rPr>
        <w:t xml:space="preserve"> of this initiative</w:t>
      </w:r>
      <w:r w:rsidRPr="00D272B6">
        <w:rPr>
          <w:noProof/>
        </w:rPr>
        <w:t xml:space="preserve">. </w:t>
      </w:r>
      <w:r>
        <w:rPr>
          <w:noProof/>
        </w:rPr>
        <w:t xml:space="preserve">These documents served as the primary source of evidence for the analysis. For a comprehensive list of sources used for the proposes of this IA, please see the table below. </w:t>
      </w:r>
      <w:r w:rsidR="00FA0259">
        <w:rPr>
          <w:noProof/>
        </w:rPr>
        <w:t xml:space="preserve">Finally, a series of </w:t>
      </w:r>
      <w:r w:rsidR="008D7BFE">
        <w:rPr>
          <w:noProof/>
        </w:rPr>
        <w:t>relevant</w:t>
      </w:r>
      <w:r w:rsidR="00FA0259">
        <w:rPr>
          <w:noProof/>
        </w:rPr>
        <w:t xml:space="preserve"> </w:t>
      </w:r>
      <w:r w:rsidR="00D66A29">
        <w:rPr>
          <w:noProof/>
        </w:rPr>
        <w:t>policy and scientific reports and papers have been consulted and cited throughout the analysis</w:t>
      </w:r>
      <w:r w:rsidR="008D7BFE">
        <w:rPr>
          <w:noProof/>
        </w:rPr>
        <w:t xml:space="preserve">. </w:t>
      </w:r>
    </w:p>
    <w:p w14:paraId="0DEE6C0C" w14:textId="50E8C127" w:rsidR="00784EE2" w:rsidRDefault="00784EE2" w:rsidP="00603157">
      <w:pPr>
        <w:rPr>
          <w:noProof/>
        </w:rPr>
      </w:pPr>
      <w:r>
        <w:rPr>
          <w:noProof/>
        </w:rPr>
        <w:t>The desk review was further completed by</w:t>
      </w:r>
      <w:r w:rsidRPr="00953660">
        <w:rPr>
          <w:noProof/>
        </w:rPr>
        <w:t xml:space="preserve"> </w:t>
      </w:r>
      <w:r>
        <w:rPr>
          <w:noProof/>
        </w:rPr>
        <w:t xml:space="preserve">economic modelling carried out by </w:t>
      </w:r>
      <w:r w:rsidRPr="00953660">
        <w:rPr>
          <w:b/>
          <w:bCs/>
          <w:noProof/>
        </w:rPr>
        <w:t>Joint Research Centre</w:t>
      </w:r>
      <w:r w:rsidRPr="00953660">
        <w:rPr>
          <w:noProof/>
        </w:rPr>
        <w:t xml:space="preserve"> (JRC)</w:t>
      </w:r>
      <w:r>
        <w:rPr>
          <w:noProof/>
        </w:rPr>
        <w:t xml:space="preserve"> for quantifying selected impacts (for additional details and the methodology, see Annex </w:t>
      </w:r>
      <w:r w:rsidR="00B634C0">
        <w:rPr>
          <w:noProof/>
        </w:rPr>
        <w:t>5</w:t>
      </w:r>
      <w:r>
        <w:rPr>
          <w:noProof/>
        </w:rPr>
        <w:t>)</w:t>
      </w:r>
      <w:r w:rsidRPr="00953660">
        <w:rPr>
          <w:noProof/>
        </w:rPr>
        <w:t xml:space="preserve">. </w:t>
      </w:r>
    </w:p>
    <w:p w14:paraId="0EB3AE80" w14:textId="77777777" w:rsidR="00784EE2" w:rsidRDefault="00784EE2" w:rsidP="00603157">
      <w:pPr>
        <w:rPr>
          <w:noProof/>
        </w:rPr>
      </w:pPr>
    </w:p>
    <w:tbl>
      <w:tblPr>
        <w:tblW w:w="10207"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5"/>
        <w:gridCol w:w="7342"/>
      </w:tblGrid>
      <w:tr w:rsidR="00784EE2" w:rsidRPr="00CF3331" w14:paraId="18C152B1" w14:textId="77777777" w:rsidTr="00603157">
        <w:trPr>
          <w:trHeight w:val="300"/>
          <w:tblHeader/>
        </w:trPr>
        <w:tc>
          <w:tcPr>
            <w:tcW w:w="28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AEF0"/>
            <w:hideMark/>
          </w:tcPr>
          <w:p w14:paraId="1E3A2970" w14:textId="3EA5E47D" w:rsidR="00784EE2" w:rsidRPr="00A757BB" w:rsidRDefault="00784EE2" w:rsidP="00603157">
            <w:pPr>
              <w:keepNext/>
              <w:keepLines/>
              <w:jc w:val="center"/>
              <w:rPr>
                <w:b/>
                <w:bCs/>
                <w:noProof/>
                <w:lang w:val="en-US"/>
              </w:rPr>
            </w:pPr>
            <w:r w:rsidRPr="00A757BB">
              <w:rPr>
                <w:b/>
                <w:bCs/>
                <w:noProof/>
              </w:rPr>
              <w:t>Programme</w:t>
            </w:r>
          </w:p>
        </w:tc>
        <w:tc>
          <w:tcPr>
            <w:tcW w:w="7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AEF0"/>
            <w:hideMark/>
          </w:tcPr>
          <w:p w14:paraId="3854655C" w14:textId="77777777" w:rsidR="00784EE2" w:rsidRPr="00A757BB" w:rsidRDefault="00784EE2" w:rsidP="00603157">
            <w:pPr>
              <w:keepNext/>
              <w:keepLines/>
              <w:jc w:val="center"/>
              <w:rPr>
                <w:b/>
                <w:bCs/>
                <w:noProof/>
                <w:lang w:val="en-US"/>
              </w:rPr>
            </w:pPr>
            <w:r w:rsidRPr="00A757BB">
              <w:rPr>
                <w:b/>
                <w:bCs/>
                <w:noProof/>
              </w:rPr>
              <w:t>Main sources of evidence used</w:t>
            </w:r>
          </w:p>
        </w:tc>
      </w:tr>
      <w:tr w:rsidR="00784EE2" w:rsidRPr="00CF3331" w14:paraId="3D45EF8C" w14:textId="77777777" w:rsidTr="00603157">
        <w:trPr>
          <w:trHeight w:val="300"/>
        </w:trPr>
        <w:tc>
          <w:tcPr>
            <w:tcW w:w="28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4B8E02BA" w14:textId="77777777" w:rsidR="00784EE2" w:rsidRPr="00CF3331" w:rsidRDefault="00784EE2" w:rsidP="00603157">
            <w:pPr>
              <w:keepNext/>
              <w:keepLines/>
              <w:rPr>
                <w:noProof/>
                <w:lang w:val="en-US"/>
              </w:rPr>
            </w:pPr>
            <w:r w:rsidRPr="00CF3331">
              <w:rPr>
                <w:b/>
                <w:bCs/>
                <w:noProof/>
              </w:rPr>
              <w:t>InvestEU</w:t>
            </w:r>
            <w:r w:rsidRPr="00CF3331">
              <w:rPr>
                <w:noProof/>
                <w:lang w:val="en-US"/>
              </w:rPr>
              <w:t> </w:t>
            </w:r>
          </w:p>
        </w:tc>
        <w:tc>
          <w:tcPr>
            <w:tcW w:w="7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220B7CC7" w14:textId="77777777" w:rsidR="00784EE2" w:rsidRPr="00CF3331" w:rsidRDefault="00784EE2" w:rsidP="008C51EB">
            <w:pPr>
              <w:keepNext/>
              <w:keepLines/>
              <w:numPr>
                <w:ilvl w:val="0"/>
                <w:numId w:val="28"/>
              </w:numPr>
              <w:rPr>
                <w:noProof/>
                <w:lang w:val="en-US"/>
              </w:rPr>
            </w:pPr>
            <w:r w:rsidRPr="00CF3331">
              <w:rPr>
                <w:noProof/>
              </w:rPr>
              <w:t>Impact assessment of InvestEU Programme 2021-2027 (2018)</w:t>
            </w:r>
            <w:r w:rsidRPr="00CF3331">
              <w:rPr>
                <w:noProof/>
                <w:lang w:val="en-US"/>
              </w:rPr>
              <w:t> </w:t>
            </w:r>
          </w:p>
          <w:p w14:paraId="2DBEA4A7" w14:textId="77777777" w:rsidR="00784EE2" w:rsidRPr="00CF3331" w:rsidRDefault="00784EE2" w:rsidP="008C51EB">
            <w:pPr>
              <w:keepNext/>
              <w:keepLines/>
              <w:numPr>
                <w:ilvl w:val="0"/>
                <w:numId w:val="29"/>
              </w:numPr>
              <w:rPr>
                <w:noProof/>
                <w:lang w:val="en-US"/>
              </w:rPr>
            </w:pPr>
            <w:r w:rsidRPr="00CF3331">
              <w:rPr>
                <w:noProof/>
              </w:rPr>
              <w:t>EFSI 2.0 ex-post evaluation (2022)</w:t>
            </w:r>
            <w:r w:rsidRPr="00CF3331">
              <w:rPr>
                <w:noProof/>
                <w:lang w:val="en-US"/>
              </w:rPr>
              <w:t> </w:t>
            </w:r>
          </w:p>
          <w:p w14:paraId="05BF63A7" w14:textId="77777777" w:rsidR="00784EE2" w:rsidRPr="00CF3331" w:rsidRDefault="00784EE2" w:rsidP="008C51EB">
            <w:pPr>
              <w:keepNext/>
              <w:keepLines/>
              <w:numPr>
                <w:ilvl w:val="0"/>
                <w:numId w:val="30"/>
              </w:numPr>
              <w:rPr>
                <w:noProof/>
                <w:lang w:val="en-US"/>
              </w:rPr>
            </w:pPr>
            <w:r w:rsidRPr="00CF3331">
              <w:rPr>
                <w:noProof/>
              </w:rPr>
              <w:t>Interim evaluation of the InvestEU Programme 2021-2027 (2024)</w:t>
            </w:r>
            <w:r w:rsidRPr="00CF3331">
              <w:rPr>
                <w:noProof/>
                <w:lang w:val="en-US"/>
              </w:rPr>
              <w:t> </w:t>
            </w:r>
          </w:p>
          <w:p w14:paraId="1A5EAE00" w14:textId="77777777" w:rsidR="00784EE2" w:rsidRPr="00CF3331" w:rsidRDefault="00784EE2" w:rsidP="008C51EB">
            <w:pPr>
              <w:keepNext/>
              <w:keepLines/>
              <w:numPr>
                <w:ilvl w:val="0"/>
                <w:numId w:val="31"/>
              </w:numPr>
              <w:rPr>
                <w:noProof/>
                <w:lang w:val="en-US"/>
              </w:rPr>
            </w:pPr>
            <w:r w:rsidRPr="00CF3331">
              <w:rPr>
                <w:noProof/>
              </w:rPr>
              <w:t>Evaluation of the ELENA facility (EIB, 2019)</w:t>
            </w:r>
            <w:r w:rsidRPr="00CF3331">
              <w:rPr>
                <w:noProof/>
                <w:lang w:val="en-US"/>
              </w:rPr>
              <w:t> </w:t>
            </w:r>
          </w:p>
        </w:tc>
      </w:tr>
      <w:tr w:rsidR="00784EE2" w:rsidRPr="00CF3331" w14:paraId="17658729" w14:textId="77777777" w:rsidTr="00603157">
        <w:trPr>
          <w:trHeight w:val="300"/>
        </w:trPr>
        <w:tc>
          <w:tcPr>
            <w:tcW w:w="28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3F039484" w14:textId="77777777" w:rsidR="00784EE2" w:rsidRPr="00CF3331" w:rsidRDefault="00784EE2" w:rsidP="00603157">
            <w:pPr>
              <w:rPr>
                <w:noProof/>
                <w:lang w:val="en-US"/>
              </w:rPr>
            </w:pPr>
            <w:r w:rsidRPr="00CF3331">
              <w:rPr>
                <w:b/>
                <w:bCs/>
                <w:noProof/>
              </w:rPr>
              <w:t>Horizon Europe</w:t>
            </w:r>
            <w:r w:rsidRPr="00CF3331">
              <w:rPr>
                <w:noProof/>
                <w:lang w:val="en-US"/>
              </w:rPr>
              <w:t> </w:t>
            </w:r>
          </w:p>
        </w:tc>
        <w:tc>
          <w:tcPr>
            <w:tcW w:w="7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076570CF" w14:textId="77777777" w:rsidR="00784EE2" w:rsidRPr="00CF3331" w:rsidRDefault="00784EE2" w:rsidP="008C51EB">
            <w:pPr>
              <w:numPr>
                <w:ilvl w:val="0"/>
                <w:numId w:val="32"/>
              </w:numPr>
              <w:rPr>
                <w:noProof/>
                <w:lang w:val="en-US"/>
              </w:rPr>
            </w:pPr>
            <w:r w:rsidRPr="00CF3331">
              <w:rPr>
                <w:noProof/>
              </w:rPr>
              <w:t>Ex post evaluation of Horizon 2020 (2024)</w:t>
            </w:r>
            <w:r w:rsidRPr="00CF3331">
              <w:rPr>
                <w:noProof/>
                <w:lang w:val="en-US"/>
              </w:rPr>
              <w:t> </w:t>
            </w:r>
          </w:p>
          <w:p w14:paraId="59A57B68" w14:textId="77777777" w:rsidR="00784EE2" w:rsidRPr="00CF3331" w:rsidRDefault="00784EE2" w:rsidP="008C51EB">
            <w:pPr>
              <w:numPr>
                <w:ilvl w:val="0"/>
                <w:numId w:val="33"/>
              </w:numPr>
              <w:rPr>
                <w:noProof/>
                <w:lang w:val="en-US"/>
              </w:rPr>
            </w:pPr>
            <w:r w:rsidRPr="00CF3331">
              <w:rPr>
                <w:noProof/>
              </w:rPr>
              <w:t>Impact assessment of Horizon Europe 2021-2027 (2018)</w:t>
            </w:r>
            <w:r w:rsidRPr="00CF3331">
              <w:rPr>
                <w:noProof/>
                <w:lang w:val="en-US"/>
              </w:rPr>
              <w:t> </w:t>
            </w:r>
          </w:p>
          <w:p w14:paraId="3C7C2630" w14:textId="77777777" w:rsidR="00784EE2" w:rsidRPr="00CF3331" w:rsidRDefault="00784EE2" w:rsidP="008C51EB">
            <w:pPr>
              <w:numPr>
                <w:ilvl w:val="0"/>
                <w:numId w:val="34"/>
              </w:numPr>
              <w:rPr>
                <w:noProof/>
                <w:lang w:val="en-US"/>
              </w:rPr>
            </w:pPr>
            <w:r w:rsidRPr="00CF3331">
              <w:rPr>
                <w:noProof/>
              </w:rPr>
              <w:t>Evidence of the interim evaluation of Horizon Europe (2021-2027) –forthcoming 2025; shared by DG RTD on 1/4/2025</w:t>
            </w:r>
            <w:r w:rsidRPr="00CF3331">
              <w:rPr>
                <w:noProof/>
                <w:lang w:val="en-US"/>
              </w:rPr>
              <w:t> </w:t>
            </w:r>
          </w:p>
          <w:p w14:paraId="01D1DE60" w14:textId="77777777" w:rsidR="00784EE2" w:rsidRPr="00CF3331" w:rsidRDefault="00784EE2" w:rsidP="008C51EB">
            <w:pPr>
              <w:numPr>
                <w:ilvl w:val="0"/>
                <w:numId w:val="35"/>
              </w:numPr>
              <w:rPr>
                <w:noProof/>
                <w:lang w:val="en-US"/>
              </w:rPr>
            </w:pPr>
            <w:r w:rsidRPr="00CF3331">
              <w:rPr>
                <w:noProof/>
              </w:rPr>
              <w:t>Align, Act, Accelerate Research, technology and innovation to boost European Competitiveness (Heitor, M., 2024)</w:t>
            </w:r>
            <w:r w:rsidRPr="00CF3331">
              <w:rPr>
                <w:noProof/>
                <w:lang w:val="en-US"/>
              </w:rPr>
              <w:t> </w:t>
            </w:r>
          </w:p>
          <w:p w14:paraId="6B4CC1AB" w14:textId="77777777" w:rsidR="00784EE2" w:rsidRPr="00CF3331" w:rsidRDefault="00784EE2" w:rsidP="008C51EB">
            <w:pPr>
              <w:numPr>
                <w:ilvl w:val="0"/>
                <w:numId w:val="36"/>
              </w:numPr>
              <w:rPr>
                <w:noProof/>
                <w:lang w:val="en-US"/>
              </w:rPr>
            </w:pPr>
            <w:r w:rsidRPr="00CF3331">
              <w:rPr>
                <w:noProof/>
              </w:rPr>
              <w:t>Evidence Framework on monitoring and evaluation of Horizon Europe (2023)</w:t>
            </w:r>
            <w:r w:rsidRPr="00CF3331">
              <w:rPr>
                <w:noProof/>
                <w:lang w:val="en-US"/>
              </w:rPr>
              <w:t> </w:t>
            </w:r>
          </w:p>
          <w:p w14:paraId="7AAEB12F" w14:textId="77777777" w:rsidR="00784EE2" w:rsidRPr="00CF3331" w:rsidRDefault="00784EE2" w:rsidP="008C51EB">
            <w:pPr>
              <w:numPr>
                <w:ilvl w:val="0"/>
                <w:numId w:val="37"/>
              </w:numPr>
              <w:rPr>
                <w:noProof/>
                <w:lang w:val="en-US"/>
              </w:rPr>
            </w:pPr>
            <w:r w:rsidRPr="00CF3331">
              <w:rPr>
                <w:noProof/>
              </w:rPr>
              <w:t>Study to support the monitoring and evaluation of the Framework Programme for research and innovation along Key Impact Pathways - Baseline and Benchmark Report (2022)</w:t>
            </w:r>
            <w:r w:rsidRPr="00CF3331">
              <w:rPr>
                <w:noProof/>
                <w:lang w:val="en-US"/>
              </w:rPr>
              <w:t> </w:t>
            </w:r>
          </w:p>
          <w:p w14:paraId="1AD056C8" w14:textId="77777777" w:rsidR="00784EE2" w:rsidRPr="00CF3331" w:rsidRDefault="00784EE2" w:rsidP="008C51EB">
            <w:pPr>
              <w:numPr>
                <w:ilvl w:val="0"/>
                <w:numId w:val="38"/>
              </w:numPr>
              <w:rPr>
                <w:noProof/>
                <w:lang w:val="en-US"/>
              </w:rPr>
            </w:pPr>
            <w:r w:rsidRPr="00CF3331">
              <w:rPr>
                <w:noProof/>
              </w:rPr>
              <w:t>Country Participation in the EU R&amp;I Framework Programmes - A retrospective on the first three years of Horizon Europe (2021-2023) (2024)</w:t>
            </w:r>
            <w:r w:rsidRPr="00CF3331">
              <w:rPr>
                <w:noProof/>
                <w:lang w:val="en-US"/>
              </w:rPr>
              <w:t> </w:t>
            </w:r>
          </w:p>
          <w:p w14:paraId="459DF020" w14:textId="77777777" w:rsidR="00784EE2" w:rsidRPr="00CF3331" w:rsidRDefault="00784EE2" w:rsidP="008C51EB">
            <w:pPr>
              <w:numPr>
                <w:ilvl w:val="0"/>
                <w:numId w:val="39"/>
              </w:numPr>
              <w:rPr>
                <w:noProof/>
                <w:lang w:val="en-US"/>
              </w:rPr>
            </w:pPr>
            <w:r w:rsidRPr="00CF3331">
              <w:rPr>
                <w:noProof/>
              </w:rPr>
              <w:t>Keeping our eyes on the Horizon – Monitoring flash series (2020)</w:t>
            </w:r>
            <w:r w:rsidRPr="00CF3331">
              <w:rPr>
                <w:noProof/>
                <w:lang w:val="en-US"/>
              </w:rPr>
              <w:t> </w:t>
            </w:r>
          </w:p>
          <w:p w14:paraId="5711E1AD" w14:textId="77777777" w:rsidR="00784EE2" w:rsidRPr="00CF3331" w:rsidRDefault="00784EE2" w:rsidP="008C51EB">
            <w:pPr>
              <w:numPr>
                <w:ilvl w:val="0"/>
                <w:numId w:val="40"/>
              </w:numPr>
              <w:rPr>
                <w:noProof/>
                <w:lang w:val="en-US"/>
              </w:rPr>
            </w:pPr>
            <w:r w:rsidRPr="00CF3331">
              <w:rPr>
                <w:noProof/>
              </w:rPr>
              <w:t>Opportunities and Challenges in Targeted Funding of Research and Innovation: Lessons learnt from the Horizon 2020 Focus Areas and implications for Horizon Europe Missions (2021)</w:t>
            </w:r>
            <w:r w:rsidRPr="00CF3331">
              <w:rPr>
                <w:noProof/>
                <w:lang w:val="en-US"/>
              </w:rPr>
              <w:t> </w:t>
            </w:r>
          </w:p>
          <w:p w14:paraId="640B92D2" w14:textId="77777777" w:rsidR="00784EE2" w:rsidRPr="00CF3331" w:rsidRDefault="00784EE2" w:rsidP="008C51EB">
            <w:pPr>
              <w:numPr>
                <w:ilvl w:val="0"/>
                <w:numId w:val="41"/>
              </w:numPr>
              <w:rPr>
                <w:noProof/>
                <w:lang w:val="en-US"/>
              </w:rPr>
            </w:pPr>
            <w:r w:rsidRPr="00CF3331">
              <w:rPr>
                <w:noProof/>
              </w:rPr>
              <w:t>Monitoring the open access policy of Horizon 2020 (2021)</w:t>
            </w:r>
            <w:r w:rsidRPr="00CF3331">
              <w:rPr>
                <w:noProof/>
                <w:lang w:val="en-US"/>
              </w:rPr>
              <w:t> </w:t>
            </w:r>
          </w:p>
          <w:p w14:paraId="2B0C6E7D" w14:textId="77777777" w:rsidR="00784EE2" w:rsidRPr="00CF3331" w:rsidRDefault="00784EE2" w:rsidP="008C51EB">
            <w:pPr>
              <w:numPr>
                <w:ilvl w:val="0"/>
                <w:numId w:val="42"/>
              </w:numPr>
              <w:rPr>
                <w:noProof/>
                <w:lang w:val="en-US"/>
              </w:rPr>
            </w:pPr>
            <w:r w:rsidRPr="00CF3331">
              <w:rPr>
                <w:noProof/>
              </w:rPr>
              <w:t>Study on the proposal evaluation system for the EU R&amp;I framework programme (2021)</w:t>
            </w:r>
            <w:r w:rsidRPr="00CF3331">
              <w:rPr>
                <w:noProof/>
                <w:lang w:val="en-US"/>
              </w:rPr>
              <w:t> </w:t>
            </w:r>
          </w:p>
          <w:p w14:paraId="16F76FFA" w14:textId="77777777" w:rsidR="00784EE2" w:rsidRPr="00CF3331" w:rsidRDefault="00784EE2" w:rsidP="008C51EB">
            <w:pPr>
              <w:numPr>
                <w:ilvl w:val="0"/>
                <w:numId w:val="43"/>
              </w:numPr>
              <w:rPr>
                <w:noProof/>
                <w:lang w:val="en-US"/>
              </w:rPr>
            </w:pPr>
            <w:r w:rsidRPr="00CF3331">
              <w:rPr>
                <w:noProof/>
              </w:rPr>
              <w:t>Evaluation study on the European Innovation Council (EIC) pilot (2022)</w:t>
            </w:r>
            <w:r w:rsidRPr="00CF3331">
              <w:rPr>
                <w:noProof/>
                <w:lang w:val="en-US"/>
              </w:rPr>
              <w:t> </w:t>
            </w:r>
          </w:p>
          <w:p w14:paraId="2D8F96FF" w14:textId="77777777" w:rsidR="00784EE2" w:rsidRPr="00CF3331" w:rsidRDefault="00784EE2" w:rsidP="008C51EB">
            <w:pPr>
              <w:numPr>
                <w:ilvl w:val="0"/>
                <w:numId w:val="44"/>
              </w:numPr>
              <w:rPr>
                <w:noProof/>
                <w:lang w:val="en-US"/>
              </w:rPr>
            </w:pPr>
            <w:r w:rsidRPr="00CF3331">
              <w:rPr>
                <w:noProof/>
              </w:rPr>
              <w:t>Evaluation study on the external coherence and synergies of Horizon 2020 within the European research and innovation support system (2022)</w:t>
            </w:r>
            <w:r w:rsidRPr="00CF3331">
              <w:rPr>
                <w:noProof/>
                <w:lang w:val="en-US"/>
              </w:rPr>
              <w:t> </w:t>
            </w:r>
          </w:p>
          <w:p w14:paraId="78A091EB" w14:textId="77777777" w:rsidR="00784EE2" w:rsidRPr="00CF3331" w:rsidRDefault="00784EE2" w:rsidP="008C51EB">
            <w:pPr>
              <w:numPr>
                <w:ilvl w:val="0"/>
                <w:numId w:val="45"/>
              </w:numPr>
              <w:rPr>
                <w:noProof/>
                <w:lang w:val="en-US"/>
              </w:rPr>
            </w:pPr>
            <w:r w:rsidRPr="00CF3331">
              <w:rPr>
                <w:noProof/>
              </w:rPr>
              <w:t>Evaluation study on the relevance and internal coherence of Horizon 2020 and its policy mix – Final Report (2023)</w:t>
            </w:r>
            <w:r w:rsidRPr="00CF3331">
              <w:rPr>
                <w:noProof/>
                <w:lang w:val="en-US"/>
              </w:rPr>
              <w:t> </w:t>
            </w:r>
          </w:p>
          <w:p w14:paraId="430AEA0B" w14:textId="77777777" w:rsidR="00784EE2" w:rsidRPr="00CF3331" w:rsidRDefault="00784EE2" w:rsidP="008C51EB">
            <w:pPr>
              <w:numPr>
                <w:ilvl w:val="0"/>
                <w:numId w:val="46"/>
              </w:numPr>
              <w:rPr>
                <w:noProof/>
                <w:lang w:val="en-US"/>
              </w:rPr>
            </w:pPr>
            <w:r w:rsidRPr="00CF3331">
              <w:rPr>
                <w:noProof/>
              </w:rPr>
              <w:t>Evaluation study on the implementation of cross-cutting issues in Horizon 2020 (2022)</w:t>
            </w:r>
            <w:r w:rsidRPr="00CF3331">
              <w:rPr>
                <w:noProof/>
                <w:lang w:val="en-US"/>
              </w:rPr>
              <w:t> </w:t>
            </w:r>
          </w:p>
          <w:p w14:paraId="14C183A3" w14:textId="77777777" w:rsidR="00784EE2" w:rsidRPr="00CF3331" w:rsidRDefault="00784EE2" w:rsidP="008C51EB">
            <w:pPr>
              <w:numPr>
                <w:ilvl w:val="0"/>
                <w:numId w:val="47"/>
              </w:numPr>
              <w:rPr>
                <w:noProof/>
                <w:lang w:val="en-US"/>
              </w:rPr>
            </w:pPr>
            <w:r w:rsidRPr="00CF3331">
              <w:rPr>
                <w:noProof/>
              </w:rPr>
              <w:t>Evaluation study of the European Framework Programmes for Research and Innovation for a Resilient Europe (2023)</w:t>
            </w:r>
            <w:r w:rsidRPr="00CF3331">
              <w:rPr>
                <w:noProof/>
                <w:lang w:val="en-US"/>
              </w:rPr>
              <w:t> </w:t>
            </w:r>
          </w:p>
          <w:p w14:paraId="5EE3BD4F" w14:textId="77777777" w:rsidR="00784EE2" w:rsidRPr="00CF3331" w:rsidRDefault="00784EE2" w:rsidP="008C51EB">
            <w:pPr>
              <w:numPr>
                <w:ilvl w:val="0"/>
                <w:numId w:val="48"/>
              </w:numPr>
              <w:rPr>
                <w:noProof/>
                <w:lang w:val="en-US"/>
              </w:rPr>
            </w:pPr>
            <w:r w:rsidRPr="00CF3331">
              <w:rPr>
                <w:noProof/>
              </w:rPr>
              <w:t>Evaluation study on the European Framework Programmes for Research and Innovation for addressing Global Challenges and Industrial Competitiveness – Focus on activities related to the Green Transition – Final Report Phase 1 (2023)</w:t>
            </w:r>
            <w:r w:rsidRPr="00CF3331">
              <w:rPr>
                <w:noProof/>
                <w:lang w:val="en-US"/>
              </w:rPr>
              <w:t> </w:t>
            </w:r>
          </w:p>
          <w:p w14:paraId="61E26945" w14:textId="77777777" w:rsidR="00784EE2" w:rsidRPr="00CF3331" w:rsidRDefault="00784EE2" w:rsidP="008C51EB">
            <w:pPr>
              <w:numPr>
                <w:ilvl w:val="0"/>
                <w:numId w:val="49"/>
              </w:numPr>
              <w:rPr>
                <w:noProof/>
                <w:lang w:val="en-US"/>
              </w:rPr>
            </w:pPr>
            <w:r w:rsidRPr="00CF3331">
              <w:rPr>
                <w:noProof/>
              </w:rPr>
              <w:t>Evaluation Study on the European Framework Programmes for Research and Innovation for Addressing Global Challenges and Industrial Competitiveness – Focus on Activities for the Digital and Industrial Transition – Phase 1 Final report – Horizon 2020 (2023)</w:t>
            </w:r>
            <w:r w:rsidRPr="00CF3331">
              <w:rPr>
                <w:noProof/>
                <w:lang w:val="en-US"/>
              </w:rPr>
              <w:t> </w:t>
            </w:r>
          </w:p>
          <w:p w14:paraId="45ED79A5" w14:textId="77777777" w:rsidR="00784EE2" w:rsidRPr="00CF3331" w:rsidRDefault="00784EE2" w:rsidP="008C51EB">
            <w:pPr>
              <w:numPr>
                <w:ilvl w:val="0"/>
                <w:numId w:val="50"/>
              </w:numPr>
              <w:rPr>
                <w:noProof/>
                <w:lang w:val="en-US"/>
              </w:rPr>
            </w:pPr>
            <w:r w:rsidRPr="00CF3331">
              <w:rPr>
                <w:noProof/>
              </w:rPr>
              <w:t>Evaluation study on Excellent Science in the European Framework Programmes for Research and Innovation – Horizon 2020 - Phase 1 Final Study report (2023)</w:t>
            </w:r>
            <w:r w:rsidRPr="00CF3331">
              <w:rPr>
                <w:noProof/>
                <w:lang w:val="en-US"/>
              </w:rPr>
              <w:t> </w:t>
            </w:r>
          </w:p>
          <w:p w14:paraId="42609944" w14:textId="77777777" w:rsidR="00784EE2" w:rsidRPr="00CF3331" w:rsidRDefault="00784EE2" w:rsidP="008C51EB">
            <w:pPr>
              <w:numPr>
                <w:ilvl w:val="0"/>
                <w:numId w:val="51"/>
              </w:numPr>
              <w:rPr>
                <w:noProof/>
                <w:lang w:val="en-US"/>
              </w:rPr>
            </w:pPr>
            <w:r w:rsidRPr="00CF3331">
              <w:rPr>
                <w:noProof/>
              </w:rPr>
              <w:t>Evaluation study of the European Framework Programmes for Research and Innovation for an Innovative Europe – Final Report: Phase 1 (2023)</w:t>
            </w:r>
            <w:r w:rsidRPr="00CF3331">
              <w:rPr>
                <w:noProof/>
                <w:lang w:val="en-US"/>
              </w:rPr>
              <w:t> </w:t>
            </w:r>
          </w:p>
          <w:p w14:paraId="0EE495E1" w14:textId="77777777" w:rsidR="00784EE2" w:rsidRPr="00CF3331" w:rsidRDefault="00784EE2" w:rsidP="008C51EB">
            <w:pPr>
              <w:numPr>
                <w:ilvl w:val="0"/>
                <w:numId w:val="52"/>
              </w:numPr>
              <w:rPr>
                <w:noProof/>
                <w:lang w:val="en-US"/>
              </w:rPr>
            </w:pPr>
            <w:r w:rsidRPr="00CF3331">
              <w:rPr>
                <w:noProof/>
              </w:rPr>
              <w:t>Evaluation study of the European framework programmes for research and innovation for excellent science (2023)</w:t>
            </w:r>
            <w:r w:rsidRPr="00CF3331">
              <w:rPr>
                <w:noProof/>
                <w:lang w:val="en-US"/>
              </w:rPr>
              <w:t> </w:t>
            </w:r>
          </w:p>
          <w:p w14:paraId="725699D9" w14:textId="77777777" w:rsidR="00784EE2" w:rsidRPr="00CF3331" w:rsidRDefault="00784EE2" w:rsidP="008C51EB">
            <w:pPr>
              <w:numPr>
                <w:ilvl w:val="0"/>
                <w:numId w:val="53"/>
              </w:numPr>
              <w:rPr>
                <w:noProof/>
                <w:lang w:val="en-US"/>
              </w:rPr>
            </w:pPr>
            <w:r w:rsidRPr="00CF3331">
              <w:rPr>
                <w:noProof/>
              </w:rPr>
              <w:t>Evaluation study of the Eurostars-2 programme (2023)</w:t>
            </w:r>
            <w:r w:rsidRPr="00CF3331">
              <w:rPr>
                <w:noProof/>
                <w:lang w:val="en-US"/>
              </w:rPr>
              <w:t> </w:t>
            </w:r>
          </w:p>
          <w:p w14:paraId="7F59141D" w14:textId="77777777" w:rsidR="00784EE2" w:rsidRPr="00CF3331" w:rsidRDefault="00784EE2" w:rsidP="008C51EB">
            <w:pPr>
              <w:numPr>
                <w:ilvl w:val="0"/>
                <w:numId w:val="54"/>
              </w:numPr>
              <w:rPr>
                <w:noProof/>
                <w:lang w:val="en-US"/>
              </w:rPr>
            </w:pPr>
            <w:r w:rsidRPr="00CF3331">
              <w:rPr>
                <w:noProof/>
              </w:rPr>
              <w:t>Contribution of the framework programmes to IPCC (2023)</w:t>
            </w:r>
            <w:r w:rsidRPr="00CF3331">
              <w:rPr>
                <w:noProof/>
                <w:lang w:val="en-US"/>
              </w:rPr>
              <w:t> </w:t>
            </w:r>
          </w:p>
        </w:tc>
      </w:tr>
      <w:tr w:rsidR="00784EE2" w:rsidRPr="00CF3331" w14:paraId="58D355EE" w14:textId="77777777" w:rsidTr="00603157">
        <w:trPr>
          <w:trHeight w:val="300"/>
        </w:trPr>
        <w:tc>
          <w:tcPr>
            <w:tcW w:w="28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2CFEF5A7" w14:textId="77777777" w:rsidR="00784EE2" w:rsidRPr="00CF3331" w:rsidRDefault="00784EE2" w:rsidP="00603157">
            <w:pPr>
              <w:rPr>
                <w:noProof/>
                <w:lang w:val="en-US"/>
              </w:rPr>
            </w:pPr>
            <w:r w:rsidRPr="00CF3331">
              <w:rPr>
                <w:b/>
                <w:bCs/>
                <w:noProof/>
              </w:rPr>
              <w:t>Digital Europe</w:t>
            </w:r>
            <w:r w:rsidRPr="00CF3331">
              <w:rPr>
                <w:noProof/>
                <w:lang w:val="en-US"/>
              </w:rPr>
              <w:t> </w:t>
            </w:r>
          </w:p>
        </w:tc>
        <w:tc>
          <w:tcPr>
            <w:tcW w:w="7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4C22E5A1" w14:textId="77777777" w:rsidR="00784EE2" w:rsidRPr="00CF3331" w:rsidRDefault="00784EE2" w:rsidP="008C51EB">
            <w:pPr>
              <w:numPr>
                <w:ilvl w:val="0"/>
                <w:numId w:val="55"/>
              </w:numPr>
              <w:rPr>
                <w:noProof/>
                <w:lang w:val="en-US"/>
              </w:rPr>
            </w:pPr>
            <w:r w:rsidRPr="00CF3331">
              <w:rPr>
                <w:noProof/>
              </w:rPr>
              <w:t>Impact assessment of the Digital Europe programme for the period 2021-2027 (2018)</w:t>
            </w:r>
            <w:r w:rsidRPr="00CF3331">
              <w:rPr>
                <w:noProof/>
                <w:lang w:val="en-US"/>
              </w:rPr>
              <w:t> </w:t>
            </w:r>
          </w:p>
          <w:p w14:paraId="71D022C8" w14:textId="77777777" w:rsidR="00784EE2" w:rsidRPr="00CF3331" w:rsidRDefault="00784EE2" w:rsidP="008C51EB">
            <w:pPr>
              <w:numPr>
                <w:ilvl w:val="0"/>
                <w:numId w:val="56"/>
              </w:numPr>
              <w:rPr>
                <w:noProof/>
                <w:lang w:val="en-US"/>
              </w:rPr>
            </w:pPr>
            <w:r w:rsidRPr="00CF3331">
              <w:rPr>
                <w:noProof/>
              </w:rPr>
              <w:t>2030 Digital Compass: the European way for the Digital Decade (2021)</w:t>
            </w:r>
            <w:r w:rsidRPr="00CF3331">
              <w:rPr>
                <w:noProof/>
                <w:lang w:val="en-US"/>
              </w:rPr>
              <w:t> </w:t>
            </w:r>
          </w:p>
        </w:tc>
      </w:tr>
      <w:tr w:rsidR="00784EE2" w:rsidRPr="00CF3331" w14:paraId="72384E7E" w14:textId="77777777" w:rsidTr="00603157">
        <w:trPr>
          <w:trHeight w:val="300"/>
        </w:trPr>
        <w:tc>
          <w:tcPr>
            <w:tcW w:w="28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3E946E4B" w14:textId="77777777" w:rsidR="00784EE2" w:rsidRPr="00CF3331" w:rsidRDefault="00784EE2" w:rsidP="00603157">
            <w:pPr>
              <w:rPr>
                <w:noProof/>
                <w:lang w:val="en-US"/>
              </w:rPr>
            </w:pPr>
            <w:r w:rsidRPr="00CF3331">
              <w:rPr>
                <w:b/>
                <w:bCs/>
                <w:noProof/>
              </w:rPr>
              <w:t>Innovation Fund</w:t>
            </w:r>
            <w:r w:rsidRPr="00CF3331">
              <w:rPr>
                <w:noProof/>
                <w:lang w:val="en-US"/>
              </w:rPr>
              <w:t> </w:t>
            </w:r>
          </w:p>
        </w:tc>
        <w:tc>
          <w:tcPr>
            <w:tcW w:w="7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5F57FD20" w14:textId="77777777" w:rsidR="00784EE2" w:rsidRPr="00CF3331" w:rsidRDefault="00784EE2" w:rsidP="008C51EB">
            <w:pPr>
              <w:numPr>
                <w:ilvl w:val="0"/>
                <w:numId w:val="57"/>
              </w:numPr>
              <w:rPr>
                <w:noProof/>
                <w:lang w:val="en-US"/>
              </w:rPr>
            </w:pPr>
            <w:r w:rsidRPr="00CF3331">
              <w:rPr>
                <w:noProof/>
              </w:rPr>
              <w:t>NER 300 lessons learnt (ICF, 2018)</w:t>
            </w:r>
            <w:r w:rsidRPr="00CF3331">
              <w:rPr>
                <w:noProof/>
                <w:lang w:val="en-US"/>
              </w:rPr>
              <w:t> </w:t>
            </w:r>
          </w:p>
          <w:p w14:paraId="4D969236" w14:textId="77777777" w:rsidR="00784EE2" w:rsidRPr="00CF3331" w:rsidRDefault="00784EE2" w:rsidP="008C51EB">
            <w:pPr>
              <w:numPr>
                <w:ilvl w:val="0"/>
                <w:numId w:val="58"/>
              </w:numPr>
              <w:rPr>
                <w:noProof/>
                <w:lang w:val="en-US"/>
              </w:rPr>
            </w:pPr>
            <w:r w:rsidRPr="00CF3331">
              <w:rPr>
                <w:noProof/>
              </w:rPr>
              <w:t>Impact assessment of the Innovation Fund 2021-2027 (2019)</w:t>
            </w:r>
            <w:r w:rsidRPr="00CF3331">
              <w:rPr>
                <w:noProof/>
                <w:lang w:val="en-US"/>
              </w:rPr>
              <w:t> </w:t>
            </w:r>
          </w:p>
          <w:p w14:paraId="2473F670" w14:textId="77777777" w:rsidR="00784EE2" w:rsidRPr="00CF3331" w:rsidRDefault="00784EE2" w:rsidP="008C51EB">
            <w:pPr>
              <w:numPr>
                <w:ilvl w:val="0"/>
                <w:numId w:val="59"/>
              </w:numPr>
              <w:rPr>
                <w:noProof/>
                <w:lang w:val="en-US"/>
              </w:rPr>
            </w:pPr>
            <w:r w:rsidRPr="00CF3331">
              <w:rPr>
                <w:noProof/>
              </w:rPr>
              <w:t>Annual knowledge sharing report of the Innovation Fund (2024)</w:t>
            </w:r>
            <w:r w:rsidRPr="00CF3331">
              <w:rPr>
                <w:noProof/>
                <w:lang w:val="en-US"/>
              </w:rPr>
              <w:t> </w:t>
            </w:r>
          </w:p>
          <w:p w14:paraId="0FC1F1D8" w14:textId="77777777" w:rsidR="00784EE2" w:rsidRPr="00CF3331" w:rsidRDefault="00784EE2" w:rsidP="008C51EB">
            <w:pPr>
              <w:numPr>
                <w:ilvl w:val="0"/>
                <w:numId w:val="60"/>
              </w:numPr>
              <w:rPr>
                <w:noProof/>
                <w:lang w:val="en-US"/>
              </w:rPr>
            </w:pPr>
            <w:r w:rsidRPr="00CF3331">
              <w:rPr>
                <w:noProof/>
              </w:rPr>
              <w:t>on the implementation of the Innovation Fund in 2022 (2023)</w:t>
            </w:r>
            <w:r w:rsidRPr="00CF3331">
              <w:rPr>
                <w:noProof/>
                <w:lang w:val="en-US"/>
              </w:rPr>
              <w:t> </w:t>
            </w:r>
          </w:p>
          <w:p w14:paraId="1E67A611" w14:textId="77777777" w:rsidR="00784EE2" w:rsidRPr="00CF3331" w:rsidRDefault="00784EE2" w:rsidP="008C51EB">
            <w:pPr>
              <w:numPr>
                <w:ilvl w:val="0"/>
                <w:numId w:val="61"/>
              </w:numPr>
              <w:rPr>
                <w:noProof/>
                <w:lang w:val="en-US"/>
              </w:rPr>
            </w:pPr>
            <w:r w:rsidRPr="00CF3331">
              <w:rPr>
                <w:noProof/>
              </w:rPr>
              <w:t>on the implementation of the Innovation Fund in 2023 (2024)</w:t>
            </w:r>
            <w:r w:rsidRPr="00CF3331">
              <w:rPr>
                <w:noProof/>
                <w:lang w:val="en-US"/>
              </w:rPr>
              <w:t> </w:t>
            </w:r>
          </w:p>
          <w:p w14:paraId="095A8F4E" w14:textId="77777777" w:rsidR="00784EE2" w:rsidRPr="00CF3331" w:rsidRDefault="00784EE2" w:rsidP="008C51EB">
            <w:pPr>
              <w:numPr>
                <w:ilvl w:val="0"/>
                <w:numId w:val="62"/>
              </w:numPr>
              <w:rPr>
                <w:noProof/>
                <w:lang w:val="en-US"/>
              </w:rPr>
            </w:pPr>
            <w:r w:rsidRPr="00CF3331">
              <w:rPr>
                <w:noProof/>
              </w:rPr>
              <w:t>Innovation Fund Progress Report (2022, 2023)</w:t>
            </w:r>
            <w:r w:rsidRPr="00CF3331">
              <w:rPr>
                <w:noProof/>
                <w:lang w:val="en-US"/>
              </w:rPr>
              <w:t> </w:t>
            </w:r>
          </w:p>
        </w:tc>
      </w:tr>
      <w:tr w:rsidR="00784EE2" w:rsidRPr="00CF3331" w14:paraId="609BD700" w14:textId="77777777" w:rsidTr="00603157">
        <w:trPr>
          <w:trHeight w:val="300"/>
        </w:trPr>
        <w:tc>
          <w:tcPr>
            <w:tcW w:w="28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75282996" w14:textId="77777777" w:rsidR="00784EE2" w:rsidRPr="00CF3331" w:rsidRDefault="00784EE2" w:rsidP="00603157">
            <w:pPr>
              <w:rPr>
                <w:noProof/>
                <w:lang w:val="en-US"/>
              </w:rPr>
            </w:pPr>
            <w:r w:rsidRPr="00CF3331">
              <w:rPr>
                <w:b/>
                <w:bCs/>
                <w:noProof/>
              </w:rPr>
              <w:t>LIFE</w:t>
            </w:r>
            <w:r w:rsidRPr="00CF3331">
              <w:rPr>
                <w:noProof/>
                <w:lang w:val="en-US"/>
              </w:rPr>
              <w:t> </w:t>
            </w:r>
          </w:p>
        </w:tc>
        <w:tc>
          <w:tcPr>
            <w:tcW w:w="7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20D05C66" w14:textId="77777777" w:rsidR="00784EE2" w:rsidRPr="00CF3331" w:rsidRDefault="00784EE2" w:rsidP="008C51EB">
            <w:pPr>
              <w:numPr>
                <w:ilvl w:val="0"/>
                <w:numId w:val="63"/>
              </w:numPr>
              <w:rPr>
                <w:noProof/>
                <w:lang w:val="en-US"/>
              </w:rPr>
            </w:pPr>
            <w:r w:rsidRPr="00CF3331">
              <w:rPr>
                <w:noProof/>
              </w:rPr>
              <w:t>Impact assessment of the Programme for the Environment and Climate Action (LIFE) 2021-2027 (2018)</w:t>
            </w:r>
            <w:r w:rsidRPr="00CF3331">
              <w:rPr>
                <w:noProof/>
                <w:lang w:val="en-US"/>
              </w:rPr>
              <w:t> </w:t>
            </w:r>
          </w:p>
          <w:p w14:paraId="74758719" w14:textId="77777777" w:rsidR="00784EE2" w:rsidRPr="00CF3331" w:rsidRDefault="00784EE2" w:rsidP="008C51EB">
            <w:pPr>
              <w:numPr>
                <w:ilvl w:val="0"/>
                <w:numId w:val="64"/>
              </w:numPr>
              <w:rPr>
                <w:noProof/>
                <w:lang w:val="en-US"/>
              </w:rPr>
            </w:pPr>
            <w:r w:rsidRPr="00CF3331">
              <w:rPr>
                <w:noProof/>
              </w:rPr>
              <w:t>Ex-post evaluation of the Programme for the Environment and Climate Action (LIFE) 2014-2020 (2022)</w:t>
            </w:r>
            <w:r w:rsidRPr="00CF3331">
              <w:rPr>
                <w:noProof/>
                <w:lang w:val="en-US"/>
              </w:rPr>
              <w:t> </w:t>
            </w:r>
          </w:p>
          <w:p w14:paraId="5BCCC650" w14:textId="77777777" w:rsidR="00784EE2" w:rsidRPr="00CF3331" w:rsidRDefault="00784EE2" w:rsidP="008C51EB">
            <w:pPr>
              <w:numPr>
                <w:ilvl w:val="0"/>
                <w:numId w:val="65"/>
              </w:numPr>
              <w:rPr>
                <w:noProof/>
                <w:lang w:val="en-US"/>
              </w:rPr>
            </w:pPr>
            <w:r w:rsidRPr="00CF3331">
              <w:rPr>
                <w:noProof/>
              </w:rPr>
              <w:t>Contribution of LIFE to environmental improvement Support to the ex-post evaluation of LIFE 2014-2020 (2024)</w:t>
            </w:r>
            <w:r w:rsidRPr="00CF3331">
              <w:rPr>
                <w:noProof/>
                <w:lang w:val="en-US"/>
              </w:rPr>
              <w:t> </w:t>
            </w:r>
          </w:p>
          <w:p w14:paraId="59E0CB32" w14:textId="77777777" w:rsidR="00784EE2" w:rsidRPr="00CF3331" w:rsidRDefault="00784EE2" w:rsidP="008C51EB">
            <w:pPr>
              <w:numPr>
                <w:ilvl w:val="0"/>
                <w:numId w:val="66"/>
              </w:numPr>
              <w:rPr>
                <w:noProof/>
                <w:lang w:val="en-US"/>
              </w:rPr>
            </w:pPr>
            <w:r w:rsidRPr="00CF3331">
              <w:rPr>
                <w:noProof/>
              </w:rPr>
              <w:t>LIFE 2014-2020 contribution to resource efficiency, climate change adaptation &amp; mitigation (2024)</w:t>
            </w:r>
            <w:r w:rsidRPr="00CF3331">
              <w:rPr>
                <w:noProof/>
                <w:lang w:val="en-US"/>
              </w:rPr>
              <w:t> </w:t>
            </w:r>
          </w:p>
          <w:p w14:paraId="1FE018BB" w14:textId="1C69D753" w:rsidR="00784EE2" w:rsidRPr="00CF3331" w:rsidRDefault="7FEDE318" w:rsidP="008C51EB">
            <w:pPr>
              <w:numPr>
                <w:ilvl w:val="0"/>
                <w:numId w:val="67"/>
              </w:numPr>
              <w:rPr>
                <w:noProof/>
                <w:lang w:val="en-US"/>
              </w:rPr>
            </w:pPr>
            <w:r>
              <w:rPr>
                <w:noProof/>
              </w:rPr>
              <w:t>Contribution of LIFE 2014-2020 to the enforcement of EU environmental legislation (2024)</w:t>
            </w:r>
            <w:r w:rsidRPr="238D8D6C">
              <w:rPr>
                <w:noProof/>
                <w:lang w:val="en-US"/>
              </w:rPr>
              <w:t> </w:t>
            </w:r>
          </w:p>
          <w:p w14:paraId="7321700F" w14:textId="77777777" w:rsidR="00784EE2" w:rsidRPr="00CF3331" w:rsidRDefault="00784EE2" w:rsidP="008C51EB">
            <w:pPr>
              <w:numPr>
                <w:ilvl w:val="0"/>
                <w:numId w:val="68"/>
              </w:numPr>
              <w:rPr>
                <w:noProof/>
                <w:lang w:val="en-US"/>
              </w:rPr>
            </w:pPr>
            <w:r w:rsidRPr="00CF3331">
              <w:rPr>
                <w:noProof/>
              </w:rPr>
              <w:t>Contribution of LIFE 2014-2020 in supporting dissemination of information and governance of environmental and climate aspects (2024)</w:t>
            </w:r>
            <w:r w:rsidRPr="00CF3331">
              <w:rPr>
                <w:noProof/>
                <w:lang w:val="en-US"/>
              </w:rPr>
              <w:t> </w:t>
            </w:r>
          </w:p>
          <w:p w14:paraId="64D4DD24" w14:textId="77777777" w:rsidR="00784EE2" w:rsidRPr="00CF3331" w:rsidRDefault="00784EE2" w:rsidP="008C51EB">
            <w:pPr>
              <w:numPr>
                <w:ilvl w:val="0"/>
                <w:numId w:val="69"/>
              </w:numPr>
              <w:rPr>
                <w:noProof/>
                <w:lang w:val="en-US"/>
              </w:rPr>
            </w:pPr>
            <w:r w:rsidRPr="00CF3331">
              <w:rPr>
                <w:noProof/>
              </w:rPr>
              <w:t>LIFE 2014-2020 contribution on the implementation and management of the Natura 2000 network (2024)</w:t>
            </w:r>
            <w:r w:rsidRPr="00CF3331">
              <w:rPr>
                <w:noProof/>
                <w:lang w:val="en-US"/>
              </w:rPr>
              <w:t> </w:t>
            </w:r>
          </w:p>
          <w:p w14:paraId="5534AB48" w14:textId="3B897B5E" w:rsidR="00784EE2" w:rsidRPr="00CF3331" w:rsidRDefault="7FEDE318" w:rsidP="008C51EB">
            <w:pPr>
              <w:numPr>
                <w:ilvl w:val="0"/>
                <w:numId w:val="70"/>
              </w:numPr>
              <w:rPr>
                <w:noProof/>
                <w:lang w:val="en-US"/>
              </w:rPr>
            </w:pPr>
            <w:r>
              <w:rPr>
                <w:noProof/>
              </w:rPr>
              <w:t>Contribution of LIFE 2014-2020 on trigg</w:t>
            </w:r>
            <w:r w:rsidR="58A12290">
              <w:rPr>
                <w:noProof/>
              </w:rPr>
              <w:t>er</w:t>
            </w:r>
            <w:r>
              <w:rPr>
                <w:noProof/>
              </w:rPr>
              <w:t>ing replication or transfer and interventions achieving synergies with or mainstreamed into other Union funding programmes (2024)</w:t>
            </w:r>
            <w:r w:rsidRPr="238D8D6C">
              <w:rPr>
                <w:noProof/>
                <w:lang w:val="en-US"/>
              </w:rPr>
              <w:t> </w:t>
            </w:r>
          </w:p>
        </w:tc>
      </w:tr>
      <w:tr w:rsidR="00784EE2" w:rsidRPr="00CF3331" w14:paraId="31123AD1" w14:textId="77777777" w:rsidTr="00603157">
        <w:trPr>
          <w:trHeight w:val="300"/>
        </w:trPr>
        <w:tc>
          <w:tcPr>
            <w:tcW w:w="28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5593FFC7" w14:textId="77777777" w:rsidR="00784EE2" w:rsidRPr="00CF3331" w:rsidRDefault="00784EE2" w:rsidP="00603157">
            <w:pPr>
              <w:rPr>
                <w:noProof/>
                <w:lang w:val="en-US"/>
              </w:rPr>
            </w:pPr>
            <w:r w:rsidRPr="00CF3331">
              <w:rPr>
                <w:b/>
                <w:bCs/>
                <w:noProof/>
              </w:rPr>
              <w:t>Connecting Europe Facility</w:t>
            </w:r>
            <w:r w:rsidRPr="00CF3331">
              <w:rPr>
                <w:noProof/>
                <w:lang w:val="en-US"/>
              </w:rPr>
              <w:t> </w:t>
            </w:r>
          </w:p>
        </w:tc>
        <w:tc>
          <w:tcPr>
            <w:tcW w:w="7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29C85AE6" w14:textId="77777777" w:rsidR="00784EE2" w:rsidRPr="00CF3331" w:rsidRDefault="00784EE2" w:rsidP="008C51EB">
            <w:pPr>
              <w:numPr>
                <w:ilvl w:val="0"/>
                <w:numId w:val="71"/>
              </w:numPr>
              <w:rPr>
                <w:noProof/>
                <w:lang w:val="en-US"/>
              </w:rPr>
            </w:pPr>
            <w:r w:rsidRPr="00CF3331">
              <w:rPr>
                <w:noProof/>
              </w:rPr>
              <w:t>Impact assessment of the Connecting Europe Facility 2021-2027 (2018)</w:t>
            </w:r>
            <w:r w:rsidRPr="00CF3331">
              <w:rPr>
                <w:noProof/>
                <w:lang w:val="en-US"/>
              </w:rPr>
              <w:t> </w:t>
            </w:r>
          </w:p>
          <w:p w14:paraId="0653E8B9" w14:textId="77777777" w:rsidR="00784EE2" w:rsidRPr="00CF3331" w:rsidRDefault="00784EE2" w:rsidP="008C51EB">
            <w:pPr>
              <w:numPr>
                <w:ilvl w:val="0"/>
                <w:numId w:val="72"/>
              </w:numPr>
              <w:rPr>
                <w:noProof/>
                <w:lang w:val="en-US"/>
              </w:rPr>
            </w:pPr>
            <w:r w:rsidRPr="00CF3331">
              <w:rPr>
                <w:noProof/>
              </w:rPr>
              <w:t>Mid-term evaluation of the Connecting Europe Facility (CEF) 2014-2020 (2018)</w:t>
            </w:r>
            <w:r w:rsidRPr="00CF3331">
              <w:rPr>
                <w:noProof/>
                <w:lang w:val="en-US"/>
              </w:rPr>
              <w:t> </w:t>
            </w:r>
          </w:p>
          <w:p w14:paraId="5C13B967" w14:textId="77777777" w:rsidR="00784EE2" w:rsidRPr="00CF3331" w:rsidRDefault="00784EE2" w:rsidP="008C51EB">
            <w:pPr>
              <w:numPr>
                <w:ilvl w:val="0"/>
                <w:numId w:val="73"/>
              </w:numPr>
              <w:rPr>
                <w:noProof/>
                <w:lang w:val="en-US"/>
              </w:rPr>
            </w:pPr>
            <w:r w:rsidRPr="00CF3331">
              <w:rPr>
                <w:noProof/>
              </w:rPr>
              <w:t>CEF Energy 2023 - Latest achievements and way forward (2023)</w:t>
            </w:r>
            <w:r w:rsidRPr="00CF3331">
              <w:rPr>
                <w:noProof/>
                <w:lang w:val="en-US"/>
              </w:rPr>
              <w:t> </w:t>
            </w:r>
          </w:p>
          <w:p w14:paraId="7BBC8718" w14:textId="77777777" w:rsidR="00784EE2" w:rsidRPr="00CF3331" w:rsidRDefault="00784EE2" w:rsidP="008C51EB">
            <w:pPr>
              <w:numPr>
                <w:ilvl w:val="0"/>
                <w:numId w:val="74"/>
              </w:numPr>
              <w:rPr>
                <w:noProof/>
                <w:lang w:val="en-US"/>
              </w:rPr>
            </w:pPr>
            <w:r w:rsidRPr="00CF3331">
              <w:rPr>
                <w:noProof/>
              </w:rPr>
              <w:t>CEF Energy 2022 - Spotlight on supported actions (2022)</w:t>
            </w:r>
            <w:r w:rsidRPr="00CF3331">
              <w:rPr>
                <w:noProof/>
                <w:lang w:val="en-US"/>
              </w:rPr>
              <w:t> </w:t>
            </w:r>
          </w:p>
          <w:p w14:paraId="0A97AC64" w14:textId="77777777" w:rsidR="00784EE2" w:rsidRPr="00CF3331" w:rsidRDefault="00784EE2" w:rsidP="008C51EB">
            <w:pPr>
              <w:numPr>
                <w:ilvl w:val="0"/>
                <w:numId w:val="75"/>
              </w:numPr>
              <w:rPr>
                <w:noProof/>
                <w:lang w:val="en-US"/>
              </w:rPr>
            </w:pPr>
            <w:r w:rsidRPr="00CF3331">
              <w:rPr>
                <w:noProof/>
              </w:rPr>
              <w:t>Transport investment under the Connecting Europe Facility (CEF) (2022)</w:t>
            </w:r>
            <w:r w:rsidRPr="00CF3331">
              <w:rPr>
                <w:noProof/>
                <w:lang w:val="en-US"/>
              </w:rPr>
              <w:t> </w:t>
            </w:r>
          </w:p>
          <w:p w14:paraId="77BD37CA" w14:textId="77777777" w:rsidR="00784EE2" w:rsidRPr="00CF3331" w:rsidRDefault="00784EE2" w:rsidP="008C51EB">
            <w:pPr>
              <w:numPr>
                <w:ilvl w:val="0"/>
                <w:numId w:val="76"/>
              </w:numPr>
              <w:rPr>
                <w:noProof/>
                <w:lang w:val="en-US"/>
              </w:rPr>
            </w:pPr>
            <w:r w:rsidRPr="00CF3331">
              <w:rPr>
                <w:noProof/>
              </w:rPr>
              <w:t>Scope of the CBA in the framework of the CEF-transport (2022)</w:t>
            </w:r>
            <w:r w:rsidRPr="00CF3331">
              <w:rPr>
                <w:noProof/>
                <w:lang w:val="en-US"/>
              </w:rPr>
              <w:t> </w:t>
            </w:r>
          </w:p>
        </w:tc>
      </w:tr>
      <w:tr w:rsidR="00784EE2" w:rsidRPr="00CF3331" w14:paraId="7E2F3C26" w14:textId="77777777" w:rsidTr="00603157">
        <w:trPr>
          <w:trHeight w:val="300"/>
        </w:trPr>
        <w:tc>
          <w:tcPr>
            <w:tcW w:w="28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23673646" w14:textId="77777777" w:rsidR="00784EE2" w:rsidRPr="00CF3331" w:rsidRDefault="00784EE2" w:rsidP="00603157">
            <w:pPr>
              <w:rPr>
                <w:noProof/>
                <w:lang w:val="en-US"/>
              </w:rPr>
            </w:pPr>
            <w:r w:rsidRPr="00CF3331">
              <w:rPr>
                <w:b/>
                <w:bCs/>
                <w:noProof/>
              </w:rPr>
              <w:t>European Defence Fund</w:t>
            </w:r>
            <w:r w:rsidRPr="00CF3331">
              <w:rPr>
                <w:noProof/>
                <w:lang w:val="en-US"/>
              </w:rPr>
              <w:t> </w:t>
            </w:r>
          </w:p>
        </w:tc>
        <w:tc>
          <w:tcPr>
            <w:tcW w:w="7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4999E6CF" w14:textId="77777777" w:rsidR="00784EE2" w:rsidRPr="00CF3331" w:rsidRDefault="00784EE2" w:rsidP="008C51EB">
            <w:pPr>
              <w:numPr>
                <w:ilvl w:val="0"/>
                <w:numId w:val="77"/>
              </w:numPr>
              <w:rPr>
                <w:noProof/>
                <w:lang w:val="en-US"/>
              </w:rPr>
            </w:pPr>
            <w:r w:rsidRPr="00CF3331">
              <w:rPr>
                <w:noProof/>
              </w:rPr>
              <w:t>Impact assessment of the European Defence Fund 2021-2027 (2018)</w:t>
            </w:r>
            <w:r w:rsidRPr="00CF3331">
              <w:rPr>
                <w:noProof/>
                <w:lang w:val="en-US"/>
              </w:rPr>
              <w:t> </w:t>
            </w:r>
          </w:p>
          <w:p w14:paraId="303862B3" w14:textId="77777777" w:rsidR="00784EE2" w:rsidRPr="00CF3331" w:rsidRDefault="00784EE2" w:rsidP="008C51EB">
            <w:pPr>
              <w:numPr>
                <w:ilvl w:val="0"/>
                <w:numId w:val="78"/>
              </w:numPr>
              <w:rPr>
                <w:noProof/>
                <w:lang w:val="en-US"/>
              </w:rPr>
            </w:pPr>
            <w:r w:rsidRPr="00CF3331">
              <w:rPr>
                <w:noProof/>
              </w:rPr>
              <w:t>Indicative multiannual perspective 2024-2027 (2024)</w:t>
            </w:r>
            <w:r w:rsidRPr="00CF3331">
              <w:rPr>
                <w:noProof/>
                <w:lang w:val="en-US"/>
              </w:rPr>
              <w:t> </w:t>
            </w:r>
          </w:p>
        </w:tc>
      </w:tr>
      <w:tr w:rsidR="00784EE2" w:rsidRPr="00CF3331" w14:paraId="7085D2DE" w14:textId="77777777" w:rsidTr="00603157">
        <w:trPr>
          <w:trHeight w:val="300"/>
        </w:trPr>
        <w:tc>
          <w:tcPr>
            <w:tcW w:w="28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752376D0" w14:textId="77777777" w:rsidR="00784EE2" w:rsidRPr="00CF3331" w:rsidRDefault="00784EE2" w:rsidP="00603157">
            <w:pPr>
              <w:rPr>
                <w:noProof/>
                <w:lang w:val="en-US"/>
              </w:rPr>
            </w:pPr>
            <w:r w:rsidRPr="00CF3331">
              <w:rPr>
                <w:b/>
                <w:bCs/>
                <w:noProof/>
              </w:rPr>
              <w:t>European Defence Industry Reinforcement Through Common Procurement Act (EDIRPA)</w:t>
            </w:r>
            <w:r w:rsidRPr="00CF3331">
              <w:rPr>
                <w:noProof/>
                <w:lang w:val="en-US"/>
              </w:rPr>
              <w:t> </w:t>
            </w:r>
          </w:p>
        </w:tc>
        <w:tc>
          <w:tcPr>
            <w:tcW w:w="7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6C91F0E3" w14:textId="77777777" w:rsidR="00784EE2" w:rsidRPr="00CF3331" w:rsidRDefault="00784EE2" w:rsidP="008C51EB">
            <w:pPr>
              <w:numPr>
                <w:ilvl w:val="0"/>
                <w:numId w:val="79"/>
              </w:numPr>
              <w:rPr>
                <w:noProof/>
                <w:lang w:val="en-US"/>
              </w:rPr>
            </w:pPr>
            <w:r w:rsidRPr="00CF3331">
              <w:rPr>
                <w:noProof/>
              </w:rPr>
              <w:t>Commission implementing decision on the financing of the instrument for the reinforcement of the European defence industry through common procurement (EDIRPA) established by Regulation (EU) 2023/2418 of the European Parliament and of the Council and the adoption of the work programme for 2024-2025 (2024)</w:t>
            </w:r>
            <w:r w:rsidRPr="00CF3331">
              <w:rPr>
                <w:noProof/>
                <w:lang w:val="en-US"/>
              </w:rPr>
              <w:t> </w:t>
            </w:r>
          </w:p>
          <w:p w14:paraId="35D320E3" w14:textId="6BF1F988" w:rsidR="00784EE2" w:rsidRPr="00CF3331" w:rsidRDefault="7FEDE318" w:rsidP="008C51EB">
            <w:pPr>
              <w:numPr>
                <w:ilvl w:val="0"/>
                <w:numId w:val="80"/>
              </w:numPr>
              <w:rPr>
                <w:noProof/>
                <w:lang w:val="en-US"/>
              </w:rPr>
            </w:pPr>
            <w:r>
              <w:rPr>
                <w:noProof/>
              </w:rPr>
              <w:t xml:space="preserve">Proposal for a regulation of the European Parliament and of the Council establishing the European Defence Industry </w:t>
            </w:r>
            <w:r w:rsidR="2E91A9D1">
              <w:rPr>
                <w:noProof/>
              </w:rPr>
              <w:t>Programme</w:t>
            </w:r>
            <w:r>
              <w:rPr>
                <w:noProof/>
              </w:rPr>
              <w:t xml:space="preserve"> and a framework of measures to ensure the timely availability and supply of defence products (EDIP) (2024)</w:t>
            </w:r>
            <w:r w:rsidRPr="238D8D6C">
              <w:rPr>
                <w:noProof/>
                <w:lang w:val="en-US"/>
              </w:rPr>
              <w:t> </w:t>
            </w:r>
          </w:p>
          <w:p w14:paraId="7FA17802" w14:textId="77777777" w:rsidR="00784EE2" w:rsidRPr="00CF3331" w:rsidRDefault="00784EE2" w:rsidP="008C51EB">
            <w:pPr>
              <w:numPr>
                <w:ilvl w:val="0"/>
                <w:numId w:val="81"/>
              </w:numPr>
              <w:rPr>
                <w:noProof/>
                <w:lang w:val="en-US"/>
              </w:rPr>
            </w:pPr>
            <w:r w:rsidRPr="00CF3331">
              <w:rPr>
                <w:noProof/>
              </w:rPr>
              <w:t>EU boosts defence readiness with first ever financial support for common defence procurement (Press Release, 2024)</w:t>
            </w:r>
            <w:r w:rsidRPr="00CF3331">
              <w:rPr>
                <w:noProof/>
                <w:lang w:val="en-US"/>
              </w:rPr>
              <w:t> </w:t>
            </w:r>
          </w:p>
        </w:tc>
      </w:tr>
      <w:tr w:rsidR="00784EE2" w:rsidRPr="00CF3331" w14:paraId="78F4415E" w14:textId="77777777" w:rsidTr="00603157">
        <w:trPr>
          <w:trHeight w:val="300"/>
        </w:trPr>
        <w:tc>
          <w:tcPr>
            <w:tcW w:w="28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58F78F73" w14:textId="77777777" w:rsidR="00784EE2" w:rsidRPr="00CF3331" w:rsidRDefault="00784EE2" w:rsidP="00603157">
            <w:pPr>
              <w:rPr>
                <w:noProof/>
                <w:lang w:val="en-US"/>
              </w:rPr>
            </w:pPr>
            <w:r w:rsidRPr="00CF3331">
              <w:rPr>
                <w:b/>
                <w:bCs/>
                <w:noProof/>
              </w:rPr>
              <w:t>Act in support of Ammunition programme (ASAP)</w:t>
            </w:r>
            <w:r w:rsidRPr="00CF3331">
              <w:rPr>
                <w:noProof/>
                <w:lang w:val="en-US"/>
              </w:rPr>
              <w:t> </w:t>
            </w:r>
          </w:p>
        </w:tc>
        <w:tc>
          <w:tcPr>
            <w:tcW w:w="7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2C4711E9" w14:textId="77777777" w:rsidR="00784EE2" w:rsidRPr="00CF3331" w:rsidRDefault="00784EE2" w:rsidP="008C51EB">
            <w:pPr>
              <w:numPr>
                <w:ilvl w:val="0"/>
                <w:numId w:val="82"/>
              </w:numPr>
              <w:rPr>
                <w:noProof/>
                <w:lang w:val="en-US"/>
              </w:rPr>
            </w:pPr>
            <w:r w:rsidRPr="00CF3331">
              <w:rPr>
                <w:noProof/>
              </w:rPr>
              <w:t>Report from the Commission to the European Parliament and the Council on the implementation of Regulation (EU) 2023/1525 of the European Parliament and of the Council of 20 July 2023 on supporting ammunition production (ASAP) (2024)</w:t>
            </w:r>
            <w:r w:rsidRPr="00CF3331">
              <w:rPr>
                <w:noProof/>
                <w:lang w:val="en-US"/>
              </w:rPr>
              <w:t> </w:t>
            </w:r>
          </w:p>
          <w:p w14:paraId="3D86D709" w14:textId="23765C01" w:rsidR="00784EE2" w:rsidRPr="00CF3331" w:rsidRDefault="00784EE2" w:rsidP="008C51EB">
            <w:pPr>
              <w:numPr>
                <w:ilvl w:val="0"/>
                <w:numId w:val="83"/>
              </w:numPr>
              <w:rPr>
                <w:noProof/>
                <w:lang w:val="en-US"/>
              </w:rPr>
            </w:pPr>
            <w:r w:rsidRPr="00CF3331">
              <w:rPr>
                <w:noProof/>
              </w:rPr>
              <w:t xml:space="preserve">Proposal for a regulation of the European Parliament and of the Council establishing the European Defence Industry </w:t>
            </w:r>
            <w:r>
              <w:rPr>
                <w:noProof/>
              </w:rPr>
              <w:t>Prog</w:t>
            </w:r>
            <w:r w:rsidR="65E0990F">
              <w:rPr>
                <w:noProof/>
              </w:rPr>
              <w:t>r</w:t>
            </w:r>
            <w:r>
              <w:rPr>
                <w:noProof/>
              </w:rPr>
              <w:t>amme</w:t>
            </w:r>
            <w:r w:rsidRPr="00CF3331">
              <w:rPr>
                <w:noProof/>
              </w:rPr>
              <w:t xml:space="preserve"> and a framework of measures to ensure the timely availability and supply of defence products (EDIP) (2024)</w:t>
            </w:r>
            <w:r w:rsidRPr="00CF3331">
              <w:rPr>
                <w:noProof/>
                <w:lang w:val="en-US"/>
              </w:rPr>
              <w:t> </w:t>
            </w:r>
          </w:p>
        </w:tc>
      </w:tr>
      <w:tr w:rsidR="00784EE2" w:rsidRPr="00CF3331" w14:paraId="600466D4" w14:textId="77777777" w:rsidTr="00603157">
        <w:trPr>
          <w:trHeight w:val="300"/>
        </w:trPr>
        <w:tc>
          <w:tcPr>
            <w:tcW w:w="28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4D7CAFD4" w14:textId="77777777" w:rsidR="00784EE2" w:rsidRPr="00CF3331" w:rsidRDefault="00784EE2" w:rsidP="00603157">
            <w:pPr>
              <w:rPr>
                <w:noProof/>
                <w:lang w:val="en-US"/>
              </w:rPr>
            </w:pPr>
            <w:r w:rsidRPr="00CF3331">
              <w:rPr>
                <w:b/>
                <w:bCs/>
                <w:noProof/>
              </w:rPr>
              <w:t>IRIS²</w:t>
            </w:r>
            <w:r w:rsidRPr="00CF3331">
              <w:rPr>
                <w:noProof/>
                <w:lang w:val="en-US"/>
              </w:rPr>
              <w:t> </w:t>
            </w:r>
          </w:p>
        </w:tc>
        <w:tc>
          <w:tcPr>
            <w:tcW w:w="7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43723B72" w14:textId="77777777" w:rsidR="00784EE2" w:rsidRPr="00CF3331" w:rsidRDefault="00784EE2" w:rsidP="008C51EB">
            <w:pPr>
              <w:numPr>
                <w:ilvl w:val="0"/>
                <w:numId w:val="84"/>
              </w:numPr>
              <w:rPr>
                <w:noProof/>
                <w:lang w:val="en-US"/>
              </w:rPr>
            </w:pPr>
            <w:r w:rsidRPr="00CF3331">
              <w:rPr>
                <w:noProof/>
              </w:rPr>
              <w:t>Impact assessment of Union Secure Connectivity Programme for the period 2022-2027 (2022)</w:t>
            </w:r>
            <w:r w:rsidRPr="00CF3331">
              <w:rPr>
                <w:noProof/>
                <w:lang w:val="en-US"/>
              </w:rPr>
              <w:t> </w:t>
            </w:r>
          </w:p>
          <w:p w14:paraId="105F5FAE" w14:textId="77777777" w:rsidR="00784EE2" w:rsidRPr="00CF3331" w:rsidRDefault="00784EE2" w:rsidP="008C51EB">
            <w:pPr>
              <w:numPr>
                <w:ilvl w:val="0"/>
                <w:numId w:val="85"/>
              </w:numPr>
              <w:rPr>
                <w:noProof/>
                <w:lang w:val="en-US"/>
              </w:rPr>
            </w:pPr>
            <w:r w:rsidRPr="00CF3331">
              <w:rPr>
                <w:noProof/>
              </w:rPr>
              <w:t>Regulation (EU) 2023/588 of the European Parliament and of the Council of 15 March 2023 establishing the Union Secure Connectivity Programme for the period 2023-2027 (2023)</w:t>
            </w:r>
            <w:r w:rsidRPr="00CF3331">
              <w:rPr>
                <w:noProof/>
                <w:lang w:val="en-US"/>
              </w:rPr>
              <w:t> </w:t>
            </w:r>
          </w:p>
          <w:p w14:paraId="35E652D4" w14:textId="77777777" w:rsidR="00784EE2" w:rsidRPr="00CF3331" w:rsidRDefault="00784EE2" w:rsidP="008C51EB">
            <w:pPr>
              <w:numPr>
                <w:ilvl w:val="0"/>
                <w:numId w:val="86"/>
              </w:numPr>
              <w:rPr>
                <w:noProof/>
                <w:lang w:val="en-US"/>
              </w:rPr>
            </w:pPr>
            <w:r w:rsidRPr="00CF3331">
              <w:rPr>
                <w:noProof/>
              </w:rPr>
              <w:t>The Upcoming of IRIS2: Bridging the Digital Divide and Strengthening the Role of the EU in International Space Law (Tricco, G., 2023)</w:t>
            </w:r>
            <w:r w:rsidRPr="00CF3331">
              <w:rPr>
                <w:noProof/>
                <w:lang w:val="en-US"/>
              </w:rPr>
              <w:t> </w:t>
            </w:r>
          </w:p>
        </w:tc>
      </w:tr>
      <w:tr w:rsidR="00784EE2" w:rsidRPr="00CF3331" w14:paraId="3B82CD47" w14:textId="77777777" w:rsidTr="00603157">
        <w:trPr>
          <w:trHeight w:val="300"/>
        </w:trPr>
        <w:tc>
          <w:tcPr>
            <w:tcW w:w="28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23E9CEB9" w14:textId="77777777" w:rsidR="00784EE2" w:rsidRPr="00CF3331" w:rsidRDefault="00784EE2" w:rsidP="00603157">
            <w:pPr>
              <w:rPr>
                <w:noProof/>
                <w:lang w:val="en-US"/>
              </w:rPr>
            </w:pPr>
            <w:r w:rsidRPr="00CF3331">
              <w:rPr>
                <w:b/>
                <w:bCs/>
                <w:noProof/>
              </w:rPr>
              <w:t>European Space Programme</w:t>
            </w:r>
            <w:r w:rsidRPr="00CF3331">
              <w:rPr>
                <w:noProof/>
                <w:lang w:val="en-US"/>
              </w:rPr>
              <w:t> </w:t>
            </w:r>
          </w:p>
        </w:tc>
        <w:tc>
          <w:tcPr>
            <w:tcW w:w="7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5BAC64C6" w14:textId="77777777" w:rsidR="00784EE2" w:rsidRPr="00CF3331" w:rsidRDefault="00784EE2" w:rsidP="008C51EB">
            <w:pPr>
              <w:numPr>
                <w:ilvl w:val="0"/>
                <w:numId w:val="87"/>
              </w:numPr>
              <w:rPr>
                <w:noProof/>
                <w:lang w:val="en-US"/>
              </w:rPr>
            </w:pPr>
            <w:r w:rsidRPr="00CF3331">
              <w:rPr>
                <w:noProof/>
              </w:rPr>
              <w:t>Impact assessment of the space programme of the Union and the European Union Agency for the Space Programme 2021-2027 (2018)</w:t>
            </w:r>
            <w:r w:rsidRPr="00CF3331">
              <w:rPr>
                <w:noProof/>
                <w:lang w:val="en-US"/>
              </w:rPr>
              <w:t> </w:t>
            </w:r>
          </w:p>
          <w:p w14:paraId="7FA2EA66" w14:textId="77777777" w:rsidR="00784EE2" w:rsidRPr="00CF3331" w:rsidRDefault="00784EE2" w:rsidP="008C51EB">
            <w:pPr>
              <w:numPr>
                <w:ilvl w:val="0"/>
                <w:numId w:val="88"/>
              </w:numPr>
              <w:rPr>
                <w:noProof/>
                <w:lang w:val="en-US"/>
              </w:rPr>
            </w:pPr>
            <w:r w:rsidRPr="00CF3331">
              <w:rPr>
                <w:noProof/>
              </w:rPr>
              <w:t>Interim evaluation of the EU Space Programme and on the performance of the European Union Agency for the Space Programme 2021-2027 (2024)</w:t>
            </w:r>
            <w:r w:rsidRPr="00CF3331">
              <w:rPr>
                <w:noProof/>
                <w:lang w:val="en-US"/>
              </w:rPr>
              <w:t> </w:t>
            </w:r>
          </w:p>
          <w:p w14:paraId="28074F88" w14:textId="77777777" w:rsidR="00784EE2" w:rsidRPr="00CF3331" w:rsidRDefault="00784EE2" w:rsidP="008C51EB">
            <w:pPr>
              <w:numPr>
                <w:ilvl w:val="0"/>
                <w:numId w:val="89"/>
              </w:numPr>
              <w:rPr>
                <w:noProof/>
                <w:lang w:val="en-US"/>
              </w:rPr>
            </w:pPr>
            <w:r w:rsidRPr="00CF3331">
              <w:rPr>
                <w:noProof/>
              </w:rPr>
              <w:t>EUSPA Annual Activity Report 2023 (2023)</w:t>
            </w:r>
            <w:r w:rsidRPr="00CF3331">
              <w:rPr>
                <w:noProof/>
                <w:lang w:val="en-US"/>
              </w:rPr>
              <w:t> </w:t>
            </w:r>
          </w:p>
        </w:tc>
      </w:tr>
      <w:tr w:rsidR="00784EE2" w:rsidRPr="00CF3331" w14:paraId="45085D4D" w14:textId="77777777" w:rsidTr="00603157">
        <w:trPr>
          <w:trHeight w:val="300"/>
        </w:trPr>
        <w:tc>
          <w:tcPr>
            <w:tcW w:w="28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2409F177" w14:textId="77777777" w:rsidR="00784EE2" w:rsidRPr="00CF3331" w:rsidRDefault="00784EE2" w:rsidP="00603157">
            <w:pPr>
              <w:rPr>
                <w:noProof/>
                <w:lang w:val="en-US"/>
              </w:rPr>
            </w:pPr>
            <w:r w:rsidRPr="00CF3331">
              <w:rPr>
                <w:b/>
                <w:bCs/>
                <w:noProof/>
              </w:rPr>
              <w:t>EU4Health</w:t>
            </w:r>
            <w:r w:rsidRPr="00CF3331">
              <w:rPr>
                <w:noProof/>
                <w:lang w:val="en-US"/>
              </w:rPr>
              <w:t> </w:t>
            </w:r>
          </w:p>
        </w:tc>
        <w:tc>
          <w:tcPr>
            <w:tcW w:w="7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2C811F73" w14:textId="77777777" w:rsidR="00784EE2" w:rsidRPr="00CF3331" w:rsidRDefault="00784EE2" w:rsidP="008C51EB">
            <w:pPr>
              <w:numPr>
                <w:ilvl w:val="0"/>
                <w:numId w:val="90"/>
              </w:numPr>
              <w:rPr>
                <w:noProof/>
                <w:lang w:val="en-US"/>
              </w:rPr>
            </w:pPr>
            <w:r w:rsidRPr="00CF3331">
              <w:rPr>
                <w:noProof/>
              </w:rPr>
              <w:t>Impact assessment of the European Globalisation Adjustment Fund (EGF) – Annex 5: Programme specific annex on the Health Programme (2018)</w:t>
            </w:r>
            <w:r w:rsidRPr="00CF3331">
              <w:rPr>
                <w:noProof/>
                <w:lang w:val="en-US"/>
              </w:rPr>
              <w:t> </w:t>
            </w:r>
          </w:p>
          <w:p w14:paraId="70A0419C" w14:textId="77777777" w:rsidR="00784EE2" w:rsidRPr="00CF3331" w:rsidRDefault="00784EE2" w:rsidP="008C51EB">
            <w:pPr>
              <w:numPr>
                <w:ilvl w:val="0"/>
                <w:numId w:val="91"/>
              </w:numPr>
              <w:rPr>
                <w:noProof/>
                <w:lang w:val="en-US"/>
              </w:rPr>
            </w:pPr>
            <w:r w:rsidRPr="00CF3331">
              <w:rPr>
                <w:noProof/>
              </w:rPr>
              <w:t>Final evaluation of the third Health Programme 2014-2020 (2023)</w:t>
            </w:r>
            <w:r w:rsidRPr="00CF3331">
              <w:rPr>
                <w:noProof/>
                <w:lang w:val="en-US"/>
              </w:rPr>
              <w:t> </w:t>
            </w:r>
          </w:p>
          <w:p w14:paraId="4F01FEC6" w14:textId="77777777" w:rsidR="00784EE2" w:rsidRPr="00CF3331" w:rsidRDefault="00784EE2" w:rsidP="008C51EB">
            <w:pPr>
              <w:numPr>
                <w:ilvl w:val="0"/>
                <w:numId w:val="92"/>
              </w:numPr>
              <w:rPr>
                <w:noProof/>
                <w:lang w:val="en-US"/>
              </w:rPr>
            </w:pPr>
            <w:r w:rsidRPr="00CF3331">
              <w:rPr>
                <w:noProof/>
              </w:rPr>
              <w:t>2024 EU4Health Work Programme (2024)</w:t>
            </w:r>
            <w:r w:rsidRPr="00CF3331">
              <w:rPr>
                <w:noProof/>
                <w:lang w:val="en-US"/>
              </w:rPr>
              <w:t> </w:t>
            </w:r>
          </w:p>
          <w:p w14:paraId="1A97CA93" w14:textId="77777777" w:rsidR="00784EE2" w:rsidRPr="00CF3331" w:rsidRDefault="00784EE2" w:rsidP="008C51EB">
            <w:pPr>
              <w:numPr>
                <w:ilvl w:val="0"/>
                <w:numId w:val="93"/>
              </w:numPr>
              <w:rPr>
                <w:noProof/>
                <w:lang w:val="en-US"/>
              </w:rPr>
            </w:pPr>
            <w:r w:rsidRPr="00CF3331">
              <w:rPr>
                <w:noProof/>
              </w:rPr>
              <w:t>2024 EU4Health Stakeholders' Consultation (2024)</w:t>
            </w:r>
            <w:r w:rsidRPr="00CF3331">
              <w:rPr>
                <w:noProof/>
                <w:lang w:val="en-US"/>
              </w:rPr>
              <w:t> </w:t>
            </w:r>
          </w:p>
          <w:p w14:paraId="4C43184F" w14:textId="77777777" w:rsidR="00784EE2" w:rsidRPr="00CF3331" w:rsidRDefault="00784EE2" w:rsidP="008C51EB">
            <w:pPr>
              <w:numPr>
                <w:ilvl w:val="0"/>
                <w:numId w:val="94"/>
              </w:numPr>
              <w:rPr>
                <w:noProof/>
                <w:lang w:val="en-US"/>
              </w:rPr>
            </w:pPr>
            <w:r w:rsidRPr="00CF3331">
              <w:rPr>
                <w:noProof/>
              </w:rPr>
              <w:t>Performance Monitoring and Evaluation Framework (2024)</w:t>
            </w:r>
            <w:r w:rsidRPr="00CF3331">
              <w:rPr>
                <w:noProof/>
                <w:lang w:val="en-US"/>
              </w:rPr>
              <w:t> </w:t>
            </w:r>
          </w:p>
        </w:tc>
      </w:tr>
      <w:tr w:rsidR="00784EE2" w:rsidRPr="00CF3331" w14:paraId="0D114AD7" w14:textId="77777777" w:rsidTr="00603157">
        <w:trPr>
          <w:trHeight w:val="300"/>
        </w:trPr>
        <w:tc>
          <w:tcPr>
            <w:tcW w:w="28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6CF01B33" w14:textId="77777777" w:rsidR="00784EE2" w:rsidRPr="00CF3331" w:rsidRDefault="00784EE2" w:rsidP="00603157">
            <w:pPr>
              <w:rPr>
                <w:noProof/>
                <w:lang w:val="en-US"/>
              </w:rPr>
            </w:pPr>
            <w:r w:rsidRPr="00CF3331">
              <w:rPr>
                <w:b/>
                <w:bCs/>
                <w:noProof/>
              </w:rPr>
              <w:t>SME pillar of the Single Market Programme</w:t>
            </w:r>
            <w:r w:rsidRPr="00CF3331">
              <w:rPr>
                <w:noProof/>
                <w:lang w:val="en-US"/>
              </w:rPr>
              <w:t> </w:t>
            </w:r>
          </w:p>
        </w:tc>
        <w:tc>
          <w:tcPr>
            <w:tcW w:w="7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525077A0" w14:textId="6BC5C7F8" w:rsidR="00784EE2" w:rsidRPr="00CF3331" w:rsidRDefault="00784EE2" w:rsidP="008C51EB">
            <w:pPr>
              <w:numPr>
                <w:ilvl w:val="0"/>
                <w:numId w:val="95"/>
              </w:numPr>
              <w:rPr>
                <w:noProof/>
                <w:lang w:val="en-US"/>
              </w:rPr>
            </w:pPr>
            <w:r w:rsidRPr="00CF3331">
              <w:rPr>
                <w:noProof/>
              </w:rPr>
              <w:t>Impact assessment of the Programme for single market, competitiveness of enterprises, including small and medium-sized enterprises, and European statistics and repealing Regulations (EU) No 99/2013, (EU) No 1287/2013, (EU) No 254/2014, (EU) No 258/2014, (EU) No 652/2014 and (EU) No 2017/826 (2018)</w:t>
            </w:r>
          </w:p>
          <w:p w14:paraId="740A17F4" w14:textId="77777777" w:rsidR="00784EE2" w:rsidRPr="00CF3331" w:rsidRDefault="00784EE2" w:rsidP="008C51EB">
            <w:pPr>
              <w:numPr>
                <w:ilvl w:val="0"/>
                <w:numId w:val="96"/>
              </w:numPr>
              <w:rPr>
                <w:noProof/>
                <w:lang w:val="en-US"/>
              </w:rPr>
            </w:pPr>
            <w:r w:rsidRPr="00CF3331">
              <w:rPr>
                <w:noProof/>
              </w:rPr>
              <w:t>Final evaluation of the programme for the competitiveness of enterprises and small and medium-sized enterprises (COSME) 2014-2020 (2024)</w:t>
            </w:r>
            <w:r w:rsidRPr="00CF3331">
              <w:rPr>
                <w:noProof/>
                <w:lang w:val="en-US"/>
              </w:rPr>
              <w:t> </w:t>
            </w:r>
          </w:p>
          <w:p w14:paraId="4245DBE2" w14:textId="77777777" w:rsidR="00784EE2" w:rsidRPr="00CF3331" w:rsidRDefault="00784EE2" w:rsidP="008C51EB">
            <w:pPr>
              <w:numPr>
                <w:ilvl w:val="0"/>
                <w:numId w:val="97"/>
              </w:numPr>
              <w:rPr>
                <w:noProof/>
                <w:lang w:val="en-US"/>
              </w:rPr>
            </w:pPr>
            <w:r w:rsidRPr="00CF3331">
              <w:rPr>
                <w:noProof/>
              </w:rPr>
              <w:t>Mid-term evaluation of the Single Market Programme – forthcoming 2025.</w:t>
            </w:r>
            <w:r w:rsidRPr="00CF3331">
              <w:rPr>
                <w:noProof/>
                <w:lang w:val="en-US"/>
              </w:rPr>
              <w:t> </w:t>
            </w:r>
          </w:p>
        </w:tc>
      </w:tr>
      <w:tr w:rsidR="10EBB3D3" w14:paraId="3C877BEF" w14:textId="77777777" w:rsidTr="00603157">
        <w:trPr>
          <w:trHeight w:val="300"/>
        </w:trPr>
        <w:tc>
          <w:tcPr>
            <w:tcW w:w="28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0AD986A8" w14:textId="46BBE03E" w:rsidR="10EBB3D3" w:rsidRDefault="7BD3285B" w:rsidP="00603157">
            <w:pPr>
              <w:rPr>
                <w:b/>
                <w:bCs/>
                <w:noProof/>
              </w:rPr>
            </w:pPr>
            <w:r w:rsidRPr="376327F0">
              <w:rPr>
                <w:b/>
                <w:bCs/>
                <w:noProof/>
              </w:rPr>
              <w:t xml:space="preserve">Strategic Technologies for Europe </w:t>
            </w:r>
            <w:r w:rsidRPr="3C396E35">
              <w:rPr>
                <w:b/>
                <w:bCs/>
                <w:noProof/>
              </w:rPr>
              <w:t>Platform (STEP)</w:t>
            </w:r>
          </w:p>
        </w:tc>
        <w:tc>
          <w:tcPr>
            <w:tcW w:w="73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hideMark/>
          </w:tcPr>
          <w:p w14:paraId="0951B145" w14:textId="069FD066" w:rsidR="10EBB3D3" w:rsidRDefault="7BD3285B" w:rsidP="008C51EB">
            <w:pPr>
              <w:pStyle w:val="ListParagraph"/>
              <w:numPr>
                <w:ilvl w:val="0"/>
                <w:numId w:val="102"/>
              </w:numPr>
              <w:rPr>
                <w:noProof/>
              </w:rPr>
            </w:pPr>
            <w:r w:rsidRPr="3C396E35">
              <w:rPr>
                <w:noProof/>
              </w:rPr>
              <w:t xml:space="preserve">Interim evaluation of STEP </w:t>
            </w:r>
            <w:r w:rsidRPr="0803B38E">
              <w:rPr>
                <w:noProof/>
              </w:rPr>
              <w:t>– forthcoming 2025</w:t>
            </w:r>
          </w:p>
        </w:tc>
      </w:tr>
    </w:tbl>
    <w:p w14:paraId="6B70D67F" w14:textId="77777777" w:rsidR="00784EE2" w:rsidRPr="00CF3331" w:rsidRDefault="00784EE2" w:rsidP="00603157">
      <w:pPr>
        <w:rPr>
          <w:noProof/>
          <w:lang w:val="en-US"/>
        </w:rPr>
      </w:pPr>
    </w:p>
    <w:p w14:paraId="67C5FD02" w14:textId="46AA32D1" w:rsidR="00021FB8" w:rsidRDefault="00D33ADA" w:rsidP="00603157">
      <w:pPr>
        <w:tabs>
          <w:tab w:val="left" w:pos="2450"/>
        </w:tabs>
        <w:rPr>
          <w:rFonts w:eastAsia="Times New Roman"/>
          <w:noProof/>
          <w:lang w:val="en-US"/>
        </w:rPr>
      </w:pPr>
      <w:r>
        <w:rPr>
          <w:rFonts w:eastAsia="Times New Roman"/>
          <w:noProof/>
          <w:lang w:val="en-US"/>
        </w:rPr>
        <w:tab/>
      </w:r>
    </w:p>
    <w:p w14:paraId="61BAE3F2" w14:textId="48EDCF89" w:rsidR="00021FB8" w:rsidRPr="00BB184A" w:rsidRDefault="00021FB8" w:rsidP="00603157">
      <w:pPr>
        <w:tabs>
          <w:tab w:val="left" w:pos="2450"/>
        </w:tabs>
        <w:rPr>
          <w:rFonts w:eastAsia="Times New Roman"/>
          <w:noProof/>
          <w:lang w:val="en-US"/>
        </w:rPr>
        <w:sectPr w:rsidR="00021FB8" w:rsidRPr="00BB184A" w:rsidSect="00603157">
          <w:headerReference w:type="even" r:id="rId24"/>
          <w:headerReference w:type="default" r:id="rId25"/>
          <w:footerReference w:type="even" r:id="rId26"/>
          <w:footerReference w:type="default" r:id="rId27"/>
          <w:headerReference w:type="first" r:id="rId28"/>
          <w:footerReference w:type="first" r:id="rId29"/>
          <w:pgSz w:w="11906" w:h="16838"/>
          <w:pgMar w:top="1021" w:right="1134" w:bottom="1021" w:left="1134" w:header="601" w:footer="1077" w:gutter="0"/>
          <w:cols w:space="720"/>
          <w:titlePg/>
        </w:sectPr>
      </w:pPr>
    </w:p>
    <w:p w14:paraId="15267CE1" w14:textId="1E8A8ED5" w:rsidR="0AA200F7" w:rsidRDefault="0AA200F7" w:rsidP="00603157">
      <w:pPr>
        <w:pStyle w:val="FootnoteTextEP-LC1"/>
        <w:rPr>
          <w:rFonts w:eastAsia="Times New Roman"/>
          <w:b/>
          <w:bCs/>
          <w:smallCaps/>
          <w:noProof/>
          <w:sz w:val="32"/>
          <w:szCs w:val="32"/>
        </w:rPr>
      </w:pPr>
      <w:bookmarkStart w:id="274" w:name="_Toc203043658"/>
      <w:r w:rsidRPr="009501DA">
        <w:rPr>
          <w:rStyle w:val="Heading2Char"/>
          <w:rFonts w:eastAsia="MS Mincho"/>
          <w:noProof/>
        </w:rPr>
        <w:t xml:space="preserve">Annex </w:t>
      </w:r>
      <w:r w:rsidR="00684C76" w:rsidRPr="009501DA">
        <w:rPr>
          <w:rStyle w:val="Heading2Char"/>
          <w:rFonts w:eastAsia="MS Mincho"/>
          <w:noProof/>
        </w:rPr>
        <w:t>2</w:t>
      </w:r>
      <w:r w:rsidRPr="009501DA">
        <w:rPr>
          <w:rStyle w:val="Heading2Char"/>
          <w:rFonts w:eastAsia="MS Mincho"/>
          <w:noProof/>
        </w:rPr>
        <w:t>: Stakeholder consultation (Synopsis report</w:t>
      </w:r>
      <w:r w:rsidR="00D26794">
        <w:rPr>
          <w:rStyle w:val="Heading2Char"/>
          <w:rFonts w:eastAsia="MS Mincho"/>
          <w:noProof/>
        </w:rPr>
        <w:t>)</w:t>
      </w:r>
      <w:bookmarkEnd w:id="274"/>
      <w:r w:rsidR="0075336D" w:rsidRPr="50A12219" w:rsidDel="0075336D">
        <w:rPr>
          <w:rStyle w:val="FootnoteReference"/>
          <w:rFonts w:eastAsia="Times New Roman"/>
          <w:b/>
          <w:noProof/>
          <w:sz w:val="24"/>
          <w:szCs w:val="24"/>
          <w:lang w:val="en-US"/>
        </w:rPr>
        <w:t xml:space="preserve"> </w:t>
      </w:r>
    </w:p>
    <w:p w14:paraId="60432B81" w14:textId="7657E126" w:rsidR="00762BE2" w:rsidRDefault="5473F895" w:rsidP="008C51EB">
      <w:pPr>
        <w:pStyle w:val="ListParagraph"/>
        <w:numPr>
          <w:ilvl w:val="0"/>
          <w:numId w:val="26"/>
        </w:numPr>
        <w:rPr>
          <w:rFonts w:eastAsia="Times New Roman"/>
          <w:b/>
          <w:bCs/>
          <w:noProof/>
        </w:rPr>
      </w:pPr>
      <w:r w:rsidRPr="58BF9D30">
        <w:rPr>
          <w:rFonts w:eastAsia="Times New Roman"/>
          <w:b/>
          <w:bCs/>
          <w:noProof/>
        </w:rPr>
        <w:t>Introduction</w:t>
      </w:r>
    </w:p>
    <w:p w14:paraId="51C21A3B" w14:textId="77777777" w:rsidR="00762BE2" w:rsidRPr="00762BE2" w:rsidRDefault="00762BE2" w:rsidP="00603157">
      <w:pPr>
        <w:rPr>
          <w:rFonts w:eastAsia="Times New Roman"/>
          <w:noProof/>
        </w:rPr>
      </w:pPr>
      <w:r w:rsidRPr="00762BE2">
        <w:rPr>
          <w:rFonts w:eastAsia="Times New Roman"/>
          <w:noProof/>
        </w:rPr>
        <w:t>In the framework of preparing for the next Multiannual Financial Framework (MFF) starting in 2028, the European Commission conducted a public consultation to gather views on EU funding for competitiveness. The consultation targeted a wide range of stakeholders, including citizens, businesses, SMEs, public authorities, recipients of EU funding, civil society organisations, academia, and international stakeholders.</w:t>
      </w:r>
    </w:p>
    <w:p w14:paraId="1E752838" w14:textId="77777777" w:rsidR="00762BE2" w:rsidRPr="00762BE2" w:rsidRDefault="00762BE2" w:rsidP="00603157">
      <w:pPr>
        <w:rPr>
          <w:rFonts w:eastAsia="Times New Roman"/>
          <w:noProof/>
        </w:rPr>
      </w:pPr>
      <w:r w:rsidRPr="00762BE2">
        <w:rPr>
          <w:rFonts w:eastAsia="Times New Roman"/>
          <w:noProof/>
        </w:rPr>
        <w:t>This synopsis report summarises the results of the consultation and informed the impact assessment process for a potential competitiveness fund under the next MFF.</w:t>
      </w:r>
    </w:p>
    <w:p w14:paraId="0F94BD92" w14:textId="77777777" w:rsidR="00762BE2" w:rsidRPr="00762BE2" w:rsidRDefault="00762BE2" w:rsidP="00603157">
      <w:pPr>
        <w:rPr>
          <w:rFonts w:eastAsia="Times New Roman"/>
          <w:noProof/>
        </w:rPr>
      </w:pPr>
      <w:r w:rsidRPr="00762BE2">
        <w:rPr>
          <w:rFonts w:eastAsia="Times New Roman"/>
          <w:noProof/>
        </w:rPr>
        <w:t xml:space="preserve">The public consultation was conducted over a 12-week period, from 12 February 2025 to 7 May 2025. It included an online questionnaire and the option to submit position papers. The questionnaire covered both general aspects of EU competitiveness funding and more technical issues related to specific challenges and measures. It consisted mainly of closed-ended questions, with several open-ended questions allowing respondents to elaborate on their views. In total, 2 034 survey responses and 462 position papers were received. </w:t>
      </w:r>
    </w:p>
    <w:p w14:paraId="72A476F7" w14:textId="5839399E" w:rsidR="00762BE2" w:rsidRPr="00762BE2" w:rsidRDefault="00762BE2" w:rsidP="00603157">
      <w:pPr>
        <w:rPr>
          <w:rFonts w:eastAsia="Times New Roman"/>
          <w:noProof/>
        </w:rPr>
      </w:pPr>
      <w:r w:rsidRPr="00762BE2">
        <w:rPr>
          <w:rFonts w:eastAsia="Times New Roman"/>
          <w:noProof/>
        </w:rPr>
        <w:t>Contributions received in the context of the public consultation published on the ‘Have Your Say’ portal do not represent the official position of the Commission or its services and thus do not bind the Commission, nor do they constitute a representative sample of the EU population.</w:t>
      </w:r>
    </w:p>
    <w:p w14:paraId="337C0E2D" w14:textId="7F3FEFB1" w:rsidR="2A1AD167" w:rsidRDefault="5473F895" w:rsidP="008C51EB">
      <w:pPr>
        <w:pStyle w:val="ListParagraph"/>
        <w:numPr>
          <w:ilvl w:val="0"/>
          <w:numId w:val="26"/>
        </w:numPr>
        <w:rPr>
          <w:rFonts w:eastAsia="Times New Roman"/>
          <w:b/>
          <w:bCs/>
          <w:noProof/>
        </w:rPr>
      </w:pPr>
      <w:r w:rsidRPr="58BF9D30">
        <w:rPr>
          <w:rFonts w:eastAsia="Times New Roman"/>
          <w:b/>
          <w:bCs/>
          <w:noProof/>
        </w:rPr>
        <w:t>Methodology</w:t>
      </w:r>
    </w:p>
    <w:p w14:paraId="06963DC2" w14:textId="0D4BC27B" w:rsidR="00733FED" w:rsidRDefault="00733FED" w:rsidP="00603157">
      <w:pPr>
        <w:rPr>
          <w:rFonts w:eastAsia="Times New Roman"/>
          <w:noProof/>
        </w:rPr>
      </w:pPr>
      <w:r w:rsidRPr="00733FED">
        <w:rPr>
          <w:rFonts w:eastAsia="Times New Roman"/>
          <w:noProof/>
        </w:rPr>
        <w:t>This section outlines the approach used to analyse the public consultation responses and position papers received. It also provides an overview of identified campaign submissions.</w:t>
      </w:r>
    </w:p>
    <w:p w14:paraId="64193F57" w14:textId="79E85C5B" w:rsidR="00596DD5" w:rsidRDefault="00FA4D94" w:rsidP="00603157">
      <w:pPr>
        <w:pStyle w:val="Heading3"/>
        <w:rPr>
          <w:noProof/>
        </w:rPr>
      </w:pPr>
      <w:r w:rsidRPr="00FA4D94">
        <w:rPr>
          <w:noProof/>
        </w:rPr>
        <w:t>Quantitative analysis of closed questions</w:t>
      </w:r>
    </w:p>
    <w:p w14:paraId="3771418F" w14:textId="77777777" w:rsidR="000263B3" w:rsidRPr="00C22708" w:rsidRDefault="000263B3" w:rsidP="00603157">
      <w:pPr>
        <w:rPr>
          <w:noProof/>
        </w:rPr>
      </w:pPr>
      <w:r w:rsidRPr="00C22708">
        <w:rPr>
          <w:noProof/>
        </w:rPr>
        <w:t xml:space="preserve">The statistical analysis of closed consultation questions </w:t>
      </w:r>
      <w:r w:rsidRPr="00C22708">
        <w:rPr>
          <w:b/>
          <w:bCs/>
          <w:noProof/>
        </w:rPr>
        <w:t>combined</w:t>
      </w:r>
      <w:r w:rsidRPr="00C22708">
        <w:rPr>
          <w:noProof/>
        </w:rPr>
        <w:t xml:space="preserve"> </w:t>
      </w:r>
      <w:r w:rsidRPr="00C22708">
        <w:rPr>
          <w:b/>
          <w:noProof/>
        </w:rPr>
        <w:t>high-level aggregation with disaggregated insights by stakeholder group</w:t>
      </w:r>
      <w:r w:rsidRPr="00C22708">
        <w:rPr>
          <w:noProof/>
        </w:rPr>
        <w:t>. Cross-tabulations were used to explore variations in responses by stakeholder type. This enabled the identification of emerging trends within particular groups and helped contextualise broader patterns across responses. While all stakeholder group breakdowns have been systematically reviewed and collected in an Excel file, this report focuses on the most relevant divergences and trends to ensure a focused and concise presentation of findings within the available space.</w:t>
      </w:r>
    </w:p>
    <w:p w14:paraId="3CAD1306" w14:textId="508DB39D" w:rsidR="00FA4D94" w:rsidRDefault="00265B81" w:rsidP="00603157">
      <w:pPr>
        <w:pStyle w:val="Heading3"/>
        <w:rPr>
          <w:noProof/>
        </w:rPr>
      </w:pPr>
      <w:r w:rsidRPr="00265B81">
        <w:rPr>
          <w:noProof/>
        </w:rPr>
        <w:t>Qualitative analysis of open-ended responses and position papers</w:t>
      </w:r>
    </w:p>
    <w:p w14:paraId="3DA5F545" w14:textId="77777777" w:rsidR="002A3075" w:rsidRPr="00C22708" w:rsidRDefault="002A3075" w:rsidP="00603157">
      <w:pPr>
        <w:rPr>
          <w:noProof/>
        </w:rPr>
      </w:pPr>
      <w:r w:rsidRPr="00C22708">
        <w:rPr>
          <w:noProof/>
        </w:rPr>
        <w:t xml:space="preserve">The analysis of open-ended responses and position papers has followed </w:t>
      </w:r>
      <w:r w:rsidRPr="00C22708">
        <w:rPr>
          <w:b/>
          <w:bCs/>
          <w:noProof/>
        </w:rPr>
        <w:t>a hybrid approach, combining Large Language Model (LLM)-driven topic modelling with expert human validation</w:t>
      </w:r>
      <w:r w:rsidRPr="00C22708">
        <w:rPr>
          <w:noProof/>
        </w:rPr>
        <w:t>. This ensured a structured, consistent, and robust synthesis of stakeholder input. To support multilingual responses, the Commission’s eTranslation tool was used to process non-English contributions.</w:t>
      </w:r>
    </w:p>
    <w:p w14:paraId="22BF2073" w14:textId="77777777" w:rsidR="002A3075" w:rsidRPr="00C22708" w:rsidRDefault="002A3075" w:rsidP="00603157">
      <w:pPr>
        <w:rPr>
          <w:noProof/>
        </w:rPr>
      </w:pPr>
      <w:r w:rsidRPr="00C22708">
        <w:rPr>
          <w:noProof/>
        </w:rPr>
        <w:t xml:space="preserve">Responses were mapped according to a set of </w:t>
      </w:r>
      <w:r w:rsidRPr="00C22708">
        <w:rPr>
          <w:b/>
          <w:bCs/>
          <w:noProof/>
        </w:rPr>
        <w:t>key issue areas</w:t>
      </w:r>
      <w:r w:rsidRPr="00C22708">
        <w:rPr>
          <w:noProof/>
        </w:rPr>
        <w:t xml:space="preserve"> defined in the analytical framework developed during the inception phase. These categories were initially based on inputs from the Commission and refined through desk research. The framework was operationalised, tested on a sample of responses, and iteratively adjusted to ensure accuracy and consistency.</w:t>
      </w:r>
    </w:p>
    <w:p w14:paraId="194CA117" w14:textId="77777777" w:rsidR="002A3075" w:rsidRPr="00C22708" w:rsidRDefault="002A3075" w:rsidP="00603157">
      <w:pPr>
        <w:rPr>
          <w:noProof/>
        </w:rPr>
      </w:pPr>
      <w:r w:rsidRPr="00C22708">
        <w:rPr>
          <w:noProof/>
        </w:rPr>
        <w:t xml:space="preserve">To enhance the reliability and nuance of the analysis, the study applied a </w:t>
      </w:r>
      <w:r w:rsidRPr="00C22708">
        <w:rPr>
          <w:b/>
          <w:bCs/>
          <w:noProof/>
        </w:rPr>
        <w:t>layered validation process</w:t>
      </w:r>
      <w:r w:rsidRPr="00C22708">
        <w:rPr>
          <w:noProof/>
        </w:rPr>
        <w:t>. Contributions were first mapped to issue areas using LLM-driven topic modelling. The initial classifications were tested against a human-coded sample, which showed a high level of alignment. A second model was then used to cross-check the outputs, with any discrepancies manually reviewed. Following categorisation, the study analysed responses to identify stakeholder perspectives, particularly regarding the challenges to EU competitiveness, their underlying causes, and proposed measures. The choice of methodology and approach was discussed and validated with the European Commission’s Joint Research Centre, which supported the robustness and credibility of the analysis.</w:t>
      </w:r>
    </w:p>
    <w:p w14:paraId="2BCCA382" w14:textId="77777777" w:rsidR="002A3075" w:rsidRPr="00C22708" w:rsidRDefault="002A3075" w:rsidP="00603157">
      <w:pPr>
        <w:rPr>
          <w:noProof/>
        </w:rPr>
      </w:pPr>
      <w:r w:rsidRPr="00C22708">
        <w:rPr>
          <w:noProof/>
        </w:rPr>
        <w:t>As the consultation relied on self-selected respondents who were not required to comment on every issue area, the qualitative analysis is not statistically representative. Instead, it complements the quantitative results by illustrating stakeholder perspectives through specific examples and identifying recurring themes across position papers and open-text responses.</w:t>
      </w:r>
    </w:p>
    <w:p w14:paraId="29FD4AF7" w14:textId="29777949" w:rsidR="00265B81" w:rsidRDefault="003436C4" w:rsidP="00603157">
      <w:pPr>
        <w:pStyle w:val="Heading3"/>
        <w:rPr>
          <w:noProof/>
        </w:rPr>
      </w:pPr>
      <w:r w:rsidRPr="003436C4">
        <w:rPr>
          <w:noProof/>
        </w:rPr>
        <w:t>Information on identified campaigns</w:t>
      </w:r>
    </w:p>
    <w:p w14:paraId="12527833" w14:textId="77777777" w:rsidR="00FB7FDC" w:rsidRPr="00C22708" w:rsidRDefault="00FB7FDC" w:rsidP="00603157">
      <w:pPr>
        <w:rPr>
          <w:noProof/>
        </w:rPr>
      </w:pPr>
      <w:r w:rsidRPr="00C22708">
        <w:rPr>
          <w:noProof/>
        </w:rPr>
        <w:t>Submissions have been reviewed to identify organised campaigns among position papers and open-ended responses. In total, 12 campaigns with at least five contributions were identified. These account for 130 responses overall, representing approximately 6% of all submissions. The table below provides an overview of the number of responses per campaign, the stakeholder groups involved, their positions and their countries of origin.</w:t>
      </w:r>
    </w:p>
    <w:p w14:paraId="10D80E36" w14:textId="77777777" w:rsidR="003436C4" w:rsidRPr="003436C4" w:rsidRDefault="003436C4" w:rsidP="00603157">
      <w:pPr>
        <w:rPr>
          <w:noProof/>
        </w:rPr>
      </w:pPr>
    </w:p>
    <w:p w14:paraId="3692FB1A" w14:textId="35C41B63" w:rsidR="2A1AD167" w:rsidRDefault="5473F895" w:rsidP="00603157">
      <w:pPr>
        <w:spacing w:before="0" w:after="0"/>
        <w:jc w:val="center"/>
        <w:rPr>
          <w:rFonts w:eastAsia="Times New Roman"/>
          <w:b/>
          <w:bCs/>
          <w:noProof/>
        </w:rPr>
      </w:pPr>
      <w:r w:rsidRPr="58BF9D30">
        <w:rPr>
          <w:rFonts w:eastAsia="Times New Roman"/>
          <w:b/>
          <w:bCs/>
          <w:noProof/>
        </w:rPr>
        <w:t>Table 1. Preliminary overview of identified campaigns</w:t>
      </w:r>
    </w:p>
    <w:tbl>
      <w:tblPr>
        <w:tblStyle w:val="TableGrid"/>
        <w:tblW w:w="9493" w:type="dxa"/>
        <w:tblLayout w:type="fixed"/>
        <w:tblLook w:val="04A0" w:firstRow="1" w:lastRow="0" w:firstColumn="1" w:lastColumn="0" w:noHBand="0" w:noVBand="1"/>
      </w:tblPr>
      <w:tblGrid>
        <w:gridCol w:w="1247"/>
        <w:gridCol w:w="1247"/>
        <w:gridCol w:w="1701"/>
        <w:gridCol w:w="1896"/>
        <w:gridCol w:w="3402"/>
      </w:tblGrid>
      <w:tr w:rsidR="006B34A8" w:rsidRPr="006B34A8" w14:paraId="21AF112F" w14:textId="77777777" w:rsidTr="00603157">
        <w:trPr>
          <w:tblHeader/>
        </w:trPr>
        <w:tc>
          <w:tcPr>
            <w:tcW w:w="1247" w:type="dxa"/>
            <w:shd w:val="clear" w:color="auto" w:fill="1F497D" w:themeFill="text2"/>
            <w:vAlign w:val="center"/>
          </w:tcPr>
          <w:p w14:paraId="509EEFDF" w14:textId="77777777" w:rsidR="006B34A8" w:rsidRPr="006B34A8" w:rsidRDefault="006B34A8" w:rsidP="00603157">
            <w:pPr>
              <w:spacing w:before="0" w:after="0"/>
              <w:rPr>
                <w:noProof/>
                <w:color w:val="FFFFFF" w:themeColor="background1"/>
              </w:rPr>
            </w:pPr>
            <w:r w:rsidRPr="006B34A8">
              <w:rPr>
                <w:noProof/>
                <w:color w:val="FFFFFF" w:themeColor="background1"/>
              </w:rPr>
              <w:t>Campaign number</w:t>
            </w:r>
          </w:p>
        </w:tc>
        <w:tc>
          <w:tcPr>
            <w:tcW w:w="1247" w:type="dxa"/>
            <w:shd w:val="clear" w:color="auto" w:fill="1F497D" w:themeFill="text2"/>
            <w:vAlign w:val="center"/>
          </w:tcPr>
          <w:p w14:paraId="7C652AA8" w14:textId="77777777" w:rsidR="006B34A8" w:rsidRPr="006B34A8" w:rsidRDefault="006B34A8" w:rsidP="00603157">
            <w:pPr>
              <w:spacing w:before="0" w:after="0"/>
              <w:rPr>
                <w:noProof/>
                <w:color w:val="FFFFFF" w:themeColor="background1"/>
              </w:rPr>
            </w:pPr>
            <w:r w:rsidRPr="006B34A8">
              <w:rPr>
                <w:noProof/>
                <w:color w:val="FFFFFF" w:themeColor="background1"/>
              </w:rPr>
              <w:t>Number of responses</w:t>
            </w:r>
          </w:p>
        </w:tc>
        <w:tc>
          <w:tcPr>
            <w:tcW w:w="1701" w:type="dxa"/>
            <w:shd w:val="clear" w:color="auto" w:fill="1F497D" w:themeFill="text2"/>
            <w:vAlign w:val="center"/>
          </w:tcPr>
          <w:p w14:paraId="50225768" w14:textId="77777777" w:rsidR="006B34A8" w:rsidRPr="006B34A8" w:rsidRDefault="006B34A8" w:rsidP="00603157">
            <w:pPr>
              <w:spacing w:before="0" w:after="0"/>
              <w:rPr>
                <w:noProof/>
                <w:color w:val="FFFFFF" w:themeColor="background1"/>
              </w:rPr>
            </w:pPr>
            <w:r w:rsidRPr="006B34A8">
              <w:rPr>
                <w:noProof/>
                <w:color w:val="FFFFFF" w:themeColor="background1"/>
              </w:rPr>
              <w:t>Stakeholder type</w:t>
            </w:r>
          </w:p>
        </w:tc>
        <w:tc>
          <w:tcPr>
            <w:tcW w:w="1896" w:type="dxa"/>
            <w:shd w:val="clear" w:color="auto" w:fill="1F497D" w:themeFill="text2"/>
            <w:vAlign w:val="center"/>
          </w:tcPr>
          <w:p w14:paraId="50800BAB" w14:textId="77777777" w:rsidR="006B34A8" w:rsidRPr="006B34A8" w:rsidRDefault="006B34A8" w:rsidP="00603157">
            <w:pPr>
              <w:spacing w:before="0" w:after="0"/>
              <w:rPr>
                <w:noProof/>
                <w:color w:val="FFFFFF" w:themeColor="background1"/>
              </w:rPr>
            </w:pPr>
            <w:r w:rsidRPr="006B34A8">
              <w:rPr>
                <w:noProof/>
                <w:color w:val="FFFFFF" w:themeColor="background1"/>
              </w:rPr>
              <w:t>Countries of origin</w:t>
            </w:r>
          </w:p>
        </w:tc>
        <w:tc>
          <w:tcPr>
            <w:tcW w:w="3402" w:type="dxa"/>
            <w:shd w:val="clear" w:color="auto" w:fill="1F497D" w:themeFill="text2"/>
            <w:vAlign w:val="center"/>
          </w:tcPr>
          <w:p w14:paraId="5B4C859F" w14:textId="77777777" w:rsidR="006B34A8" w:rsidRPr="006B34A8" w:rsidRDefault="006B34A8" w:rsidP="00603157">
            <w:pPr>
              <w:spacing w:before="0" w:after="0"/>
              <w:rPr>
                <w:noProof/>
                <w:color w:val="FFFFFF" w:themeColor="background1"/>
              </w:rPr>
            </w:pPr>
            <w:r w:rsidRPr="006B34A8">
              <w:rPr>
                <w:noProof/>
                <w:color w:val="FFFFFF" w:themeColor="background1"/>
              </w:rPr>
              <w:t>Positions</w:t>
            </w:r>
          </w:p>
        </w:tc>
      </w:tr>
      <w:tr w:rsidR="006B34A8" w:rsidRPr="006B34A8" w14:paraId="5EE60B76" w14:textId="77777777" w:rsidTr="00603157">
        <w:tc>
          <w:tcPr>
            <w:tcW w:w="1247" w:type="dxa"/>
            <w:vAlign w:val="center"/>
          </w:tcPr>
          <w:p w14:paraId="54330B8B" w14:textId="77777777" w:rsidR="006B34A8" w:rsidRPr="006B34A8" w:rsidRDefault="006B34A8" w:rsidP="00603157">
            <w:pPr>
              <w:spacing w:before="0" w:after="0"/>
              <w:rPr>
                <w:noProof/>
              </w:rPr>
            </w:pPr>
            <w:r w:rsidRPr="006B34A8">
              <w:rPr>
                <w:noProof/>
              </w:rPr>
              <w:t>#1</w:t>
            </w:r>
          </w:p>
        </w:tc>
        <w:tc>
          <w:tcPr>
            <w:tcW w:w="1247" w:type="dxa"/>
            <w:vAlign w:val="center"/>
          </w:tcPr>
          <w:p w14:paraId="454EBAAC" w14:textId="77777777" w:rsidR="006B34A8" w:rsidRPr="006B34A8" w:rsidRDefault="006B34A8" w:rsidP="00603157">
            <w:pPr>
              <w:spacing w:before="0" w:after="0"/>
              <w:rPr>
                <w:noProof/>
              </w:rPr>
            </w:pPr>
            <w:r w:rsidRPr="006B34A8">
              <w:rPr>
                <w:noProof/>
              </w:rPr>
              <w:t>27</w:t>
            </w:r>
          </w:p>
        </w:tc>
        <w:tc>
          <w:tcPr>
            <w:tcW w:w="1701" w:type="dxa"/>
            <w:vAlign w:val="center"/>
          </w:tcPr>
          <w:p w14:paraId="785C36E4" w14:textId="77777777" w:rsidR="006B34A8" w:rsidRPr="006B34A8" w:rsidRDefault="006B34A8" w:rsidP="00603157">
            <w:pPr>
              <w:spacing w:before="0" w:after="0"/>
              <w:rPr>
                <w:noProof/>
              </w:rPr>
            </w:pPr>
            <w:r w:rsidRPr="006B34A8">
              <w:rPr>
                <w:noProof/>
              </w:rPr>
              <w:t>Local and regional public authorities</w:t>
            </w:r>
          </w:p>
        </w:tc>
        <w:tc>
          <w:tcPr>
            <w:tcW w:w="1896" w:type="dxa"/>
            <w:vAlign w:val="center"/>
          </w:tcPr>
          <w:p w14:paraId="04B2C3F0" w14:textId="77777777" w:rsidR="006B34A8" w:rsidRPr="006B34A8" w:rsidRDefault="006B34A8" w:rsidP="00603157">
            <w:pPr>
              <w:spacing w:before="0" w:after="0"/>
              <w:rPr>
                <w:noProof/>
              </w:rPr>
            </w:pPr>
            <w:r w:rsidRPr="006B34A8">
              <w:rPr>
                <w:noProof/>
              </w:rPr>
              <w:t>Belgium, Finland, France, Germany, Netherlands</w:t>
            </w:r>
          </w:p>
        </w:tc>
        <w:tc>
          <w:tcPr>
            <w:tcW w:w="3402" w:type="dxa"/>
            <w:vAlign w:val="center"/>
          </w:tcPr>
          <w:p w14:paraId="59139272" w14:textId="77777777" w:rsidR="006B34A8" w:rsidRPr="006B34A8" w:rsidRDefault="006B34A8" w:rsidP="00603157">
            <w:pPr>
              <w:spacing w:before="0" w:after="0"/>
              <w:rPr>
                <w:noProof/>
              </w:rPr>
            </w:pPr>
            <w:r w:rsidRPr="006B34A8">
              <w:rPr>
                <w:noProof/>
              </w:rPr>
              <w:t>Importance of local and regional authorities in EU competitiveness funding</w:t>
            </w:r>
          </w:p>
        </w:tc>
      </w:tr>
      <w:tr w:rsidR="006B34A8" w:rsidRPr="006B34A8" w14:paraId="6A4A54DE" w14:textId="77777777" w:rsidTr="00603157">
        <w:tc>
          <w:tcPr>
            <w:tcW w:w="1247" w:type="dxa"/>
            <w:vAlign w:val="center"/>
          </w:tcPr>
          <w:p w14:paraId="3A5284DC" w14:textId="77777777" w:rsidR="006B34A8" w:rsidRPr="006B34A8" w:rsidRDefault="006B34A8" w:rsidP="00603157">
            <w:pPr>
              <w:spacing w:before="0" w:after="0"/>
              <w:rPr>
                <w:noProof/>
              </w:rPr>
            </w:pPr>
            <w:r w:rsidRPr="006B34A8">
              <w:rPr>
                <w:noProof/>
              </w:rPr>
              <w:t>#2</w:t>
            </w:r>
          </w:p>
        </w:tc>
        <w:tc>
          <w:tcPr>
            <w:tcW w:w="1247" w:type="dxa"/>
            <w:vAlign w:val="center"/>
          </w:tcPr>
          <w:p w14:paraId="0ABFC158" w14:textId="77777777" w:rsidR="006B34A8" w:rsidRPr="006B34A8" w:rsidRDefault="006B34A8" w:rsidP="00603157">
            <w:pPr>
              <w:spacing w:before="0" w:after="0"/>
              <w:rPr>
                <w:noProof/>
              </w:rPr>
            </w:pPr>
            <w:r w:rsidRPr="006B34A8">
              <w:rPr>
                <w:noProof/>
              </w:rPr>
              <w:t>23</w:t>
            </w:r>
          </w:p>
        </w:tc>
        <w:tc>
          <w:tcPr>
            <w:tcW w:w="1701" w:type="dxa"/>
            <w:vAlign w:val="center"/>
          </w:tcPr>
          <w:p w14:paraId="79690324" w14:textId="77777777" w:rsidR="006B34A8" w:rsidRPr="006B34A8" w:rsidRDefault="006B34A8" w:rsidP="00603157">
            <w:pPr>
              <w:spacing w:before="0" w:after="0"/>
              <w:rPr>
                <w:noProof/>
              </w:rPr>
            </w:pPr>
            <w:r w:rsidRPr="006B34A8">
              <w:rPr>
                <w:noProof/>
              </w:rPr>
              <w:t>Businesses, public authorities (transport sector)</w:t>
            </w:r>
          </w:p>
        </w:tc>
        <w:tc>
          <w:tcPr>
            <w:tcW w:w="1896" w:type="dxa"/>
            <w:vAlign w:val="center"/>
          </w:tcPr>
          <w:p w14:paraId="4CAA626E" w14:textId="77777777" w:rsidR="006B34A8" w:rsidRPr="006B34A8" w:rsidRDefault="006B34A8" w:rsidP="00603157">
            <w:pPr>
              <w:spacing w:before="0" w:after="0"/>
              <w:rPr>
                <w:noProof/>
              </w:rPr>
            </w:pPr>
            <w:r w:rsidRPr="006B34A8">
              <w:rPr>
                <w:noProof/>
              </w:rPr>
              <w:t>Austria, Belgium, France, Germany, Italy, Spain</w:t>
            </w:r>
          </w:p>
        </w:tc>
        <w:tc>
          <w:tcPr>
            <w:tcW w:w="3402" w:type="dxa"/>
            <w:vAlign w:val="center"/>
          </w:tcPr>
          <w:p w14:paraId="3F8EF499" w14:textId="77777777" w:rsidR="006B34A8" w:rsidRPr="006B34A8" w:rsidRDefault="006B34A8" w:rsidP="00603157">
            <w:pPr>
              <w:spacing w:before="0" w:after="0"/>
              <w:rPr>
                <w:noProof/>
              </w:rPr>
            </w:pPr>
            <w:r w:rsidRPr="006B34A8">
              <w:rPr>
                <w:noProof/>
              </w:rPr>
              <w:t>Transport as a strategic priority requiring strong and coordinated funding</w:t>
            </w:r>
          </w:p>
        </w:tc>
      </w:tr>
      <w:tr w:rsidR="006B34A8" w:rsidRPr="006B34A8" w14:paraId="2C15574D" w14:textId="77777777" w:rsidTr="00603157">
        <w:tc>
          <w:tcPr>
            <w:tcW w:w="1247" w:type="dxa"/>
            <w:vAlign w:val="center"/>
          </w:tcPr>
          <w:p w14:paraId="40A6A6D5" w14:textId="77777777" w:rsidR="006B34A8" w:rsidRPr="006B34A8" w:rsidRDefault="006B34A8" w:rsidP="00603157">
            <w:pPr>
              <w:spacing w:before="0" w:after="0"/>
              <w:rPr>
                <w:noProof/>
              </w:rPr>
            </w:pPr>
            <w:r w:rsidRPr="006B34A8">
              <w:rPr>
                <w:noProof/>
              </w:rPr>
              <w:t>#3</w:t>
            </w:r>
          </w:p>
        </w:tc>
        <w:tc>
          <w:tcPr>
            <w:tcW w:w="1247" w:type="dxa"/>
            <w:vAlign w:val="center"/>
          </w:tcPr>
          <w:p w14:paraId="545B1F95" w14:textId="77777777" w:rsidR="006B34A8" w:rsidRPr="006B34A8" w:rsidRDefault="006B34A8" w:rsidP="00603157">
            <w:pPr>
              <w:spacing w:before="0" w:after="0"/>
              <w:rPr>
                <w:noProof/>
              </w:rPr>
            </w:pPr>
            <w:r w:rsidRPr="006B34A8">
              <w:rPr>
                <w:noProof/>
              </w:rPr>
              <w:t>14</w:t>
            </w:r>
          </w:p>
        </w:tc>
        <w:tc>
          <w:tcPr>
            <w:tcW w:w="1701" w:type="dxa"/>
            <w:vAlign w:val="center"/>
          </w:tcPr>
          <w:p w14:paraId="46D767AD" w14:textId="77777777" w:rsidR="006B34A8" w:rsidRPr="006B34A8" w:rsidRDefault="006B34A8" w:rsidP="00603157">
            <w:pPr>
              <w:spacing w:before="0" w:after="0"/>
              <w:rPr>
                <w:noProof/>
              </w:rPr>
            </w:pPr>
            <w:r w:rsidRPr="006B34A8">
              <w:rPr>
                <w:noProof/>
              </w:rPr>
              <w:t>Academic/Research Institutions</w:t>
            </w:r>
          </w:p>
        </w:tc>
        <w:tc>
          <w:tcPr>
            <w:tcW w:w="1896" w:type="dxa"/>
            <w:vAlign w:val="center"/>
          </w:tcPr>
          <w:p w14:paraId="50B13BCD" w14:textId="77777777" w:rsidR="006B34A8" w:rsidRPr="006B34A8" w:rsidRDefault="006B34A8" w:rsidP="00603157">
            <w:pPr>
              <w:spacing w:before="0" w:after="0"/>
              <w:rPr>
                <w:noProof/>
              </w:rPr>
            </w:pPr>
            <w:r w:rsidRPr="006B34A8">
              <w:rPr>
                <w:noProof/>
              </w:rPr>
              <w:t>Belgium, Germany, Netherlands</w:t>
            </w:r>
          </w:p>
        </w:tc>
        <w:tc>
          <w:tcPr>
            <w:tcW w:w="3402" w:type="dxa"/>
            <w:vAlign w:val="center"/>
          </w:tcPr>
          <w:p w14:paraId="3A500D27" w14:textId="77777777" w:rsidR="006B34A8" w:rsidRPr="006B34A8" w:rsidRDefault="006B34A8" w:rsidP="00603157">
            <w:pPr>
              <w:spacing w:before="0" w:after="0"/>
              <w:rPr>
                <w:noProof/>
              </w:rPr>
            </w:pPr>
            <w:r w:rsidRPr="006B34A8">
              <w:rPr>
                <w:noProof/>
              </w:rPr>
              <w:t>Importance of a dynamic knowledge cycle and the role of universities</w:t>
            </w:r>
          </w:p>
        </w:tc>
      </w:tr>
      <w:tr w:rsidR="006B34A8" w:rsidRPr="006B34A8" w14:paraId="1E94B2E5" w14:textId="77777777" w:rsidTr="00603157">
        <w:tc>
          <w:tcPr>
            <w:tcW w:w="1247" w:type="dxa"/>
            <w:vAlign w:val="center"/>
          </w:tcPr>
          <w:p w14:paraId="49C2FF69" w14:textId="77777777" w:rsidR="006B34A8" w:rsidRPr="006B34A8" w:rsidRDefault="006B34A8" w:rsidP="00603157">
            <w:pPr>
              <w:spacing w:before="0" w:after="0"/>
              <w:rPr>
                <w:noProof/>
              </w:rPr>
            </w:pPr>
            <w:r w:rsidRPr="006B34A8">
              <w:rPr>
                <w:noProof/>
              </w:rPr>
              <w:t>#4</w:t>
            </w:r>
          </w:p>
        </w:tc>
        <w:tc>
          <w:tcPr>
            <w:tcW w:w="1247" w:type="dxa"/>
            <w:vAlign w:val="center"/>
          </w:tcPr>
          <w:p w14:paraId="58CD4233" w14:textId="77777777" w:rsidR="006B34A8" w:rsidRPr="006B34A8" w:rsidRDefault="006B34A8" w:rsidP="00603157">
            <w:pPr>
              <w:spacing w:before="0" w:after="0"/>
              <w:rPr>
                <w:noProof/>
              </w:rPr>
            </w:pPr>
            <w:r w:rsidRPr="006B34A8">
              <w:rPr>
                <w:noProof/>
              </w:rPr>
              <w:t>13</w:t>
            </w:r>
          </w:p>
        </w:tc>
        <w:tc>
          <w:tcPr>
            <w:tcW w:w="1701" w:type="dxa"/>
            <w:vAlign w:val="center"/>
          </w:tcPr>
          <w:p w14:paraId="55717D50" w14:textId="77777777" w:rsidR="006B34A8" w:rsidRPr="006B34A8" w:rsidRDefault="006B34A8" w:rsidP="00603157">
            <w:pPr>
              <w:spacing w:before="0" w:after="0"/>
              <w:rPr>
                <w:noProof/>
              </w:rPr>
            </w:pPr>
            <w:r w:rsidRPr="006B34A8">
              <w:rPr>
                <w:noProof/>
              </w:rPr>
              <w:t>Academic/Research Institutions</w:t>
            </w:r>
          </w:p>
        </w:tc>
        <w:tc>
          <w:tcPr>
            <w:tcW w:w="1896" w:type="dxa"/>
            <w:vAlign w:val="center"/>
          </w:tcPr>
          <w:p w14:paraId="7DE13748" w14:textId="77777777" w:rsidR="006B34A8" w:rsidRPr="006B34A8" w:rsidRDefault="006B34A8" w:rsidP="00603157">
            <w:pPr>
              <w:spacing w:before="0" w:after="0"/>
              <w:rPr>
                <w:noProof/>
              </w:rPr>
            </w:pPr>
            <w:r w:rsidRPr="006B34A8">
              <w:rPr>
                <w:noProof/>
              </w:rPr>
              <w:t>Denmark, France, Germany, Netherlands, Spain</w:t>
            </w:r>
          </w:p>
        </w:tc>
        <w:tc>
          <w:tcPr>
            <w:tcW w:w="3402" w:type="dxa"/>
            <w:vAlign w:val="center"/>
          </w:tcPr>
          <w:p w14:paraId="4412C176" w14:textId="77777777" w:rsidR="006B34A8" w:rsidRPr="006B34A8" w:rsidRDefault="006B34A8" w:rsidP="00603157">
            <w:pPr>
              <w:spacing w:before="0" w:after="0"/>
              <w:rPr>
                <w:noProof/>
              </w:rPr>
            </w:pPr>
            <w:r w:rsidRPr="006B34A8">
              <w:rPr>
                <w:noProof/>
              </w:rPr>
              <w:t>Critical role of national research infrastructures and need for dedicated funding</w:t>
            </w:r>
          </w:p>
        </w:tc>
      </w:tr>
      <w:tr w:rsidR="006B34A8" w:rsidRPr="006B34A8" w14:paraId="60476241" w14:textId="77777777" w:rsidTr="00603157">
        <w:tc>
          <w:tcPr>
            <w:tcW w:w="1247" w:type="dxa"/>
            <w:vAlign w:val="center"/>
          </w:tcPr>
          <w:p w14:paraId="499FCBAA" w14:textId="77777777" w:rsidR="006B34A8" w:rsidRPr="006B34A8" w:rsidRDefault="006B34A8" w:rsidP="00603157">
            <w:pPr>
              <w:spacing w:before="0" w:after="0"/>
              <w:rPr>
                <w:noProof/>
              </w:rPr>
            </w:pPr>
            <w:r w:rsidRPr="006B34A8">
              <w:rPr>
                <w:noProof/>
              </w:rPr>
              <w:t>#5</w:t>
            </w:r>
          </w:p>
        </w:tc>
        <w:tc>
          <w:tcPr>
            <w:tcW w:w="1247" w:type="dxa"/>
            <w:vAlign w:val="center"/>
          </w:tcPr>
          <w:p w14:paraId="125515BF" w14:textId="77777777" w:rsidR="006B34A8" w:rsidRPr="006B34A8" w:rsidRDefault="006B34A8" w:rsidP="00603157">
            <w:pPr>
              <w:spacing w:before="0" w:after="0"/>
              <w:rPr>
                <w:noProof/>
              </w:rPr>
            </w:pPr>
            <w:r w:rsidRPr="006B34A8">
              <w:rPr>
                <w:noProof/>
              </w:rPr>
              <w:t>13</w:t>
            </w:r>
          </w:p>
        </w:tc>
        <w:tc>
          <w:tcPr>
            <w:tcW w:w="1701" w:type="dxa"/>
            <w:vAlign w:val="center"/>
          </w:tcPr>
          <w:p w14:paraId="653003D2" w14:textId="77777777" w:rsidR="006B34A8" w:rsidRPr="006B34A8" w:rsidRDefault="006B34A8" w:rsidP="00603157">
            <w:pPr>
              <w:spacing w:before="0" w:after="0"/>
              <w:rPr>
                <w:noProof/>
              </w:rPr>
            </w:pPr>
            <w:r w:rsidRPr="006B34A8">
              <w:rPr>
                <w:noProof/>
              </w:rPr>
              <w:t>Non-governmental organisations</w:t>
            </w:r>
          </w:p>
        </w:tc>
        <w:tc>
          <w:tcPr>
            <w:tcW w:w="1896" w:type="dxa"/>
            <w:vAlign w:val="center"/>
          </w:tcPr>
          <w:p w14:paraId="7E0F7B68" w14:textId="77777777" w:rsidR="006B34A8" w:rsidRPr="006B34A8" w:rsidRDefault="006B34A8" w:rsidP="00603157">
            <w:pPr>
              <w:spacing w:before="0" w:after="0"/>
              <w:rPr>
                <w:noProof/>
              </w:rPr>
            </w:pPr>
            <w:r w:rsidRPr="006B34A8">
              <w:rPr>
                <w:noProof/>
              </w:rPr>
              <w:t>Germany</w:t>
            </w:r>
          </w:p>
        </w:tc>
        <w:tc>
          <w:tcPr>
            <w:tcW w:w="3402" w:type="dxa"/>
            <w:vAlign w:val="center"/>
          </w:tcPr>
          <w:p w14:paraId="32FE491B" w14:textId="77777777" w:rsidR="006B34A8" w:rsidRPr="006B34A8" w:rsidRDefault="006B34A8" w:rsidP="00603157">
            <w:pPr>
              <w:spacing w:before="0" w:after="0"/>
              <w:rPr>
                <w:noProof/>
              </w:rPr>
            </w:pPr>
            <w:r w:rsidRPr="006B34A8">
              <w:rPr>
                <w:noProof/>
              </w:rPr>
              <w:t>Simplification and accessibility of EU funding for civil society and non-profits</w:t>
            </w:r>
          </w:p>
        </w:tc>
      </w:tr>
      <w:tr w:rsidR="006B34A8" w:rsidRPr="006B34A8" w14:paraId="709D4128" w14:textId="77777777" w:rsidTr="00603157">
        <w:tc>
          <w:tcPr>
            <w:tcW w:w="1247" w:type="dxa"/>
            <w:vAlign w:val="center"/>
          </w:tcPr>
          <w:p w14:paraId="2D914276" w14:textId="77777777" w:rsidR="006B34A8" w:rsidRPr="006B34A8" w:rsidRDefault="006B34A8" w:rsidP="00603157">
            <w:pPr>
              <w:spacing w:before="0" w:after="0"/>
              <w:rPr>
                <w:noProof/>
              </w:rPr>
            </w:pPr>
            <w:r w:rsidRPr="006B34A8">
              <w:rPr>
                <w:noProof/>
              </w:rPr>
              <w:t>#6</w:t>
            </w:r>
          </w:p>
        </w:tc>
        <w:tc>
          <w:tcPr>
            <w:tcW w:w="1247" w:type="dxa"/>
            <w:vAlign w:val="center"/>
          </w:tcPr>
          <w:p w14:paraId="38AF8375" w14:textId="77777777" w:rsidR="006B34A8" w:rsidRPr="006B34A8" w:rsidRDefault="006B34A8" w:rsidP="00603157">
            <w:pPr>
              <w:spacing w:before="0" w:after="0"/>
              <w:rPr>
                <w:noProof/>
              </w:rPr>
            </w:pPr>
            <w:r w:rsidRPr="006B34A8">
              <w:rPr>
                <w:noProof/>
              </w:rPr>
              <w:t>8</w:t>
            </w:r>
          </w:p>
        </w:tc>
        <w:tc>
          <w:tcPr>
            <w:tcW w:w="1701" w:type="dxa"/>
            <w:vAlign w:val="center"/>
          </w:tcPr>
          <w:p w14:paraId="4052EA22" w14:textId="77777777" w:rsidR="006B34A8" w:rsidRPr="006B34A8" w:rsidRDefault="006B34A8" w:rsidP="00603157">
            <w:pPr>
              <w:spacing w:before="0" w:after="0"/>
              <w:rPr>
                <w:noProof/>
              </w:rPr>
            </w:pPr>
            <w:r w:rsidRPr="006B34A8">
              <w:rPr>
                <w:noProof/>
              </w:rPr>
              <w:t>Academic/Research Institutions</w:t>
            </w:r>
          </w:p>
        </w:tc>
        <w:tc>
          <w:tcPr>
            <w:tcW w:w="1896" w:type="dxa"/>
            <w:vAlign w:val="center"/>
          </w:tcPr>
          <w:p w14:paraId="47ECF0E5" w14:textId="77777777" w:rsidR="006B34A8" w:rsidRPr="006B34A8" w:rsidRDefault="006B34A8" w:rsidP="00603157">
            <w:pPr>
              <w:spacing w:before="0" w:after="0"/>
              <w:rPr>
                <w:noProof/>
              </w:rPr>
            </w:pPr>
            <w:r w:rsidRPr="006B34A8">
              <w:rPr>
                <w:noProof/>
              </w:rPr>
              <w:t>Germany</w:t>
            </w:r>
          </w:p>
        </w:tc>
        <w:tc>
          <w:tcPr>
            <w:tcW w:w="3402" w:type="dxa"/>
            <w:vAlign w:val="center"/>
          </w:tcPr>
          <w:p w14:paraId="67E25329" w14:textId="77777777" w:rsidR="006B34A8" w:rsidRPr="006B34A8" w:rsidRDefault="006B34A8" w:rsidP="00603157">
            <w:pPr>
              <w:spacing w:before="0" w:after="0"/>
              <w:rPr>
                <w:noProof/>
              </w:rPr>
            </w:pPr>
            <w:r w:rsidRPr="006B34A8">
              <w:rPr>
                <w:noProof/>
              </w:rPr>
              <w:t>Increased funding for fundamental science</w:t>
            </w:r>
          </w:p>
        </w:tc>
      </w:tr>
      <w:tr w:rsidR="006B34A8" w:rsidRPr="006B34A8" w14:paraId="3C2E1015" w14:textId="77777777" w:rsidTr="00603157">
        <w:tc>
          <w:tcPr>
            <w:tcW w:w="1247" w:type="dxa"/>
            <w:vAlign w:val="center"/>
          </w:tcPr>
          <w:p w14:paraId="5BD97FA2" w14:textId="77777777" w:rsidR="006B34A8" w:rsidRPr="006B34A8" w:rsidRDefault="006B34A8" w:rsidP="00603157">
            <w:pPr>
              <w:spacing w:before="0" w:after="0"/>
              <w:rPr>
                <w:noProof/>
              </w:rPr>
            </w:pPr>
            <w:r w:rsidRPr="006B34A8">
              <w:rPr>
                <w:noProof/>
              </w:rPr>
              <w:t>#7</w:t>
            </w:r>
          </w:p>
        </w:tc>
        <w:tc>
          <w:tcPr>
            <w:tcW w:w="1247" w:type="dxa"/>
            <w:vAlign w:val="center"/>
          </w:tcPr>
          <w:p w14:paraId="42025D77" w14:textId="77777777" w:rsidR="006B34A8" w:rsidRPr="006B34A8" w:rsidRDefault="006B34A8" w:rsidP="00603157">
            <w:pPr>
              <w:spacing w:before="0" w:after="0"/>
              <w:rPr>
                <w:noProof/>
              </w:rPr>
            </w:pPr>
            <w:r w:rsidRPr="006B34A8">
              <w:rPr>
                <w:noProof/>
              </w:rPr>
              <w:t>7</w:t>
            </w:r>
          </w:p>
        </w:tc>
        <w:tc>
          <w:tcPr>
            <w:tcW w:w="1701" w:type="dxa"/>
            <w:vAlign w:val="center"/>
          </w:tcPr>
          <w:p w14:paraId="6FC8827B" w14:textId="77777777" w:rsidR="006B34A8" w:rsidRPr="006B34A8" w:rsidRDefault="006B34A8" w:rsidP="00603157">
            <w:pPr>
              <w:spacing w:before="0" w:after="0"/>
              <w:rPr>
                <w:noProof/>
              </w:rPr>
            </w:pPr>
            <w:r w:rsidRPr="006B34A8">
              <w:rPr>
                <w:noProof/>
              </w:rPr>
              <w:t>Academic/Research Institution (aviation)</w:t>
            </w:r>
          </w:p>
        </w:tc>
        <w:tc>
          <w:tcPr>
            <w:tcW w:w="1896" w:type="dxa"/>
            <w:vAlign w:val="center"/>
          </w:tcPr>
          <w:p w14:paraId="7A42AA3B" w14:textId="77777777" w:rsidR="006B34A8" w:rsidRPr="006B34A8" w:rsidRDefault="006B34A8" w:rsidP="00603157">
            <w:pPr>
              <w:spacing w:before="0" w:after="0"/>
              <w:rPr>
                <w:noProof/>
              </w:rPr>
            </w:pPr>
            <w:r w:rsidRPr="006B34A8">
              <w:rPr>
                <w:noProof/>
              </w:rPr>
              <w:t>Belgium, France, Germany, Netherlands, Romania</w:t>
            </w:r>
          </w:p>
        </w:tc>
        <w:tc>
          <w:tcPr>
            <w:tcW w:w="3402" w:type="dxa"/>
            <w:vAlign w:val="center"/>
          </w:tcPr>
          <w:p w14:paraId="6A899BE2" w14:textId="77777777" w:rsidR="006B34A8" w:rsidRPr="006B34A8" w:rsidRDefault="006B34A8" w:rsidP="00603157">
            <w:pPr>
              <w:spacing w:before="0" w:after="0"/>
              <w:rPr>
                <w:noProof/>
              </w:rPr>
            </w:pPr>
            <w:r w:rsidRPr="006B34A8">
              <w:rPr>
                <w:noProof/>
              </w:rPr>
              <w:t>Strategic importance of aviation for European leadership and comprehensive support</w:t>
            </w:r>
          </w:p>
        </w:tc>
      </w:tr>
      <w:tr w:rsidR="006B34A8" w:rsidRPr="006B34A8" w14:paraId="42C754BC" w14:textId="77777777" w:rsidTr="00603157">
        <w:tc>
          <w:tcPr>
            <w:tcW w:w="1247" w:type="dxa"/>
            <w:vAlign w:val="center"/>
          </w:tcPr>
          <w:p w14:paraId="4E2BCD72" w14:textId="77777777" w:rsidR="006B34A8" w:rsidRPr="006B34A8" w:rsidRDefault="006B34A8" w:rsidP="00603157">
            <w:pPr>
              <w:spacing w:before="0" w:after="0"/>
              <w:rPr>
                <w:noProof/>
              </w:rPr>
            </w:pPr>
            <w:r w:rsidRPr="006B34A8">
              <w:rPr>
                <w:noProof/>
              </w:rPr>
              <w:t>#8</w:t>
            </w:r>
          </w:p>
        </w:tc>
        <w:tc>
          <w:tcPr>
            <w:tcW w:w="1247" w:type="dxa"/>
            <w:vAlign w:val="center"/>
          </w:tcPr>
          <w:p w14:paraId="017563C3" w14:textId="77777777" w:rsidR="006B34A8" w:rsidRPr="006B34A8" w:rsidRDefault="006B34A8" w:rsidP="00603157">
            <w:pPr>
              <w:spacing w:before="0" w:after="0"/>
              <w:rPr>
                <w:noProof/>
              </w:rPr>
            </w:pPr>
            <w:r w:rsidRPr="006B34A8">
              <w:rPr>
                <w:noProof/>
              </w:rPr>
              <w:t>5</w:t>
            </w:r>
          </w:p>
        </w:tc>
        <w:tc>
          <w:tcPr>
            <w:tcW w:w="1701" w:type="dxa"/>
            <w:vAlign w:val="center"/>
          </w:tcPr>
          <w:p w14:paraId="0F80DF0C" w14:textId="77777777" w:rsidR="006B34A8" w:rsidRPr="006B34A8" w:rsidRDefault="006B34A8" w:rsidP="00603157">
            <w:pPr>
              <w:spacing w:before="0" w:after="0"/>
              <w:rPr>
                <w:noProof/>
              </w:rPr>
            </w:pPr>
            <w:r w:rsidRPr="006B34A8">
              <w:rPr>
                <w:noProof/>
              </w:rPr>
              <w:t>Academic/Research Institution</w:t>
            </w:r>
          </w:p>
        </w:tc>
        <w:tc>
          <w:tcPr>
            <w:tcW w:w="1896" w:type="dxa"/>
            <w:vAlign w:val="center"/>
          </w:tcPr>
          <w:p w14:paraId="5DF99378" w14:textId="77777777" w:rsidR="006B34A8" w:rsidRPr="006B34A8" w:rsidRDefault="006B34A8" w:rsidP="00603157">
            <w:pPr>
              <w:spacing w:before="0" w:after="0"/>
              <w:rPr>
                <w:noProof/>
              </w:rPr>
            </w:pPr>
            <w:r w:rsidRPr="006B34A8">
              <w:rPr>
                <w:noProof/>
              </w:rPr>
              <w:t>Ireland</w:t>
            </w:r>
          </w:p>
        </w:tc>
        <w:tc>
          <w:tcPr>
            <w:tcW w:w="3402" w:type="dxa"/>
            <w:vAlign w:val="center"/>
          </w:tcPr>
          <w:p w14:paraId="4A9B4C34" w14:textId="77777777" w:rsidR="006B34A8" w:rsidRPr="006B34A8" w:rsidRDefault="006B34A8" w:rsidP="00603157">
            <w:pPr>
              <w:spacing w:before="0" w:after="0"/>
              <w:rPr>
                <w:noProof/>
              </w:rPr>
            </w:pPr>
            <w:r w:rsidRPr="006B34A8">
              <w:rPr>
                <w:noProof/>
              </w:rPr>
              <w:t>Enhanced investments in research and technology infrastructures</w:t>
            </w:r>
          </w:p>
        </w:tc>
      </w:tr>
      <w:tr w:rsidR="006B34A8" w:rsidRPr="006B34A8" w14:paraId="19ABB3C0" w14:textId="77777777" w:rsidTr="00603157">
        <w:tc>
          <w:tcPr>
            <w:tcW w:w="1247" w:type="dxa"/>
            <w:vAlign w:val="center"/>
          </w:tcPr>
          <w:p w14:paraId="740A9513" w14:textId="77777777" w:rsidR="006B34A8" w:rsidRPr="006B34A8" w:rsidRDefault="006B34A8" w:rsidP="00603157">
            <w:pPr>
              <w:spacing w:before="0" w:after="0"/>
              <w:rPr>
                <w:noProof/>
              </w:rPr>
            </w:pPr>
            <w:r w:rsidRPr="006B34A8">
              <w:rPr>
                <w:noProof/>
              </w:rPr>
              <w:t>#9</w:t>
            </w:r>
          </w:p>
        </w:tc>
        <w:tc>
          <w:tcPr>
            <w:tcW w:w="1247" w:type="dxa"/>
            <w:vAlign w:val="center"/>
          </w:tcPr>
          <w:p w14:paraId="5505DF81" w14:textId="77777777" w:rsidR="006B34A8" w:rsidRPr="006B34A8" w:rsidRDefault="006B34A8" w:rsidP="00603157">
            <w:pPr>
              <w:spacing w:before="0" w:after="0"/>
              <w:rPr>
                <w:noProof/>
              </w:rPr>
            </w:pPr>
            <w:r w:rsidRPr="006B34A8">
              <w:rPr>
                <w:noProof/>
              </w:rPr>
              <w:t>5</w:t>
            </w:r>
          </w:p>
        </w:tc>
        <w:tc>
          <w:tcPr>
            <w:tcW w:w="1701" w:type="dxa"/>
            <w:vAlign w:val="center"/>
          </w:tcPr>
          <w:p w14:paraId="5D5C3D64" w14:textId="77777777" w:rsidR="006B34A8" w:rsidRPr="006B34A8" w:rsidRDefault="006B34A8" w:rsidP="00603157">
            <w:pPr>
              <w:spacing w:before="0" w:after="0"/>
              <w:rPr>
                <w:noProof/>
              </w:rPr>
            </w:pPr>
            <w:r w:rsidRPr="006B34A8">
              <w:rPr>
                <w:noProof/>
              </w:rPr>
              <w:t>Non-EU Citizens</w:t>
            </w:r>
          </w:p>
        </w:tc>
        <w:tc>
          <w:tcPr>
            <w:tcW w:w="1896" w:type="dxa"/>
            <w:vAlign w:val="center"/>
          </w:tcPr>
          <w:p w14:paraId="36AC03E3" w14:textId="77777777" w:rsidR="006B34A8" w:rsidRPr="006B34A8" w:rsidRDefault="006B34A8" w:rsidP="00603157">
            <w:pPr>
              <w:spacing w:before="0" w:after="0"/>
              <w:rPr>
                <w:noProof/>
              </w:rPr>
            </w:pPr>
            <w:r w:rsidRPr="006B34A8">
              <w:rPr>
                <w:noProof/>
              </w:rPr>
              <w:t>Norway</w:t>
            </w:r>
          </w:p>
        </w:tc>
        <w:tc>
          <w:tcPr>
            <w:tcW w:w="3402" w:type="dxa"/>
            <w:vAlign w:val="center"/>
          </w:tcPr>
          <w:p w14:paraId="001DFE26" w14:textId="77777777" w:rsidR="006B34A8" w:rsidRPr="006B34A8" w:rsidRDefault="006B34A8" w:rsidP="00603157">
            <w:pPr>
              <w:spacing w:before="0" w:after="0"/>
              <w:rPr>
                <w:noProof/>
              </w:rPr>
            </w:pPr>
            <w:r w:rsidRPr="006B34A8">
              <w:rPr>
                <w:noProof/>
              </w:rPr>
              <w:t>Independence of Erasmus+</w:t>
            </w:r>
          </w:p>
        </w:tc>
      </w:tr>
      <w:tr w:rsidR="006B34A8" w:rsidRPr="006B34A8" w14:paraId="347088CE" w14:textId="77777777" w:rsidTr="00603157">
        <w:tc>
          <w:tcPr>
            <w:tcW w:w="1247" w:type="dxa"/>
            <w:vAlign w:val="center"/>
          </w:tcPr>
          <w:p w14:paraId="6B1B8C37" w14:textId="77777777" w:rsidR="006B34A8" w:rsidRPr="006B34A8" w:rsidRDefault="006B34A8" w:rsidP="00603157">
            <w:pPr>
              <w:spacing w:before="0" w:after="0"/>
              <w:rPr>
                <w:noProof/>
              </w:rPr>
            </w:pPr>
            <w:r w:rsidRPr="006B34A8">
              <w:rPr>
                <w:noProof/>
              </w:rPr>
              <w:t>#10</w:t>
            </w:r>
          </w:p>
        </w:tc>
        <w:tc>
          <w:tcPr>
            <w:tcW w:w="1247" w:type="dxa"/>
            <w:vAlign w:val="center"/>
          </w:tcPr>
          <w:p w14:paraId="1ADEFC6C" w14:textId="77777777" w:rsidR="006B34A8" w:rsidRPr="006B34A8" w:rsidRDefault="006B34A8" w:rsidP="00603157">
            <w:pPr>
              <w:spacing w:before="0" w:after="0"/>
              <w:rPr>
                <w:noProof/>
              </w:rPr>
            </w:pPr>
            <w:r w:rsidRPr="006B34A8">
              <w:rPr>
                <w:noProof/>
              </w:rPr>
              <w:t>5</w:t>
            </w:r>
          </w:p>
        </w:tc>
        <w:tc>
          <w:tcPr>
            <w:tcW w:w="1701" w:type="dxa"/>
            <w:vAlign w:val="center"/>
          </w:tcPr>
          <w:p w14:paraId="77866A36" w14:textId="77777777" w:rsidR="006B34A8" w:rsidRPr="006B34A8" w:rsidRDefault="006B34A8" w:rsidP="00603157">
            <w:pPr>
              <w:spacing w:before="0" w:after="0"/>
              <w:rPr>
                <w:noProof/>
              </w:rPr>
            </w:pPr>
            <w:r w:rsidRPr="006B34A8">
              <w:rPr>
                <w:noProof/>
              </w:rPr>
              <w:t>Local public authorities</w:t>
            </w:r>
          </w:p>
        </w:tc>
        <w:tc>
          <w:tcPr>
            <w:tcW w:w="1896" w:type="dxa"/>
            <w:vAlign w:val="center"/>
          </w:tcPr>
          <w:p w14:paraId="7AA5958C" w14:textId="77777777" w:rsidR="006B34A8" w:rsidRPr="006B34A8" w:rsidRDefault="006B34A8" w:rsidP="00603157">
            <w:pPr>
              <w:spacing w:before="0" w:after="0"/>
              <w:rPr>
                <w:noProof/>
              </w:rPr>
            </w:pPr>
            <w:r w:rsidRPr="006B34A8">
              <w:rPr>
                <w:noProof/>
              </w:rPr>
              <w:t>Germany</w:t>
            </w:r>
          </w:p>
        </w:tc>
        <w:tc>
          <w:tcPr>
            <w:tcW w:w="3402" w:type="dxa"/>
            <w:vAlign w:val="center"/>
          </w:tcPr>
          <w:p w14:paraId="3D67067C" w14:textId="77777777" w:rsidR="006B34A8" w:rsidRPr="006B34A8" w:rsidRDefault="006B34A8" w:rsidP="00603157">
            <w:pPr>
              <w:spacing w:before="0" w:after="0"/>
              <w:rPr>
                <w:noProof/>
              </w:rPr>
            </w:pPr>
            <w:r w:rsidRPr="006B34A8">
              <w:rPr>
                <w:noProof/>
              </w:rPr>
              <w:t>Simplification of state aid rules and digital transformation of grant processes</w:t>
            </w:r>
          </w:p>
        </w:tc>
      </w:tr>
      <w:tr w:rsidR="006B34A8" w:rsidRPr="006B34A8" w14:paraId="5680A105" w14:textId="77777777" w:rsidTr="00603157">
        <w:tc>
          <w:tcPr>
            <w:tcW w:w="1247" w:type="dxa"/>
            <w:vAlign w:val="center"/>
          </w:tcPr>
          <w:p w14:paraId="5C3D24CB" w14:textId="77777777" w:rsidR="006B34A8" w:rsidRPr="006B34A8" w:rsidRDefault="006B34A8" w:rsidP="00603157">
            <w:pPr>
              <w:spacing w:before="0" w:after="0"/>
              <w:rPr>
                <w:noProof/>
              </w:rPr>
            </w:pPr>
            <w:r w:rsidRPr="006B34A8">
              <w:rPr>
                <w:noProof/>
              </w:rPr>
              <w:t>#11</w:t>
            </w:r>
          </w:p>
        </w:tc>
        <w:tc>
          <w:tcPr>
            <w:tcW w:w="1247" w:type="dxa"/>
            <w:vAlign w:val="center"/>
          </w:tcPr>
          <w:p w14:paraId="30B97768" w14:textId="77777777" w:rsidR="006B34A8" w:rsidRPr="006B34A8" w:rsidRDefault="006B34A8" w:rsidP="00603157">
            <w:pPr>
              <w:spacing w:before="0" w:after="0"/>
              <w:rPr>
                <w:noProof/>
              </w:rPr>
            </w:pPr>
            <w:r w:rsidRPr="006B34A8">
              <w:rPr>
                <w:noProof/>
              </w:rPr>
              <w:t>5</w:t>
            </w:r>
          </w:p>
        </w:tc>
        <w:tc>
          <w:tcPr>
            <w:tcW w:w="1701" w:type="dxa"/>
            <w:vAlign w:val="center"/>
          </w:tcPr>
          <w:p w14:paraId="5626ADB1" w14:textId="77777777" w:rsidR="006B34A8" w:rsidRPr="006B34A8" w:rsidRDefault="006B34A8" w:rsidP="00603157">
            <w:pPr>
              <w:spacing w:before="0" w:after="0"/>
              <w:rPr>
                <w:noProof/>
              </w:rPr>
            </w:pPr>
            <w:r w:rsidRPr="006B34A8">
              <w:rPr>
                <w:noProof/>
              </w:rPr>
              <w:t>Regional public authorities</w:t>
            </w:r>
          </w:p>
        </w:tc>
        <w:tc>
          <w:tcPr>
            <w:tcW w:w="1896" w:type="dxa"/>
            <w:vAlign w:val="center"/>
          </w:tcPr>
          <w:p w14:paraId="24E24222" w14:textId="77777777" w:rsidR="006B34A8" w:rsidRPr="006B34A8" w:rsidRDefault="006B34A8" w:rsidP="00603157">
            <w:pPr>
              <w:spacing w:before="0" w:after="0"/>
              <w:rPr>
                <w:noProof/>
              </w:rPr>
            </w:pPr>
            <w:r w:rsidRPr="006B34A8">
              <w:rPr>
                <w:noProof/>
              </w:rPr>
              <w:t>Netherlands</w:t>
            </w:r>
          </w:p>
        </w:tc>
        <w:tc>
          <w:tcPr>
            <w:tcW w:w="3402" w:type="dxa"/>
            <w:vAlign w:val="center"/>
          </w:tcPr>
          <w:p w14:paraId="170FDC3C" w14:textId="77777777" w:rsidR="006B34A8" w:rsidRPr="006B34A8" w:rsidRDefault="006B34A8" w:rsidP="00603157">
            <w:pPr>
              <w:spacing w:before="0" w:after="0"/>
              <w:rPr>
                <w:noProof/>
              </w:rPr>
            </w:pPr>
            <w:r w:rsidRPr="006B34A8">
              <w:rPr>
                <w:noProof/>
              </w:rPr>
              <w:t>Flexible funding and balanced performance criteria for regional innovation</w:t>
            </w:r>
          </w:p>
        </w:tc>
      </w:tr>
      <w:tr w:rsidR="006B34A8" w:rsidRPr="006B34A8" w14:paraId="02239F97" w14:textId="77777777" w:rsidTr="00603157">
        <w:tc>
          <w:tcPr>
            <w:tcW w:w="1247" w:type="dxa"/>
            <w:vAlign w:val="center"/>
          </w:tcPr>
          <w:p w14:paraId="1FAE11A3" w14:textId="77777777" w:rsidR="006B34A8" w:rsidRPr="006B34A8" w:rsidRDefault="006B34A8" w:rsidP="00603157">
            <w:pPr>
              <w:spacing w:before="0" w:after="0"/>
              <w:rPr>
                <w:noProof/>
              </w:rPr>
            </w:pPr>
            <w:r w:rsidRPr="006B34A8">
              <w:rPr>
                <w:noProof/>
              </w:rPr>
              <w:t>#12</w:t>
            </w:r>
          </w:p>
        </w:tc>
        <w:tc>
          <w:tcPr>
            <w:tcW w:w="1247" w:type="dxa"/>
            <w:vAlign w:val="center"/>
          </w:tcPr>
          <w:p w14:paraId="73E7655D" w14:textId="77777777" w:rsidR="006B34A8" w:rsidRPr="006B34A8" w:rsidRDefault="006B34A8" w:rsidP="00603157">
            <w:pPr>
              <w:spacing w:before="0" w:after="0"/>
              <w:rPr>
                <w:noProof/>
              </w:rPr>
            </w:pPr>
            <w:r w:rsidRPr="006B34A8">
              <w:rPr>
                <w:noProof/>
              </w:rPr>
              <w:t>5</w:t>
            </w:r>
          </w:p>
        </w:tc>
        <w:tc>
          <w:tcPr>
            <w:tcW w:w="1701" w:type="dxa"/>
            <w:vAlign w:val="center"/>
          </w:tcPr>
          <w:p w14:paraId="0F28A81C" w14:textId="77777777" w:rsidR="006B34A8" w:rsidRPr="006B34A8" w:rsidRDefault="006B34A8" w:rsidP="00603157">
            <w:pPr>
              <w:spacing w:before="0" w:after="0"/>
              <w:rPr>
                <w:noProof/>
              </w:rPr>
            </w:pPr>
            <w:r w:rsidRPr="006B34A8">
              <w:rPr>
                <w:noProof/>
              </w:rPr>
              <w:t>Businesses (aviation)</w:t>
            </w:r>
          </w:p>
        </w:tc>
        <w:tc>
          <w:tcPr>
            <w:tcW w:w="1896" w:type="dxa"/>
            <w:vAlign w:val="center"/>
          </w:tcPr>
          <w:p w14:paraId="25C5EF73" w14:textId="77777777" w:rsidR="006B34A8" w:rsidRPr="006B34A8" w:rsidRDefault="006B34A8" w:rsidP="00603157">
            <w:pPr>
              <w:spacing w:before="0" w:after="0"/>
              <w:rPr>
                <w:noProof/>
              </w:rPr>
            </w:pPr>
            <w:r w:rsidRPr="006B34A8">
              <w:rPr>
                <w:noProof/>
              </w:rPr>
              <w:t>Belgium, Germany, Italy</w:t>
            </w:r>
          </w:p>
        </w:tc>
        <w:tc>
          <w:tcPr>
            <w:tcW w:w="3402" w:type="dxa"/>
            <w:vAlign w:val="center"/>
          </w:tcPr>
          <w:p w14:paraId="357FC7E0" w14:textId="77777777" w:rsidR="006B34A8" w:rsidRPr="006B34A8" w:rsidRDefault="006B34A8" w:rsidP="00603157">
            <w:pPr>
              <w:spacing w:before="0" w:after="0"/>
              <w:rPr>
                <w:noProof/>
              </w:rPr>
            </w:pPr>
            <w:r w:rsidRPr="006B34A8">
              <w:rPr>
                <w:noProof/>
              </w:rPr>
              <w:t>Strategic importance of airports for economic growth and climate goals</w:t>
            </w:r>
          </w:p>
        </w:tc>
      </w:tr>
    </w:tbl>
    <w:p w14:paraId="0161E1F4" w14:textId="6BDC45F4" w:rsidR="2A1AD167" w:rsidRPr="006B34A8" w:rsidRDefault="2A1AD167" w:rsidP="00603157">
      <w:pPr>
        <w:spacing w:before="0" w:after="0"/>
        <w:rPr>
          <w:rFonts w:eastAsia="Times New Roman"/>
          <w:noProof/>
        </w:rPr>
      </w:pPr>
    </w:p>
    <w:p w14:paraId="01668846" w14:textId="77777777" w:rsidR="006B34A8" w:rsidRPr="006B34A8" w:rsidRDefault="006B34A8" w:rsidP="00603157">
      <w:pPr>
        <w:rPr>
          <w:rFonts w:eastAsia="Times New Roman"/>
          <w:b/>
          <w:bCs/>
          <w:noProof/>
        </w:rPr>
      </w:pPr>
    </w:p>
    <w:p w14:paraId="5F6FFA51" w14:textId="2F0C2EA7" w:rsidR="2A1AD167" w:rsidRDefault="5473F895" w:rsidP="008C51EB">
      <w:pPr>
        <w:pStyle w:val="ListParagraph"/>
        <w:numPr>
          <w:ilvl w:val="0"/>
          <w:numId w:val="26"/>
        </w:numPr>
        <w:rPr>
          <w:rFonts w:eastAsia="Times New Roman"/>
          <w:b/>
          <w:bCs/>
          <w:noProof/>
        </w:rPr>
      </w:pPr>
      <w:r w:rsidRPr="58BF9D30">
        <w:rPr>
          <w:rFonts w:eastAsia="Times New Roman"/>
          <w:b/>
          <w:bCs/>
          <w:noProof/>
        </w:rPr>
        <w:t>Analysis of public consultation results</w:t>
      </w:r>
    </w:p>
    <w:p w14:paraId="181ED87C" w14:textId="215F8B7A" w:rsidR="00206B7C" w:rsidRPr="00206B7C" w:rsidRDefault="00773550" w:rsidP="00603157">
      <w:pPr>
        <w:rPr>
          <w:noProof/>
        </w:rPr>
      </w:pPr>
      <w:r w:rsidRPr="00773550">
        <w:rPr>
          <w:noProof/>
        </w:rPr>
        <w:t>The following sections present the analysis of key findings from the public consultation. The analysis combines both quantitative and qualitative findings, covering responses to closed and open-ended questions as well as submitted position papers. It highlights key trends, patterns, and divergences across stakeholder groups, providing an overview of stakeholder views most relevant to the impact assessment.</w:t>
      </w:r>
    </w:p>
    <w:p w14:paraId="417590B2" w14:textId="33740CE0" w:rsidR="2A1AD167" w:rsidRDefault="5473F895" w:rsidP="008C51EB">
      <w:pPr>
        <w:pStyle w:val="ListParagraph"/>
        <w:numPr>
          <w:ilvl w:val="1"/>
          <w:numId w:val="26"/>
        </w:numPr>
        <w:ind w:left="850" w:hanging="493"/>
        <w:rPr>
          <w:rFonts w:eastAsia="Times New Roman"/>
          <w:b/>
          <w:bCs/>
          <w:noProof/>
        </w:rPr>
      </w:pPr>
      <w:r w:rsidRPr="58BF9D30">
        <w:rPr>
          <w:rFonts w:eastAsia="Times New Roman"/>
          <w:b/>
          <w:bCs/>
          <w:noProof/>
        </w:rPr>
        <w:t>Background of respondents</w:t>
      </w:r>
    </w:p>
    <w:p w14:paraId="0BFAE494" w14:textId="77777777" w:rsidR="007F4255" w:rsidRPr="00C22708" w:rsidRDefault="007F4255" w:rsidP="00603157">
      <w:pPr>
        <w:rPr>
          <w:noProof/>
        </w:rPr>
      </w:pPr>
      <w:r w:rsidRPr="00C22708">
        <w:rPr>
          <w:noProof/>
        </w:rPr>
        <w:t xml:space="preserve">The public consultation was answered predominantly by </w:t>
      </w:r>
      <w:r w:rsidRPr="00C22708">
        <w:rPr>
          <w:b/>
          <w:noProof/>
        </w:rPr>
        <w:t xml:space="preserve">EU citizens </w:t>
      </w:r>
      <w:r w:rsidRPr="00C22708">
        <w:rPr>
          <w:noProof/>
        </w:rPr>
        <w:t xml:space="preserve">(26%, 520 out of 2 034) and academic/research institutions (22%, 450) (see figure below). </w:t>
      </w:r>
      <w:r w:rsidRPr="00C22708">
        <w:rPr>
          <w:b/>
          <w:noProof/>
        </w:rPr>
        <w:t>Public authorities</w:t>
      </w:r>
      <w:r w:rsidRPr="00C22708">
        <w:rPr>
          <w:noProof/>
        </w:rPr>
        <w:t xml:space="preserve"> represented 13% (259) of the total responses. </w:t>
      </w:r>
      <w:r w:rsidRPr="00C22708">
        <w:rPr>
          <w:b/>
          <w:noProof/>
        </w:rPr>
        <w:t>Companies and businesses</w:t>
      </w:r>
      <w:r w:rsidRPr="00C22708">
        <w:rPr>
          <w:noProof/>
        </w:rPr>
        <w:t xml:space="preserve"> contributed 11% (218), of which 105 were from SMEs. </w:t>
      </w:r>
      <w:r w:rsidRPr="00C22708">
        <w:rPr>
          <w:b/>
          <w:bCs/>
          <w:noProof/>
        </w:rPr>
        <w:t>Non-governmental organisations</w:t>
      </w:r>
      <w:r w:rsidRPr="00C22708">
        <w:rPr>
          <w:noProof/>
        </w:rPr>
        <w:t xml:space="preserve"> accounted for 10% (204) of the total respondents. ’Other’ stakeholder types (7%, 146) primarily encompassed research and academic networks, industry and professional platforms, governmental and public sector alliances and other specialised groups.</w:t>
      </w:r>
    </w:p>
    <w:p w14:paraId="331FC68D" w14:textId="71A10597" w:rsidR="007F4255" w:rsidRPr="00981769" w:rsidRDefault="007F4255" w:rsidP="00603157">
      <w:pPr>
        <w:pStyle w:val="tabletitle"/>
        <w:keepNext/>
        <w:keepLines/>
        <w:spacing w:after="0"/>
        <w:rPr>
          <w:rFonts w:ascii="Times New Roman" w:hAnsi="Times New Roman"/>
          <w:lang w:val="en-GB"/>
        </w:rPr>
      </w:pPr>
      <w:r w:rsidRPr="00981769">
        <w:rPr>
          <w:rFonts w:ascii="Times New Roman" w:hAnsi="Times New Roman"/>
          <w:lang w:val="en-GB"/>
        </w:rPr>
        <w:t xml:space="preserve">Figure </w:t>
      </w:r>
      <w:r w:rsidRPr="00981769">
        <w:rPr>
          <w:rFonts w:ascii="Times New Roman" w:hAnsi="Times New Roman"/>
          <w:lang w:val="en-GB"/>
        </w:rPr>
        <w:fldChar w:fldCharType="begin"/>
      </w:r>
      <w:r w:rsidRPr="00981769">
        <w:rPr>
          <w:rFonts w:ascii="Times New Roman" w:hAnsi="Times New Roman"/>
          <w:lang w:val="en-GB"/>
        </w:rPr>
        <w:instrText xml:space="preserve"> SEQ Figure \* ARABIC </w:instrText>
      </w:r>
      <w:r w:rsidRPr="00981769">
        <w:rPr>
          <w:rFonts w:ascii="Times New Roman" w:hAnsi="Times New Roman"/>
          <w:lang w:val="en-GB"/>
        </w:rPr>
        <w:fldChar w:fldCharType="separate"/>
      </w:r>
      <w:r w:rsidR="007722AE">
        <w:rPr>
          <w:rFonts w:ascii="Times New Roman" w:hAnsi="Times New Roman"/>
          <w:lang w:val="en-GB"/>
        </w:rPr>
        <w:t>1</w:t>
      </w:r>
      <w:r w:rsidRPr="00981769">
        <w:rPr>
          <w:rFonts w:ascii="Times New Roman" w:hAnsi="Times New Roman"/>
          <w:lang w:val="en-GB"/>
        </w:rPr>
        <w:fldChar w:fldCharType="end"/>
      </w:r>
      <w:r w:rsidRPr="00981769">
        <w:rPr>
          <w:rFonts w:ascii="Times New Roman" w:hAnsi="Times New Roman"/>
          <w:lang w:val="en-GB"/>
        </w:rPr>
        <w:t>. Stakeholder types</w:t>
      </w:r>
    </w:p>
    <w:p w14:paraId="6510DF52" w14:textId="77777777" w:rsidR="007F4255" w:rsidRPr="00C22708" w:rsidRDefault="007F4255" w:rsidP="00603157">
      <w:pPr>
        <w:pStyle w:val="tabletitle"/>
        <w:keepNext/>
        <w:keepLines/>
        <w:spacing w:after="0"/>
        <w:jc w:val="left"/>
        <w:rPr>
          <w:lang w:val="en-GB"/>
        </w:rPr>
      </w:pPr>
      <w:r w:rsidRPr="00C22708">
        <w:rPr>
          <w:lang w:val="en-GB" w:eastAsia="en-GB"/>
        </w:rPr>
        <w:drawing>
          <wp:inline distT="0" distB="0" distL="0" distR="0" wp14:anchorId="5F5A94A6" wp14:editId="69A77044">
            <wp:extent cx="5532120" cy="2665562"/>
            <wp:effectExtent l="0" t="0" r="11430" b="1905"/>
            <wp:docPr id="265659655" name="Chart 1">
              <a:extLst xmlns:a="http://schemas.openxmlformats.org/drawingml/2006/main">
                <a:ext uri="{FF2B5EF4-FFF2-40B4-BE49-F238E27FC236}">
                  <a16:creationId xmlns:a16="http://schemas.microsoft.com/office/drawing/2014/main" id="{42F9BDAC-D45E-DB2B-881B-989EF38A06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542D4C" w14:textId="77777777" w:rsidR="007F4255" w:rsidRPr="00C22708" w:rsidRDefault="007F4255" w:rsidP="00603157">
      <w:pPr>
        <w:rPr>
          <w:noProof/>
        </w:rPr>
      </w:pPr>
      <w:r w:rsidRPr="00C22708">
        <w:rPr>
          <w:noProof/>
        </w:rPr>
        <w:t>The public consultation gathered responses</w:t>
      </w:r>
      <w:r w:rsidRPr="00C22708">
        <w:rPr>
          <w:b/>
          <w:noProof/>
        </w:rPr>
        <w:t xml:space="preserve"> predominantly from European countries </w:t>
      </w:r>
      <w:r w:rsidRPr="00C22708">
        <w:rPr>
          <w:noProof/>
        </w:rPr>
        <w:t xml:space="preserve">(95%, 1 932), with Germany leading with the highest number of respondents (354). Belgium followed with 277 respondents, and Italy with 181. </w:t>
      </w:r>
      <w:r w:rsidRPr="00C22708">
        <w:rPr>
          <w:bCs/>
          <w:noProof/>
        </w:rPr>
        <w:t>Participation from</w:t>
      </w:r>
      <w:r w:rsidRPr="00C22708">
        <w:rPr>
          <w:b/>
          <w:noProof/>
        </w:rPr>
        <w:t xml:space="preserve"> non-EU countries </w:t>
      </w:r>
      <w:r w:rsidRPr="00C22708">
        <w:rPr>
          <w:noProof/>
        </w:rPr>
        <w:t>was</w:t>
      </w:r>
      <w:r w:rsidRPr="00C22708">
        <w:rPr>
          <w:b/>
          <w:noProof/>
        </w:rPr>
        <w:t xml:space="preserve"> </w:t>
      </w:r>
      <w:r w:rsidRPr="00C22708">
        <w:rPr>
          <w:bCs/>
          <w:noProof/>
        </w:rPr>
        <w:t>limited</w:t>
      </w:r>
      <w:r w:rsidRPr="00C22708">
        <w:rPr>
          <w:noProof/>
        </w:rPr>
        <w:t>,</w:t>
      </w:r>
      <w:r w:rsidRPr="00C22708">
        <w:rPr>
          <w:b/>
          <w:noProof/>
        </w:rPr>
        <w:t xml:space="preserve"> </w:t>
      </w:r>
      <w:r w:rsidRPr="00C22708">
        <w:rPr>
          <w:bCs/>
          <w:noProof/>
        </w:rPr>
        <w:t xml:space="preserve">with a total of 102 responses – led by the </w:t>
      </w:r>
      <w:r w:rsidRPr="00C22708">
        <w:rPr>
          <w:noProof/>
        </w:rPr>
        <w:t xml:space="preserve">Norway </w:t>
      </w:r>
      <w:r w:rsidRPr="00C22708">
        <w:rPr>
          <w:bCs/>
          <w:noProof/>
        </w:rPr>
        <w:t>(</w:t>
      </w:r>
      <w:r w:rsidRPr="00C22708">
        <w:rPr>
          <w:noProof/>
        </w:rPr>
        <w:t>21</w:t>
      </w:r>
      <w:r w:rsidRPr="00C22708">
        <w:rPr>
          <w:bCs/>
          <w:noProof/>
        </w:rPr>
        <w:t>),</w:t>
      </w:r>
      <w:r w:rsidRPr="00C22708">
        <w:rPr>
          <w:noProof/>
        </w:rPr>
        <w:t xml:space="preserve"> followed by the United Kingdom (20) and Moldova (11).</w:t>
      </w:r>
    </w:p>
    <w:p w14:paraId="0F211FE5" w14:textId="42C5119B" w:rsidR="2A1AD167" w:rsidRDefault="2A1AD167" w:rsidP="00603157">
      <w:pPr>
        <w:spacing w:before="240" w:after="240"/>
        <w:rPr>
          <w:rFonts w:eastAsia="Times New Roman"/>
          <w:noProof/>
        </w:rPr>
      </w:pPr>
    </w:p>
    <w:p w14:paraId="15F1B1E8" w14:textId="5D646D05" w:rsidR="2A1AD167" w:rsidRPr="00A23BE1" w:rsidRDefault="5473F895" w:rsidP="008C51EB">
      <w:pPr>
        <w:pStyle w:val="ListParagraph"/>
        <w:numPr>
          <w:ilvl w:val="1"/>
          <w:numId w:val="26"/>
        </w:numPr>
        <w:rPr>
          <w:rFonts w:eastAsia="Times New Roman"/>
          <w:b/>
          <w:bCs/>
          <w:noProof/>
        </w:rPr>
      </w:pPr>
      <w:r w:rsidRPr="00A23BE1">
        <w:rPr>
          <w:rFonts w:eastAsia="Times New Roman"/>
          <w:b/>
          <w:bCs/>
          <w:noProof/>
        </w:rPr>
        <w:t xml:space="preserve">Respondents’ experience with EU funding </w:t>
      </w:r>
    </w:p>
    <w:p w14:paraId="2FE8D8B6" w14:textId="77777777" w:rsidR="00A23BE1" w:rsidRPr="00C22708" w:rsidRDefault="00A23BE1" w:rsidP="00603157">
      <w:pPr>
        <w:rPr>
          <w:noProof/>
        </w:rPr>
      </w:pPr>
      <w:r w:rsidRPr="00C22708">
        <w:rPr>
          <w:noProof/>
        </w:rPr>
        <w:t xml:space="preserve">The preliminary results of the public consultation indicate that </w:t>
      </w:r>
      <w:r w:rsidRPr="00C22708">
        <w:rPr>
          <w:b/>
          <w:bCs/>
          <w:noProof/>
        </w:rPr>
        <w:t>the majority of respondents are</w:t>
      </w:r>
      <w:r w:rsidRPr="00C22708">
        <w:rPr>
          <w:noProof/>
        </w:rPr>
        <w:t xml:space="preserve"> </w:t>
      </w:r>
      <w:r w:rsidRPr="00C22708">
        <w:rPr>
          <w:b/>
          <w:noProof/>
        </w:rPr>
        <w:t>programme beneficiaries</w:t>
      </w:r>
      <w:r w:rsidRPr="00C22708">
        <w:rPr>
          <w:noProof/>
        </w:rPr>
        <w:t xml:space="preserve">, comprising 56% (1 149) of the total (see figure below). Non-applicants account for 32% (647) of the respondents. A smaller group, 6% (114) of the respondents are unsuccessful applicants. </w:t>
      </w:r>
    </w:p>
    <w:p w14:paraId="12CE830E" w14:textId="1EEE660B" w:rsidR="00A23BE1" w:rsidRPr="00A37F3D" w:rsidRDefault="00A23BE1" w:rsidP="00603157">
      <w:pPr>
        <w:pStyle w:val="tabletitle"/>
        <w:keepNext/>
        <w:keepLines/>
        <w:spacing w:after="0"/>
        <w:rPr>
          <w:rFonts w:ascii="Times New Roman" w:hAnsi="Times New Roman"/>
          <w:lang w:val="en-GB"/>
        </w:rPr>
      </w:pPr>
      <w:r w:rsidRPr="00A37F3D">
        <w:rPr>
          <w:rFonts w:ascii="Times New Roman" w:hAnsi="Times New Roman"/>
          <w:lang w:val="en-GB"/>
        </w:rPr>
        <w:t xml:space="preserve">Figure </w:t>
      </w:r>
      <w:r w:rsidRPr="00A37F3D">
        <w:rPr>
          <w:rFonts w:ascii="Times New Roman" w:hAnsi="Times New Roman"/>
          <w:lang w:val="en-GB"/>
        </w:rPr>
        <w:fldChar w:fldCharType="begin"/>
      </w:r>
      <w:r w:rsidRPr="00A37F3D">
        <w:rPr>
          <w:rFonts w:ascii="Times New Roman" w:hAnsi="Times New Roman"/>
          <w:lang w:val="en-GB"/>
        </w:rPr>
        <w:instrText xml:space="preserve"> SEQ Figure \* ARABIC </w:instrText>
      </w:r>
      <w:r w:rsidRPr="00A37F3D">
        <w:rPr>
          <w:rFonts w:ascii="Times New Roman" w:hAnsi="Times New Roman"/>
          <w:lang w:val="en-GB"/>
        </w:rPr>
        <w:fldChar w:fldCharType="separate"/>
      </w:r>
      <w:r w:rsidR="007722AE">
        <w:rPr>
          <w:rFonts w:ascii="Times New Roman" w:hAnsi="Times New Roman"/>
          <w:lang w:val="en-GB"/>
        </w:rPr>
        <w:t>2</w:t>
      </w:r>
      <w:r w:rsidRPr="00A37F3D">
        <w:rPr>
          <w:rFonts w:ascii="Times New Roman" w:hAnsi="Times New Roman"/>
          <w:lang w:val="en-GB"/>
        </w:rPr>
        <w:fldChar w:fldCharType="end"/>
      </w:r>
      <w:r w:rsidRPr="00A37F3D">
        <w:rPr>
          <w:rFonts w:ascii="Times New Roman" w:hAnsi="Times New Roman"/>
          <w:lang w:val="en-GB"/>
        </w:rPr>
        <w:t>. Respondents’ funding status</w:t>
      </w:r>
    </w:p>
    <w:p w14:paraId="178667C3" w14:textId="77777777" w:rsidR="00A23BE1" w:rsidRPr="00C22708" w:rsidRDefault="00A23BE1" w:rsidP="00603157">
      <w:pPr>
        <w:pStyle w:val="tabletitle"/>
        <w:keepNext/>
        <w:keepLines/>
        <w:spacing w:after="0"/>
        <w:rPr>
          <w:lang w:val="en-GB"/>
        </w:rPr>
      </w:pPr>
      <w:r w:rsidRPr="00C22708">
        <w:rPr>
          <w:lang w:val="en-GB" w:eastAsia="en-GB"/>
        </w:rPr>
        <w:drawing>
          <wp:inline distT="0" distB="0" distL="0" distR="0" wp14:anchorId="015D7CB6" wp14:editId="7A85F1F5">
            <wp:extent cx="5486400" cy="1449237"/>
            <wp:effectExtent l="0" t="0" r="0" b="17780"/>
            <wp:docPr id="1401491252" name="Chart 1">
              <a:extLst xmlns:a="http://schemas.openxmlformats.org/drawingml/2006/main">
                <a:ext uri="{FF2B5EF4-FFF2-40B4-BE49-F238E27FC236}">
                  <a16:creationId xmlns:a16="http://schemas.microsoft.com/office/drawing/2014/main" id="{574191EC-6846-0A20-5FE3-8C963979E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4755BF" w14:textId="77777777" w:rsidR="00A23BE1" w:rsidRPr="00A23BE1" w:rsidRDefault="00A23BE1" w:rsidP="00603157">
      <w:pPr>
        <w:pStyle w:val="Figure"/>
        <w:rPr>
          <w:rFonts w:ascii="Times New Roman" w:hAnsi="Times New Roman"/>
          <w:noProof/>
        </w:rPr>
      </w:pPr>
      <w:r w:rsidRPr="00A23BE1">
        <w:rPr>
          <w:rFonts w:ascii="Times New Roman" w:hAnsi="Times New Roman"/>
          <w:noProof/>
        </w:rPr>
        <w:t>Note: Respondents’ funding status is based on their answers to questions 2 (whether they applied for EU funding) and question 4 (whether their application was successful).</w:t>
      </w:r>
    </w:p>
    <w:p w14:paraId="3DB132D0" w14:textId="77777777" w:rsidR="00A23BE1" w:rsidRPr="00C22708" w:rsidRDefault="00A23BE1" w:rsidP="00603157">
      <w:pPr>
        <w:rPr>
          <w:noProof/>
        </w:rPr>
      </w:pPr>
      <w:r w:rsidRPr="00C22708">
        <w:rPr>
          <w:noProof/>
        </w:rPr>
        <w:t xml:space="preserve">When asked which programmes they had applied to since 2021, respondents most frequently reported </w:t>
      </w:r>
      <w:r w:rsidRPr="00C22708">
        <w:rPr>
          <w:b/>
          <w:bCs/>
          <w:noProof/>
        </w:rPr>
        <w:t>Horizon Europe</w:t>
      </w:r>
      <w:r w:rsidRPr="00C22708">
        <w:rPr>
          <w:noProof/>
        </w:rPr>
        <w:t xml:space="preserve">, with 79% (999 out of 1 270) indicating they had submitted an application, while 29% (374) of respondents had applied to the </w:t>
      </w:r>
      <w:r w:rsidRPr="00C22708">
        <w:rPr>
          <w:b/>
          <w:bCs/>
          <w:noProof/>
        </w:rPr>
        <w:t>LIFE programme</w:t>
      </w:r>
      <w:r w:rsidRPr="00C22708">
        <w:rPr>
          <w:noProof/>
        </w:rPr>
        <w:t xml:space="preserve"> (see figure below). </w:t>
      </w:r>
      <w:r w:rsidRPr="00C22708">
        <w:rPr>
          <w:b/>
          <w:bCs/>
          <w:noProof/>
        </w:rPr>
        <w:t>Digital Europe</w:t>
      </w:r>
      <w:r w:rsidRPr="00C22708">
        <w:rPr>
          <w:noProof/>
        </w:rPr>
        <w:t xml:space="preserve"> was the third most commonly selected, with 19% (246) having applied, followed by </w:t>
      </w:r>
      <w:r w:rsidRPr="00C22708">
        <w:rPr>
          <w:b/>
          <w:bCs/>
          <w:noProof/>
        </w:rPr>
        <w:t>Connecting Europe Facility</w:t>
      </w:r>
      <w:r w:rsidRPr="00C22708">
        <w:rPr>
          <w:noProof/>
        </w:rPr>
        <w:t xml:space="preserve"> at 12% (149).</w:t>
      </w:r>
    </w:p>
    <w:p w14:paraId="51F738C4" w14:textId="4C5CBDCB" w:rsidR="00A23BE1" w:rsidRPr="00A37F3D" w:rsidRDefault="00A23BE1" w:rsidP="00603157">
      <w:pPr>
        <w:pStyle w:val="tabletitle"/>
        <w:keepNext/>
        <w:keepLines/>
        <w:spacing w:after="0"/>
        <w:rPr>
          <w:rFonts w:ascii="Times New Roman" w:hAnsi="Times New Roman"/>
          <w:lang w:val="en-GB"/>
        </w:rPr>
      </w:pPr>
      <w:r w:rsidRPr="00A37F3D">
        <w:rPr>
          <w:rFonts w:ascii="Times New Roman" w:hAnsi="Times New Roman"/>
          <w:lang w:val="en-GB"/>
        </w:rPr>
        <w:t xml:space="preserve">Figure </w:t>
      </w:r>
      <w:r w:rsidRPr="00A37F3D">
        <w:rPr>
          <w:rFonts w:ascii="Times New Roman" w:hAnsi="Times New Roman"/>
          <w:lang w:val="en-GB"/>
        </w:rPr>
        <w:fldChar w:fldCharType="begin"/>
      </w:r>
      <w:r w:rsidRPr="00A37F3D">
        <w:rPr>
          <w:rFonts w:ascii="Times New Roman" w:hAnsi="Times New Roman"/>
          <w:lang w:val="en-GB"/>
        </w:rPr>
        <w:instrText xml:space="preserve"> SEQ Figure \* ARABIC </w:instrText>
      </w:r>
      <w:r w:rsidRPr="00A37F3D">
        <w:rPr>
          <w:rFonts w:ascii="Times New Roman" w:hAnsi="Times New Roman"/>
          <w:lang w:val="en-GB"/>
        </w:rPr>
        <w:fldChar w:fldCharType="separate"/>
      </w:r>
      <w:r w:rsidR="007722AE">
        <w:rPr>
          <w:rFonts w:ascii="Times New Roman" w:hAnsi="Times New Roman"/>
          <w:lang w:val="en-GB"/>
        </w:rPr>
        <w:t>3</w:t>
      </w:r>
      <w:r w:rsidRPr="00A37F3D">
        <w:rPr>
          <w:rFonts w:ascii="Times New Roman" w:hAnsi="Times New Roman"/>
          <w:lang w:val="en-GB"/>
        </w:rPr>
        <w:fldChar w:fldCharType="end"/>
      </w:r>
      <w:r w:rsidRPr="00A37F3D">
        <w:rPr>
          <w:rFonts w:ascii="Times New Roman" w:hAnsi="Times New Roman"/>
          <w:lang w:val="en-GB"/>
        </w:rPr>
        <w:t>. Types of EU funds respondents applied to</w:t>
      </w:r>
    </w:p>
    <w:p w14:paraId="1449A3ED" w14:textId="77777777" w:rsidR="00A23BE1" w:rsidRPr="00C22708" w:rsidRDefault="00A23BE1" w:rsidP="00603157">
      <w:pPr>
        <w:pStyle w:val="tabletitle"/>
        <w:keepNext/>
        <w:keepLines/>
        <w:spacing w:after="0"/>
        <w:rPr>
          <w:lang w:val="en-GB"/>
        </w:rPr>
      </w:pPr>
      <w:r w:rsidRPr="00C22708">
        <w:rPr>
          <w:lang w:val="en-GB" w:eastAsia="en-GB"/>
        </w:rPr>
        <w:drawing>
          <wp:inline distT="0" distB="0" distL="0" distR="0" wp14:anchorId="7FA04BC6" wp14:editId="4387D567">
            <wp:extent cx="5548630" cy="2598420"/>
            <wp:effectExtent l="0" t="0" r="13970" b="11430"/>
            <wp:docPr id="1564274762" name="Chart 1">
              <a:extLst xmlns:a="http://schemas.openxmlformats.org/drawingml/2006/main">
                <a:ext uri="{FF2B5EF4-FFF2-40B4-BE49-F238E27FC236}">
                  <a16:creationId xmlns:a16="http://schemas.microsoft.com/office/drawing/2014/main" id="{46CDDB17-64D6-1275-1746-5B7A9CAF08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8228413" w14:textId="77777777" w:rsidR="00A23BE1" w:rsidRPr="00C22708" w:rsidRDefault="00A23BE1" w:rsidP="00603157">
      <w:pPr>
        <w:rPr>
          <w:noProof/>
        </w:rPr>
      </w:pPr>
      <w:r w:rsidRPr="00C22708">
        <w:rPr>
          <w:noProof/>
        </w:rPr>
        <w:t xml:space="preserve">Overall, respondents reported a positive experience across most stages of the funding process. The stage of </w:t>
      </w:r>
      <w:r w:rsidRPr="00C22708">
        <w:rPr>
          <w:b/>
          <w:bCs/>
          <w:noProof/>
        </w:rPr>
        <w:t>identifying the funding opportunity</w:t>
      </w:r>
      <w:r w:rsidRPr="00C22708">
        <w:rPr>
          <w:noProof/>
        </w:rPr>
        <w:t xml:space="preserve"> (N=1 232) received the highest ratings: 88% (1 083) of respondents rated it (very) positively, while only 7% (93) gave it a (very) negative rating (see figure below). This stage was followed by the </w:t>
      </w:r>
      <w:r w:rsidRPr="00C22708">
        <w:rPr>
          <w:b/>
          <w:bCs/>
          <w:noProof/>
        </w:rPr>
        <w:t>relevance and clarity of the calls</w:t>
      </w:r>
      <w:r w:rsidRPr="00C22708">
        <w:rPr>
          <w:noProof/>
        </w:rPr>
        <w:t xml:space="preserve"> (82%, 1 001 out of 1 227), the </w:t>
      </w:r>
      <w:r w:rsidRPr="00C22708">
        <w:rPr>
          <w:b/>
          <w:bCs/>
          <w:noProof/>
        </w:rPr>
        <w:t>implementation phase</w:t>
      </w:r>
      <w:r w:rsidRPr="00C22708">
        <w:rPr>
          <w:noProof/>
        </w:rPr>
        <w:t xml:space="preserve"> (81%, 999 out of 1 220) and the </w:t>
      </w:r>
      <w:r w:rsidRPr="00C22708">
        <w:rPr>
          <w:b/>
          <w:bCs/>
          <w:noProof/>
        </w:rPr>
        <w:t>disbursement of funding</w:t>
      </w:r>
      <w:r w:rsidRPr="00C22708">
        <w:rPr>
          <w:noProof/>
        </w:rPr>
        <w:t xml:space="preserve"> (77%, 929 out of 1 208).</w:t>
      </w:r>
    </w:p>
    <w:p w14:paraId="0F31C9F6" w14:textId="77777777" w:rsidR="00A23BE1" w:rsidRPr="00C22708" w:rsidRDefault="00A23BE1" w:rsidP="00603157">
      <w:pPr>
        <w:rPr>
          <w:noProof/>
        </w:rPr>
      </w:pPr>
      <w:r w:rsidRPr="00C22708">
        <w:rPr>
          <w:noProof/>
        </w:rPr>
        <w:t xml:space="preserve">The perception of the </w:t>
      </w:r>
      <w:r w:rsidRPr="00C22708">
        <w:rPr>
          <w:b/>
          <w:bCs/>
          <w:noProof/>
        </w:rPr>
        <w:t>application procedure</w:t>
      </w:r>
      <w:r w:rsidRPr="00C22708">
        <w:rPr>
          <w:noProof/>
        </w:rPr>
        <w:t xml:space="preserve"> (N=1 222) was more mixed – while 66% (806) gave a (very) positive assessment, more than a quarter (29%, 349) rated it (very) negatively. The </w:t>
      </w:r>
      <w:r w:rsidRPr="00C22708">
        <w:rPr>
          <w:b/>
          <w:bCs/>
          <w:noProof/>
        </w:rPr>
        <w:t>timeline of the process</w:t>
      </w:r>
      <w:r w:rsidRPr="00C22708">
        <w:rPr>
          <w:noProof/>
        </w:rPr>
        <w:t xml:space="preserve"> (N=1 227) was somewhat less well-received compared to other aspects: 60% (292) of respondents reported a (very) positive experience, while 35% (430) viewed it (very) negatively.</w:t>
      </w:r>
    </w:p>
    <w:p w14:paraId="041D9BEB" w14:textId="4371328F" w:rsidR="00A23BE1" w:rsidRPr="00C22708" w:rsidRDefault="00A23BE1" w:rsidP="00603157">
      <w:pPr>
        <w:rPr>
          <w:noProof/>
        </w:rPr>
      </w:pPr>
      <w:r w:rsidRPr="00C22708">
        <w:rPr>
          <w:noProof/>
        </w:rPr>
        <w:t xml:space="preserve">These views reflect the </w:t>
      </w:r>
      <w:r w:rsidRPr="00C22708">
        <w:rPr>
          <w:b/>
          <w:noProof/>
        </w:rPr>
        <w:t>complexity involved in accessing, mobilising, and implementing EU funding for beneficiaries</w:t>
      </w:r>
      <w:r w:rsidRPr="00C22708">
        <w:rPr>
          <w:bCs/>
          <w:noProof/>
        </w:rPr>
        <w:t>,</w:t>
      </w:r>
      <w:r w:rsidRPr="00C22708">
        <w:rPr>
          <w:b/>
          <w:noProof/>
        </w:rPr>
        <w:t xml:space="preserve"> </w:t>
      </w:r>
      <w:r w:rsidRPr="00C22708">
        <w:rPr>
          <w:bCs/>
          <w:noProof/>
        </w:rPr>
        <w:t xml:space="preserve">particularly due to fragmented programme structures, varying criteria and requirements, and administrative burdens (see also the detailed analysis on this aspect in section </w:t>
      </w:r>
      <w:r w:rsidRPr="00C22708">
        <w:rPr>
          <w:bCs/>
          <w:noProof/>
        </w:rPr>
        <w:fldChar w:fldCharType="begin"/>
      </w:r>
      <w:r w:rsidRPr="00C22708">
        <w:rPr>
          <w:bCs/>
          <w:noProof/>
        </w:rPr>
        <w:instrText xml:space="preserve"> REF _Ref195882760 \r \h  \* MERGEFORMAT </w:instrText>
      </w:r>
      <w:r w:rsidRPr="00C22708">
        <w:rPr>
          <w:bCs/>
          <w:noProof/>
        </w:rPr>
      </w:r>
      <w:r w:rsidRPr="00C22708">
        <w:rPr>
          <w:bCs/>
          <w:noProof/>
        </w:rPr>
        <w:fldChar w:fldCharType="separate"/>
      </w:r>
      <w:r w:rsidR="007722AE">
        <w:rPr>
          <w:b/>
          <w:noProof/>
          <w:lang w:val="en-US"/>
        </w:rPr>
        <w:t>Error! Reference source not found.</w:t>
      </w:r>
      <w:r w:rsidRPr="00C22708">
        <w:rPr>
          <w:bCs/>
          <w:noProof/>
        </w:rPr>
        <w:fldChar w:fldCharType="end"/>
      </w:r>
      <w:r w:rsidRPr="00C22708">
        <w:rPr>
          <w:bCs/>
          <w:noProof/>
        </w:rPr>
        <w:t>)</w:t>
      </w:r>
      <w:r w:rsidRPr="00C22708">
        <w:rPr>
          <w:noProof/>
        </w:rPr>
        <w:t xml:space="preserve">. In open-text responses on challenges in the funding process, respondents frequently noted that lengthy evaluation timelines, unclear call descriptions, and a lack of transparency create inefficiencies and discourage participation – particularly for SMEs (who were, on average, least satisfied with the funding process) and newcomers. These difficulties are most evident in respondents’ lower ratings for the </w:t>
      </w:r>
      <w:r w:rsidRPr="00C22708">
        <w:rPr>
          <w:b/>
          <w:noProof/>
        </w:rPr>
        <w:t>application stage</w:t>
      </w:r>
      <w:r w:rsidRPr="00C22708">
        <w:rPr>
          <w:noProof/>
        </w:rPr>
        <w:t xml:space="preserve"> and </w:t>
      </w:r>
      <w:r w:rsidRPr="00C22708">
        <w:rPr>
          <w:b/>
          <w:noProof/>
        </w:rPr>
        <w:t>duration of the procedure</w:t>
      </w:r>
      <w:r w:rsidRPr="00C22708">
        <w:rPr>
          <w:noProof/>
        </w:rPr>
        <w:t xml:space="preserve"> and suggest that </w:t>
      </w:r>
      <w:r w:rsidRPr="00C22708">
        <w:rPr>
          <w:b/>
          <w:bCs/>
          <w:noProof/>
        </w:rPr>
        <w:t>simplification efforts</w:t>
      </w:r>
      <w:r w:rsidRPr="00C22708">
        <w:rPr>
          <w:noProof/>
        </w:rPr>
        <w:t xml:space="preserve"> – particularly those aimed at greater procedural clarity, harmonised requirements, and coherence across funding programmes – could improve the overall user experience and encourage broader participation.</w:t>
      </w:r>
    </w:p>
    <w:p w14:paraId="7EF326A9" w14:textId="4CF3AF75" w:rsidR="00A23BE1" w:rsidRPr="00A37F3D" w:rsidRDefault="00A23BE1" w:rsidP="00603157">
      <w:pPr>
        <w:pStyle w:val="tabletitle"/>
        <w:keepNext/>
        <w:keepLines/>
        <w:spacing w:after="0"/>
        <w:rPr>
          <w:rFonts w:ascii="Times New Roman" w:hAnsi="Times New Roman"/>
          <w:lang w:val="en-GB"/>
        </w:rPr>
      </w:pPr>
      <w:r w:rsidRPr="00A37F3D">
        <w:rPr>
          <w:rFonts w:ascii="Times New Roman" w:hAnsi="Times New Roman"/>
          <w:lang w:val="en-GB"/>
        </w:rPr>
        <w:t xml:space="preserve">Figure </w:t>
      </w:r>
      <w:r w:rsidRPr="00A37F3D">
        <w:rPr>
          <w:rFonts w:ascii="Times New Roman" w:hAnsi="Times New Roman"/>
          <w:lang w:val="en-GB"/>
        </w:rPr>
        <w:fldChar w:fldCharType="begin"/>
      </w:r>
      <w:r w:rsidRPr="00A37F3D">
        <w:rPr>
          <w:rFonts w:ascii="Times New Roman" w:hAnsi="Times New Roman"/>
          <w:lang w:val="en-GB"/>
        </w:rPr>
        <w:instrText xml:space="preserve"> SEQ Figure \* ARABIC </w:instrText>
      </w:r>
      <w:r w:rsidRPr="00A37F3D">
        <w:rPr>
          <w:rFonts w:ascii="Times New Roman" w:hAnsi="Times New Roman"/>
          <w:lang w:val="en-GB"/>
        </w:rPr>
        <w:fldChar w:fldCharType="separate"/>
      </w:r>
      <w:r w:rsidR="007722AE">
        <w:rPr>
          <w:rFonts w:ascii="Times New Roman" w:hAnsi="Times New Roman"/>
          <w:lang w:val="en-GB"/>
        </w:rPr>
        <w:t>4</w:t>
      </w:r>
      <w:r w:rsidRPr="00A37F3D">
        <w:rPr>
          <w:rFonts w:ascii="Times New Roman" w:hAnsi="Times New Roman"/>
          <w:lang w:val="en-GB"/>
        </w:rPr>
        <w:fldChar w:fldCharType="end"/>
      </w:r>
      <w:r w:rsidRPr="00A37F3D">
        <w:rPr>
          <w:rFonts w:ascii="Times New Roman" w:hAnsi="Times New Roman"/>
          <w:lang w:val="en-GB"/>
        </w:rPr>
        <w:t>. Respondents’ perception of the funding process</w:t>
      </w:r>
    </w:p>
    <w:p w14:paraId="511F2C9C" w14:textId="77777777" w:rsidR="00A23BE1" w:rsidRPr="00C22708" w:rsidRDefault="00A23BE1" w:rsidP="00603157">
      <w:pPr>
        <w:pStyle w:val="tabletitle"/>
        <w:keepNext/>
        <w:keepLines/>
        <w:spacing w:after="0"/>
        <w:rPr>
          <w:lang w:val="en-GB"/>
        </w:rPr>
      </w:pPr>
      <w:r w:rsidRPr="00C22708">
        <w:rPr>
          <w:lang w:val="en-GB" w:eastAsia="en-GB"/>
        </w:rPr>
        <w:drawing>
          <wp:inline distT="0" distB="0" distL="0" distR="0" wp14:anchorId="4D12AE9A" wp14:editId="60C13025">
            <wp:extent cx="5591175" cy="2536166"/>
            <wp:effectExtent l="0" t="0" r="9525" b="17145"/>
            <wp:docPr id="87063628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3FF4965" w14:textId="77777777" w:rsidR="00A23BE1" w:rsidRPr="00C22708" w:rsidRDefault="00A23BE1" w:rsidP="00603157">
      <w:pPr>
        <w:rPr>
          <w:noProof/>
        </w:rPr>
      </w:pPr>
      <w:r w:rsidRPr="00C22708">
        <w:rPr>
          <w:noProof/>
        </w:rPr>
        <w:t xml:space="preserve">While respondents overall provided positive ratings across most stages of the </w:t>
      </w:r>
      <w:r w:rsidRPr="00C22708">
        <w:rPr>
          <w:b/>
          <w:bCs/>
          <w:noProof/>
        </w:rPr>
        <w:t>funding process</w:t>
      </w:r>
      <w:r w:rsidRPr="00C22708">
        <w:rPr>
          <w:noProof/>
        </w:rPr>
        <w:t>, some differences can be observed across stakeholder groups:</w:t>
      </w:r>
    </w:p>
    <w:p w14:paraId="63AF70AB" w14:textId="77777777" w:rsidR="00A23BE1" w:rsidRPr="00C22708" w:rsidRDefault="00A23BE1" w:rsidP="008C51EB">
      <w:pPr>
        <w:pStyle w:val="ListParagraph"/>
        <w:numPr>
          <w:ilvl w:val="0"/>
          <w:numId w:val="105"/>
        </w:numPr>
        <w:rPr>
          <w:noProof/>
        </w:rPr>
      </w:pPr>
      <w:r w:rsidRPr="00A23BE1">
        <w:rPr>
          <w:b/>
          <w:bCs/>
          <w:noProof/>
        </w:rPr>
        <w:t>Identifying the funding opportunity</w:t>
      </w:r>
      <w:r w:rsidRPr="00C22708">
        <w:rPr>
          <w:noProof/>
        </w:rPr>
        <w:t xml:space="preserve"> received high satisfaction (82-91%) across groups, with EU citizens (91%, 189 out of 209), member state authorities (91%, 137 out of 150) and beneficiaries (89%, 975 out of 1 102) most positive. The relevance and clarity of calls, and the disbursement and implementation phases followed a similar trend.</w:t>
      </w:r>
    </w:p>
    <w:p w14:paraId="5C824D2D" w14:textId="77777777" w:rsidR="00A23BE1" w:rsidRPr="00C22708" w:rsidRDefault="00A23BE1" w:rsidP="008C51EB">
      <w:pPr>
        <w:pStyle w:val="ListParagraph"/>
        <w:numPr>
          <w:ilvl w:val="0"/>
          <w:numId w:val="105"/>
        </w:numPr>
        <w:rPr>
          <w:noProof/>
        </w:rPr>
      </w:pPr>
      <w:r w:rsidRPr="00C22708">
        <w:rPr>
          <w:noProof/>
        </w:rPr>
        <w:t xml:space="preserve">The </w:t>
      </w:r>
      <w:r w:rsidRPr="00A23BE1">
        <w:rPr>
          <w:b/>
          <w:bCs/>
          <w:noProof/>
        </w:rPr>
        <w:t>application procedure</w:t>
      </w:r>
      <w:r w:rsidRPr="00C22708">
        <w:rPr>
          <w:noProof/>
        </w:rPr>
        <w:t xml:space="preserve"> and </w:t>
      </w:r>
      <w:r w:rsidRPr="00A23BE1">
        <w:rPr>
          <w:b/>
          <w:bCs/>
          <w:noProof/>
        </w:rPr>
        <w:t>duration of the process</w:t>
      </w:r>
      <w:r w:rsidRPr="00C22708">
        <w:rPr>
          <w:noProof/>
        </w:rPr>
        <w:t xml:space="preserve"> received more mixed feedback. Satisfaction with the application stage was lowest among unsuccessful applicants (62%, 69 out of 111) and business stakeholders (63%, 144 out of 229), while academics (69%, 250 out of 365) and citizens (75%, 154 out of 206) were more positive. A similar pattern was observed for the duration of the procedure.</w:t>
      </w:r>
    </w:p>
    <w:p w14:paraId="0DD79742" w14:textId="77777777" w:rsidR="00A23BE1" w:rsidRPr="00C22708" w:rsidRDefault="00A23BE1" w:rsidP="008C51EB">
      <w:pPr>
        <w:pStyle w:val="ListParagraph"/>
        <w:numPr>
          <w:ilvl w:val="0"/>
          <w:numId w:val="105"/>
        </w:numPr>
        <w:rPr>
          <w:noProof/>
        </w:rPr>
      </w:pPr>
      <w:r w:rsidRPr="00C22708">
        <w:rPr>
          <w:noProof/>
        </w:rPr>
        <w:t xml:space="preserve">Perceptions of the </w:t>
      </w:r>
      <w:r w:rsidRPr="00A23BE1">
        <w:rPr>
          <w:b/>
          <w:bCs/>
          <w:noProof/>
        </w:rPr>
        <w:t>proposal evaluation</w:t>
      </w:r>
      <w:r w:rsidRPr="00C22708">
        <w:rPr>
          <w:noProof/>
        </w:rPr>
        <w:t xml:space="preserve"> phase were highly outcome-dependent, with beneficiaries (81%, 883 out of 1 089) reporting high satisfaction, while unsuccessful applicants were comparatively less satisfied (43%, 48 out of 112).</w:t>
      </w:r>
    </w:p>
    <w:p w14:paraId="03245064" w14:textId="22D285A3" w:rsidR="2A1AD167" w:rsidRDefault="00A23BE1" w:rsidP="00603157">
      <w:pPr>
        <w:rPr>
          <w:rFonts w:eastAsia="Times New Roman"/>
          <w:noProof/>
        </w:rPr>
      </w:pPr>
      <w:r w:rsidRPr="00C22708">
        <w:rPr>
          <w:noProof/>
        </w:rPr>
        <w:t xml:space="preserve">Among </w:t>
      </w:r>
      <w:r w:rsidRPr="00C22708">
        <w:rPr>
          <w:b/>
          <w:bCs/>
          <w:noProof/>
        </w:rPr>
        <w:t>beneficiaries</w:t>
      </w:r>
      <w:r w:rsidRPr="00C22708">
        <w:rPr>
          <w:noProof/>
        </w:rPr>
        <w:t>, satisfaction levels were similarly high across programmes for identifying opportunities, relevance and clarity of calls, disbursement, and implementation. The application procedure (63-73%) and the duration of the process (44-71%) showed more variation, with LIFE beneficiaries (N=279) overall reporting higher satisfaction compared to those from Horizon Europe (N=767), EU4Health (N=97), and Digital Europe (N=183).</w:t>
      </w:r>
    </w:p>
    <w:p w14:paraId="21FF2F7C" w14:textId="62603608" w:rsidR="2A1AD167" w:rsidRDefault="5473F895" w:rsidP="008C51EB">
      <w:pPr>
        <w:pStyle w:val="ListParagraph"/>
        <w:numPr>
          <w:ilvl w:val="1"/>
          <w:numId w:val="26"/>
        </w:numPr>
        <w:rPr>
          <w:rFonts w:eastAsia="Times New Roman"/>
          <w:b/>
          <w:bCs/>
          <w:noProof/>
        </w:rPr>
      </w:pPr>
      <w:r w:rsidRPr="58BF9D30">
        <w:rPr>
          <w:rFonts w:eastAsia="Times New Roman"/>
          <w:b/>
          <w:bCs/>
          <w:noProof/>
        </w:rPr>
        <w:t>EU funding on competitiveness</w:t>
      </w:r>
    </w:p>
    <w:p w14:paraId="795D5E22" w14:textId="77777777" w:rsidR="00F56D32" w:rsidRPr="00C22708" w:rsidRDefault="00F56D32" w:rsidP="00603157">
      <w:pPr>
        <w:pStyle w:val="Heading3"/>
        <w:rPr>
          <w:noProof/>
        </w:rPr>
      </w:pPr>
      <w:r w:rsidRPr="00C22708">
        <w:rPr>
          <w:noProof/>
        </w:rPr>
        <w:t>Challenges and measures to support competitiveness</w:t>
      </w:r>
    </w:p>
    <w:p w14:paraId="0DF13484" w14:textId="77777777" w:rsidR="00F56D32" w:rsidRPr="00C22708" w:rsidRDefault="00F56D32" w:rsidP="00603157">
      <w:pPr>
        <w:rPr>
          <w:noProof/>
        </w:rPr>
      </w:pPr>
      <w:r w:rsidRPr="00C22708">
        <w:rPr>
          <w:noProof/>
        </w:rPr>
        <w:t xml:space="preserve">The following sections combine findings from closed questions, open-ended responses, and position papers to </w:t>
      </w:r>
      <w:r w:rsidRPr="00C22708">
        <w:rPr>
          <w:b/>
          <w:noProof/>
        </w:rPr>
        <w:t>present key trends across the key issue areas identified in relation to EU funding for competitiveness</w:t>
      </w:r>
      <w:r w:rsidRPr="00C22708">
        <w:rPr>
          <w:noProof/>
        </w:rPr>
        <w:t>. For each area, the analysis explores stakeholder perspectives, underlying causes, and proposed measures.</w:t>
      </w:r>
    </w:p>
    <w:p w14:paraId="797870A9" w14:textId="77777777" w:rsidR="00F56D32" w:rsidRPr="00C22708" w:rsidRDefault="00F56D32" w:rsidP="00603157">
      <w:pPr>
        <w:rPr>
          <w:noProof/>
        </w:rPr>
      </w:pPr>
      <w:r w:rsidRPr="00C22708">
        <w:rPr>
          <w:noProof/>
        </w:rPr>
        <w:t xml:space="preserve">As shown in the figure below, </w:t>
      </w:r>
      <w:r w:rsidRPr="00C22708">
        <w:rPr>
          <w:b/>
          <w:bCs/>
          <w:noProof/>
        </w:rPr>
        <w:t>underinvestment in research and innovation</w:t>
      </w:r>
      <w:r w:rsidRPr="00C22708">
        <w:rPr>
          <w:noProof/>
        </w:rPr>
        <w:t xml:space="preserve"> (91%, 1 795 out of 1 974) </w:t>
      </w:r>
      <w:r w:rsidRPr="00C22708">
        <w:rPr>
          <w:b/>
          <w:bCs/>
          <w:noProof/>
        </w:rPr>
        <w:t>and the EU’s innovation and technological gap with global competitors</w:t>
      </w:r>
      <w:r w:rsidRPr="00C22708">
        <w:rPr>
          <w:noProof/>
        </w:rPr>
        <w:t xml:space="preserve"> (81%, 1 614 out of 1 973) emerged as the most widely recognised challenges to competitiveness among public consultation respondents. By contrast, respondents placed the least emphasis on issues related to the protection of EU funds against illegal activities (45%, 872 out of 1 940) and the fertilisation between civil and military research (29%, 561 out of 1 943).</w:t>
      </w:r>
    </w:p>
    <w:p w14:paraId="1C86F2E4" w14:textId="36E998F9" w:rsidR="00F56D32" w:rsidRPr="00A37F3D" w:rsidRDefault="00F56D32" w:rsidP="00603157">
      <w:pPr>
        <w:pStyle w:val="tabletitle"/>
        <w:keepNext/>
        <w:keepLines/>
        <w:spacing w:before="0" w:after="80"/>
        <w:rPr>
          <w:rFonts w:ascii="Times New Roman" w:hAnsi="Times New Roman"/>
          <w:lang w:val="en-GB"/>
        </w:rPr>
      </w:pPr>
      <w:bookmarkStart w:id="275" w:name="_Ref195881753"/>
      <w:r w:rsidRPr="00A37F3D">
        <w:rPr>
          <w:rFonts w:ascii="Times New Roman" w:hAnsi="Times New Roman"/>
          <w:lang w:val="en-GB"/>
        </w:rPr>
        <w:t xml:space="preserve">Figure </w:t>
      </w:r>
      <w:r w:rsidRPr="00A37F3D">
        <w:rPr>
          <w:rFonts w:ascii="Times New Roman" w:hAnsi="Times New Roman"/>
          <w:lang w:val="en-GB"/>
        </w:rPr>
        <w:fldChar w:fldCharType="begin"/>
      </w:r>
      <w:r w:rsidRPr="00A37F3D">
        <w:rPr>
          <w:rFonts w:ascii="Times New Roman" w:hAnsi="Times New Roman"/>
          <w:lang w:val="en-GB"/>
        </w:rPr>
        <w:instrText xml:space="preserve"> SEQ Figure \* ARABIC </w:instrText>
      </w:r>
      <w:r w:rsidRPr="00A37F3D">
        <w:rPr>
          <w:rFonts w:ascii="Times New Roman" w:hAnsi="Times New Roman"/>
          <w:lang w:val="en-GB"/>
        </w:rPr>
        <w:fldChar w:fldCharType="separate"/>
      </w:r>
      <w:r w:rsidR="007722AE">
        <w:rPr>
          <w:rFonts w:ascii="Times New Roman" w:hAnsi="Times New Roman"/>
          <w:lang w:val="en-GB"/>
        </w:rPr>
        <w:t>5</w:t>
      </w:r>
      <w:r w:rsidRPr="00A37F3D">
        <w:rPr>
          <w:rFonts w:ascii="Times New Roman" w:hAnsi="Times New Roman"/>
          <w:lang w:val="en-GB"/>
        </w:rPr>
        <w:fldChar w:fldCharType="end"/>
      </w:r>
      <w:bookmarkEnd w:id="275"/>
      <w:r w:rsidRPr="00A37F3D">
        <w:rPr>
          <w:rFonts w:ascii="Times New Roman" w:hAnsi="Times New Roman"/>
          <w:lang w:val="en-GB"/>
        </w:rPr>
        <w:t>. Importance of identified challenges</w:t>
      </w:r>
    </w:p>
    <w:p w14:paraId="0020D319" w14:textId="77777777" w:rsidR="00F56D32" w:rsidRPr="00C22708" w:rsidRDefault="00F56D32" w:rsidP="00603157">
      <w:pPr>
        <w:pStyle w:val="tabletitle"/>
        <w:keepNext/>
        <w:keepLines/>
        <w:spacing w:before="0" w:after="0"/>
        <w:jc w:val="both"/>
        <w:rPr>
          <w:lang w:val="en-GB"/>
        </w:rPr>
      </w:pPr>
      <w:r w:rsidRPr="00C22708">
        <w:rPr>
          <w:lang w:val="en-GB" w:eastAsia="en-GB"/>
        </w:rPr>
        <w:drawing>
          <wp:inline distT="0" distB="0" distL="0" distR="0" wp14:anchorId="53D4164E" wp14:editId="0A6899C9">
            <wp:extent cx="5486400" cy="5805578"/>
            <wp:effectExtent l="0" t="0" r="0" b="5080"/>
            <wp:docPr id="122384640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4F1764" w14:textId="77777777" w:rsidR="00F56D32" w:rsidRPr="00A815E0" w:rsidRDefault="00F56D32" w:rsidP="00603157">
      <w:pPr>
        <w:pStyle w:val="Figure"/>
        <w:keepLines/>
        <w:spacing w:after="0"/>
        <w:rPr>
          <w:rFonts w:ascii="Times New Roman" w:hAnsi="Times New Roman"/>
          <w:noProof/>
        </w:rPr>
      </w:pPr>
      <w:r w:rsidRPr="00A815E0">
        <w:rPr>
          <w:rFonts w:ascii="Times New Roman" w:hAnsi="Times New Roman"/>
          <w:noProof/>
        </w:rPr>
        <w:t>Note: The figure shows the combined share of respondents who selected ‘Important’ or ‘Very important’.</w:t>
      </w:r>
    </w:p>
    <w:p w14:paraId="2340F860" w14:textId="77777777" w:rsidR="00F56D32" w:rsidRPr="00C22708" w:rsidRDefault="00F56D32" w:rsidP="00603157">
      <w:pPr>
        <w:rPr>
          <w:noProof/>
        </w:rPr>
      </w:pPr>
      <w:bookmarkStart w:id="276" w:name="_Ref195881990"/>
      <w:r w:rsidRPr="00C22708">
        <w:rPr>
          <w:noProof/>
        </w:rPr>
        <w:t xml:space="preserve">Respondents’ concerns regarding challenges to competitiveness were closely reflected in their views on potential policy responses (see figure below). The highest levels of support – based on the combined share of respondents answering </w:t>
      </w:r>
      <w:r w:rsidRPr="00C22708">
        <w:rPr>
          <w:i/>
          <w:iCs/>
          <w:noProof/>
        </w:rPr>
        <w:t>to a large extent</w:t>
      </w:r>
      <w:r w:rsidRPr="00C22708">
        <w:rPr>
          <w:noProof/>
        </w:rPr>
        <w:t xml:space="preserve"> or </w:t>
      </w:r>
      <w:r w:rsidRPr="00C22708">
        <w:rPr>
          <w:i/>
          <w:iCs/>
          <w:noProof/>
        </w:rPr>
        <w:t>somewhat</w:t>
      </w:r>
      <w:r w:rsidRPr="00C22708">
        <w:rPr>
          <w:noProof/>
        </w:rPr>
        <w:t xml:space="preserve"> – were expressed for </w:t>
      </w:r>
      <w:r w:rsidRPr="00C22708">
        <w:rPr>
          <w:b/>
          <w:bCs/>
          <w:noProof/>
        </w:rPr>
        <w:t xml:space="preserve">increasing the focus of funding on key current and future strategic priorities </w:t>
      </w:r>
      <w:r w:rsidRPr="00C22708">
        <w:rPr>
          <w:noProof/>
        </w:rPr>
        <w:t xml:space="preserve">(87%, 1 689 out of 1 951), </w:t>
      </w:r>
      <w:r w:rsidRPr="00C22708">
        <w:rPr>
          <w:b/>
          <w:bCs/>
          <w:noProof/>
        </w:rPr>
        <w:t>ensuring continuity of EU funding along the in</w:t>
      </w:r>
      <w:r>
        <w:rPr>
          <w:b/>
          <w:bCs/>
          <w:noProof/>
        </w:rPr>
        <w:t>vestment journey</w:t>
      </w:r>
      <w:r w:rsidRPr="00C22708">
        <w:rPr>
          <w:b/>
          <w:bCs/>
          <w:noProof/>
        </w:rPr>
        <w:t xml:space="preserve"> from research to manufacturing </w:t>
      </w:r>
      <w:r w:rsidRPr="00C22708">
        <w:rPr>
          <w:noProof/>
        </w:rPr>
        <w:t xml:space="preserve">(83%, 1 618 out of 1 939), and </w:t>
      </w:r>
      <w:r w:rsidRPr="00C22708">
        <w:rPr>
          <w:b/>
          <w:bCs/>
          <w:noProof/>
        </w:rPr>
        <w:t>limiting EU dependencies in strategic sectors</w:t>
      </w:r>
      <w:r w:rsidRPr="00C22708">
        <w:rPr>
          <w:noProof/>
        </w:rPr>
        <w:t xml:space="preserve"> (82%, 1 583 out of 1 942).</w:t>
      </w:r>
    </w:p>
    <w:p w14:paraId="0E8540B3" w14:textId="47204D07" w:rsidR="00F56D32" w:rsidRPr="00977BAC" w:rsidRDefault="00F56D32" w:rsidP="00603157">
      <w:pPr>
        <w:pStyle w:val="tabletitle"/>
        <w:keepNext/>
        <w:keepLines/>
        <w:rPr>
          <w:rFonts w:ascii="Times New Roman" w:hAnsi="Times New Roman"/>
          <w:lang w:val="en-GB"/>
        </w:rPr>
      </w:pPr>
      <w:r w:rsidRPr="00977BAC">
        <w:rPr>
          <w:rFonts w:ascii="Times New Roman" w:hAnsi="Times New Roman"/>
          <w:lang w:val="en-GB"/>
        </w:rPr>
        <w:t xml:space="preserve">Figure </w:t>
      </w:r>
      <w:r w:rsidRPr="00977BAC">
        <w:rPr>
          <w:rFonts w:ascii="Times New Roman" w:hAnsi="Times New Roman"/>
          <w:lang w:val="en-GB"/>
        </w:rPr>
        <w:fldChar w:fldCharType="begin"/>
      </w:r>
      <w:r w:rsidRPr="00977BAC">
        <w:rPr>
          <w:rFonts w:ascii="Times New Roman" w:hAnsi="Times New Roman"/>
          <w:lang w:val="en-GB"/>
        </w:rPr>
        <w:instrText xml:space="preserve"> SEQ Figure \* ARABIC </w:instrText>
      </w:r>
      <w:r w:rsidRPr="00977BAC">
        <w:rPr>
          <w:rFonts w:ascii="Times New Roman" w:hAnsi="Times New Roman"/>
          <w:lang w:val="en-GB"/>
        </w:rPr>
        <w:fldChar w:fldCharType="separate"/>
      </w:r>
      <w:r w:rsidR="007722AE">
        <w:rPr>
          <w:rFonts w:ascii="Times New Roman" w:hAnsi="Times New Roman"/>
          <w:lang w:val="en-GB"/>
        </w:rPr>
        <w:t>6</w:t>
      </w:r>
      <w:r w:rsidRPr="00977BAC">
        <w:rPr>
          <w:rFonts w:ascii="Times New Roman" w:hAnsi="Times New Roman"/>
          <w:lang w:val="en-GB"/>
        </w:rPr>
        <w:fldChar w:fldCharType="end"/>
      </w:r>
      <w:bookmarkEnd w:id="276"/>
      <w:r w:rsidRPr="00977BAC">
        <w:rPr>
          <w:rFonts w:ascii="Times New Roman" w:hAnsi="Times New Roman"/>
          <w:lang w:val="en-GB"/>
        </w:rPr>
        <w:t>. Impact of possible measures</w:t>
      </w:r>
    </w:p>
    <w:p w14:paraId="290FBAB4" w14:textId="77777777" w:rsidR="00F56D32" w:rsidRPr="00C22708" w:rsidRDefault="00F56D32" w:rsidP="00603157">
      <w:pPr>
        <w:pStyle w:val="BodyText1"/>
        <w:keepLines/>
      </w:pPr>
      <w:r w:rsidRPr="00C22708">
        <w:rPr>
          <w:lang w:eastAsia="en-GB"/>
        </w:rPr>
        <w:drawing>
          <wp:inline distT="0" distB="0" distL="0" distR="0" wp14:anchorId="69E079A0" wp14:editId="63A6E583">
            <wp:extent cx="5486400" cy="4917056"/>
            <wp:effectExtent l="0" t="0" r="0" b="17145"/>
            <wp:docPr id="105905044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B7A58E7" w14:textId="77777777" w:rsidR="00F56D32" w:rsidRPr="00C22708" w:rsidRDefault="00F56D32" w:rsidP="00603157">
      <w:pPr>
        <w:rPr>
          <w:noProof/>
        </w:rPr>
      </w:pPr>
      <w:r w:rsidRPr="00C22708">
        <w:rPr>
          <w:noProof/>
        </w:rPr>
        <w:t>The following sections provide a detailed analysis of each key issue area, examining stakeholder perspectives, variations between groups, and proposed measures in response to the identified challenges.</w:t>
      </w:r>
    </w:p>
    <w:p w14:paraId="7FB17F60" w14:textId="77777777" w:rsidR="00F56D32" w:rsidRPr="00C22708" w:rsidRDefault="00F56D32" w:rsidP="00603157">
      <w:pPr>
        <w:pStyle w:val="Heading3"/>
        <w:rPr>
          <w:noProof/>
        </w:rPr>
      </w:pPr>
      <w:r w:rsidRPr="00C22708">
        <w:rPr>
          <w:noProof/>
        </w:rPr>
        <w:t>Fragmented support through the investment journey</w:t>
      </w:r>
    </w:p>
    <w:p w14:paraId="57708C25" w14:textId="77777777" w:rsidR="00F56D32" w:rsidRPr="00C22708" w:rsidRDefault="00F56D32" w:rsidP="00603157">
      <w:pPr>
        <w:rPr>
          <w:noProof/>
        </w:rPr>
      </w:pPr>
      <w:r w:rsidRPr="00C22708">
        <w:rPr>
          <w:noProof/>
        </w:rPr>
        <w:t xml:space="preserve">Respondents recognised fragmentation in support across the </w:t>
      </w:r>
      <w:r>
        <w:rPr>
          <w:noProof/>
        </w:rPr>
        <w:t>investment journey</w:t>
      </w:r>
      <w:r w:rsidRPr="00C22708">
        <w:rPr>
          <w:noProof/>
        </w:rPr>
        <w:t xml:space="preserve"> as a barrier to competitiveness, particularly in relation to </w:t>
      </w:r>
      <w:r w:rsidRPr="00C22708">
        <w:rPr>
          <w:b/>
          <w:bCs/>
          <w:noProof/>
        </w:rPr>
        <w:t>underinvestment in research and innovation</w:t>
      </w:r>
      <w:r w:rsidRPr="00C22708">
        <w:rPr>
          <w:noProof/>
        </w:rPr>
        <w:t xml:space="preserve">. This emerged as a top challenge across all respondent groups, with 91% (1 795 out of 1 974) of respondents rating it as (very) important. This issue also closely relates to other challenges, including scale-up financing gaps, capacity shortages, and fragmented investment in strategic sectors (see sections below). While somewhat less prominent, a </w:t>
      </w:r>
      <w:r w:rsidRPr="00C22708">
        <w:rPr>
          <w:b/>
          <w:noProof/>
        </w:rPr>
        <w:t>lack of coherence between EU, national and regional policies</w:t>
      </w:r>
      <w:r w:rsidRPr="00C22708">
        <w:rPr>
          <w:noProof/>
        </w:rPr>
        <w:t xml:space="preserve"> for competitiveness was also seen as a relevant concern (71%, 1 391 out of 1 964), as it can undermine coordinated investment pathways.</w:t>
      </w:r>
    </w:p>
    <w:p w14:paraId="13BD5477" w14:textId="77777777" w:rsidR="00F56D32" w:rsidRPr="00C22708" w:rsidRDefault="00F56D32" w:rsidP="00603157">
      <w:pPr>
        <w:rPr>
          <w:noProof/>
        </w:rPr>
      </w:pPr>
      <w:r w:rsidRPr="00C22708">
        <w:rPr>
          <w:noProof/>
        </w:rPr>
        <w:t xml:space="preserve">To address fragmentation in support, </w:t>
      </w:r>
      <w:r w:rsidRPr="00C22708">
        <w:rPr>
          <w:b/>
          <w:bCs/>
          <w:noProof/>
        </w:rPr>
        <w:t>continuity in EU funding from research through to manufacturing</w:t>
      </w:r>
      <w:r w:rsidRPr="00C22708">
        <w:rPr>
          <w:noProof/>
        </w:rPr>
        <w:t xml:space="preserve"> received strong backing as a potential measure. It was the second most consistently supported option across stakeholder groups, with 83% (1 618 out of 1 939) of respondents overall indicating that it could have a positive impact </w:t>
      </w:r>
      <w:r w:rsidRPr="00C22708">
        <w:rPr>
          <w:i/>
          <w:iCs/>
          <w:noProof/>
        </w:rPr>
        <w:t xml:space="preserve">to a large extent </w:t>
      </w:r>
      <w:r w:rsidRPr="00C22708">
        <w:rPr>
          <w:noProof/>
        </w:rPr>
        <w:t>or</w:t>
      </w:r>
      <w:r w:rsidRPr="00C22708">
        <w:rPr>
          <w:i/>
          <w:iCs/>
          <w:noProof/>
        </w:rPr>
        <w:t xml:space="preserve"> somewhat</w:t>
      </w:r>
      <w:r w:rsidRPr="00C22708">
        <w:rPr>
          <w:noProof/>
        </w:rPr>
        <w:t xml:space="preserve">. </w:t>
      </w:r>
      <w:r w:rsidRPr="00C22708">
        <w:rPr>
          <w:b/>
          <w:bCs/>
          <w:noProof/>
        </w:rPr>
        <w:t>Aligning industrial and research policies at EU and national levels</w:t>
      </w:r>
      <w:r w:rsidRPr="00C22708">
        <w:rPr>
          <w:noProof/>
        </w:rPr>
        <w:t xml:space="preserve"> received more moderate support, with 77% (1 514 out of 1 948) of respondents overall viewing it as at least somewhat impactful.</w:t>
      </w:r>
    </w:p>
    <w:p w14:paraId="615E17B8" w14:textId="77777777" w:rsidR="00F56D32" w:rsidRPr="00C22708" w:rsidRDefault="00F56D32" w:rsidP="00603157">
      <w:pPr>
        <w:rPr>
          <w:noProof/>
        </w:rPr>
      </w:pPr>
      <w:r w:rsidRPr="00C22708">
        <w:rPr>
          <w:noProof/>
        </w:rPr>
        <w:t xml:space="preserve">Open-text responses and position papers linked to this issue area frequently emphasised the </w:t>
      </w:r>
      <w:r w:rsidRPr="00C22708">
        <w:rPr>
          <w:b/>
          <w:bCs/>
          <w:noProof/>
        </w:rPr>
        <w:t>importance of coordinated, continuous, and predictable funding across the entire in</w:t>
      </w:r>
      <w:r>
        <w:rPr>
          <w:b/>
          <w:bCs/>
          <w:noProof/>
        </w:rPr>
        <w:t>vestment journey</w:t>
      </w:r>
      <w:r w:rsidRPr="00C22708">
        <w:rPr>
          <w:noProof/>
        </w:rPr>
        <w:t xml:space="preserve">. Respondents frequently noted that gaps in EU budget support, particularly at critical stages like scale-up and market application, can hinder the translation of research into commercial solutions. Businesses, in particular, highlighted the need to </w:t>
      </w:r>
      <w:r w:rsidRPr="00C22708">
        <w:rPr>
          <w:b/>
          <w:bCs/>
          <w:noProof/>
        </w:rPr>
        <w:t>address funding gaps</w:t>
      </w:r>
      <w:r w:rsidRPr="00C22708">
        <w:rPr>
          <w:noProof/>
        </w:rPr>
        <w:t xml:space="preserve"> between early-stage feasibility and later-stage scale-up, and suggested increasing the use of streamlined funding instruments, such as cascade funding, and stronger public-private partnerships.</w:t>
      </w:r>
    </w:p>
    <w:p w14:paraId="71C0DA6A" w14:textId="77777777" w:rsidR="00F56D32" w:rsidRPr="00C22708" w:rsidRDefault="00F56D32" w:rsidP="00603157">
      <w:pPr>
        <w:rPr>
          <w:noProof/>
        </w:rPr>
      </w:pPr>
      <w:r w:rsidRPr="00C22708">
        <w:rPr>
          <w:noProof/>
        </w:rPr>
        <w:t xml:space="preserve">Academic and research institutions, businesses, and public authorities also frequently stressed the need for </w:t>
      </w:r>
      <w:r w:rsidRPr="00C22708">
        <w:rPr>
          <w:b/>
          <w:bCs/>
          <w:noProof/>
        </w:rPr>
        <w:t>closer alignment between EU and national funding frameworks</w:t>
      </w:r>
      <w:r w:rsidRPr="00C22708">
        <w:rPr>
          <w:noProof/>
        </w:rPr>
        <w:t xml:space="preserve"> to prevent breaks in the innovation pipeline. Additionally, some respondents called for </w:t>
      </w:r>
      <w:r w:rsidRPr="00C22708">
        <w:rPr>
          <w:b/>
          <w:bCs/>
          <w:noProof/>
        </w:rPr>
        <w:t>more systematic integration of research, development and innovation components</w:t>
      </w:r>
      <w:r w:rsidRPr="00C22708">
        <w:rPr>
          <w:noProof/>
        </w:rPr>
        <w:t xml:space="preserve"> within EU funding programmes to reduce fragmentation across funding instruments and improve coordination.</w:t>
      </w:r>
    </w:p>
    <w:p w14:paraId="0E87F5EB" w14:textId="77777777" w:rsidR="00F56D32" w:rsidRPr="00C22708" w:rsidRDefault="00F56D32" w:rsidP="00603157">
      <w:pPr>
        <w:pStyle w:val="Heading3"/>
        <w:rPr>
          <w:noProof/>
        </w:rPr>
      </w:pPr>
      <w:r w:rsidRPr="00C22708">
        <w:rPr>
          <w:noProof/>
        </w:rPr>
        <w:t>Low and fragmented investment in strategic sectors</w:t>
      </w:r>
    </w:p>
    <w:p w14:paraId="10F1F0F2" w14:textId="77777777" w:rsidR="00F56D32" w:rsidRPr="00C22708" w:rsidRDefault="00F56D32" w:rsidP="00603157">
      <w:pPr>
        <w:rPr>
          <w:noProof/>
        </w:rPr>
      </w:pPr>
      <w:r w:rsidRPr="00C22708">
        <w:rPr>
          <w:noProof/>
        </w:rPr>
        <w:t xml:space="preserve">Low and fragmented investment in key sectors emerged as a key issue area among respondents. The </w:t>
      </w:r>
      <w:r w:rsidRPr="00C22708">
        <w:rPr>
          <w:b/>
          <w:bCs/>
          <w:noProof/>
        </w:rPr>
        <w:t>EU’s innovation and technological gap with global competitors</w:t>
      </w:r>
      <w:r w:rsidRPr="00C22708">
        <w:rPr>
          <w:noProof/>
        </w:rPr>
        <w:t xml:space="preserve"> was rated as (very) important by 81% (1 614 out of 1 973) of respondents, making it one of the most frequently cited challenges. This view was especially strong among</w:t>
      </w:r>
      <w:r w:rsidRPr="00C22708" w:rsidDel="00847B7E">
        <w:rPr>
          <w:noProof/>
        </w:rPr>
        <w:t xml:space="preserve"> </w:t>
      </w:r>
      <w:r w:rsidRPr="00C22708">
        <w:rPr>
          <w:noProof/>
        </w:rPr>
        <w:t xml:space="preserve">businesses (88%, 332 out of 374) and academic or research institutions (88%, 389 out of 440). The </w:t>
      </w:r>
      <w:r w:rsidRPr="00C22708">
        <w:rPr>
          <w:b/>
          <w:bCs/>
          <w:noProof/>
        </w:rPr>
        <w:t>EU’s dependence on non-EU countries for critical inputs and technologies</w:t>
      </w:r>
      <w:r w:rsidRPr="00C22708">
        <w:rPr>
          <w:noProof/>
        </w:rPr>
        <w:t xml:space="preserve"> was also widely recognised (76%, 1 490 out of 1 957), with EU citizens expressing higher levels of importance (83%, 428 out of 515) compared to other stakeholders. Other related issues included climate resilience and decarbonisation (77%, 1 514 out of 1 971) and the digitalisation of key sectors (72%, 1 394 out of 1 946).</w:t>
      </w:r>
    </w:p>
    <w:p w14:paraId="2CB52CB6" w14:textId="77777777" w:rsidR="00F56D32" w:rsidRPr="00C22708" w:rsidRDefault="00F56D32" w:rsidP="00603157">
      <w:pPr>
        <w:rPr>
          <w:noProof/>
        </w:rPr>
      </w:pPr>
      <w:r w:rsidRPr="00C22708">
        <w:rPr>
          <w:noProof/>
        </w:rPr>
        <w:t xml:space="preserve">Reflecting these concerns, stakeholders showed strong support for targeted measures to </w:t>
      </w:r>
      <w:r w:rsidRPr="00C22708">
        <w:rPr>
          <w:b/>
          <w:bCs/>
          <w:noProof/>
        </w:rPr>
        <w:t>limit EU dependencies in strategic sectors</w:t>
      </w:r>
      <w:r w:rsidRPr="00C22708">
        <w:rPr>
          <w:noProof/>
        </w:rPr>
        <w:t xml:space="preserve">, which was one of the most widely supported measures overall, with 82% (1 583 out of 1 938) of respondents viewing it at least somewhat impactful. Support was especially high among member state authorities (88%, 204 out of 231) and EU citizens (87%, 447 out of 511). There was also broad support for </w:t>
      </w:r>
      <w:r w:rsidRPr="00C22708">
        <w:rPr>
          <w:b/>
          <w:bCs/>
          <w:noProof/>
        </w:rPr>
        <w:t>increasing the focus of EU funding on key current and future strategic priorities</w:t>
      </w:r>
      <w:r w:rsidRPr="00C22708">
        <w:rPr>
          <w:noProof/>
        </w:rPr>
        <w:t xml:space="preserve"> (87%, 1 689 out of 1 951), with support particularly high among businesses (93%, 341 out of 370) and member state authorities (92%, 214 out of 231).</w:t>
      </w:r>
    </w:p>
    <w:p w14:paraId="3D810FD1" w14:textId="77777777" w:rsidR="00F56D32" w:rsidRPr="00C22708" w:rsidRDefault="00F56D32" w:rsidP="00603157">
      <w:pPr>
        <w:rPr>
          <w:noProof/>
        </w:rPr>
      </w:pPr>
      <w:r w:rsidRPr="00C22708">
        <w:rPr>
          <w:noProof/>
        </w:rPr>
        <w:t xml:space="preserve">In open-text responses and position papers, </w:t>
      </w:r>
      <w:r w:rsidRPr="00C22708">
        <w:rPr>
          <w:b/>
          <w:bCs/>
          <w:noProof/>
        </w:rPr>
        <w:t>strategic priorities were among the most frequently discussed areas</w:t>
      </w:r>
      <w:r w:rsidRPr="00C22708">
        <w:rPr>
          <w:noProof/>
        </w:rPr>
        <w:t xml:space="preserve">. Respondents across stakeholder groups highlighted the need for </w:t>
      </w:r>
      <w:r w:rsidRPr="00C22708">
        <w:rPr>
          <w:b/>
          <w:bCs/>
          <w:noProof/>
        </w:rPr>
        <w:t>more coordinated and sustained investment</w:t>
      </w:r>
      <w:r w:rsidRPr="00C22708">
        <w:rPr>
          <w:noProof/>
        </w:rPr>
        <w:t xml:space="preserve"> in areas they considered essential to long-term competitiveness, such as digital technologies, AI, biotech, clean tech, and critical infrastructure. Contributions frequently noted that EU and member state investments in these sectors remained fragmented and often lacked the scale needed to address the capital needs of high-impact sectors.</w:t>
      </w:r>
    </w:p>
    <w:p w14:paraId="1B48ACA1" w14:textId="77777777" w:rsidR="00F56D32" w:rsidRPr="00C22708" w:rsidRDefault="00F56D32" w:rsidP="00603157">
      <w:pPr>
        <w:rPr>
          <w:noProof/>
        </w:rPr>
      </w:pPr>
      <w:r w:rsidRPr="00C22708">
        <w:rPr>
          <w:noProof/>
        </w:rPr>
        <w:t xml:space="preserve">Business stakeholders frequently emphasised the importance of </w:t>
      </w:r>
      <w:r w:rsidRPr="00C22708">
        <w:rPr>
          <w:b/>
          <w:bCs/>
          <w:noProof/>
        </w:rPr>
        <w:t>greater investments in specific sectors</w:t>
      </w:r>
      <w:r w:rsidRPr="00C22708">
        <w:rPr>
          <w:noProof/>
        </w:rPr>
        <w:t xml:space="preserve"> to support long-term research and development, infrastructure modernisation, and decarbonisation. Similarly, academic and research institutions called for expanded investments in </w:t>
      </w:r>
      <w:r w:rsidRPr="00C22708">
        <w:rPr>
          <w:b/>
          <w:bCs/>
          <w:noProof/>
        </w:rPr>
        <w:t>research and technology infrastructures</w:t>
      </w:r>
      <w:r w:rsidRPr="00C22708">
        <w:rPr>
          <w:noProof/>
        </w:rPr>
        <w:t xml:space="preserve">, noting that advanced facilities and equipment are essential for scaling innovations and maintaining global competitiveness (see also section below on capacity gaps). Additionally, respondents from various stakeholder groups frequently highlighted the importance of </w:t>
      </w:r>
      <w:r w:rsidRPr="00C22708">
        <w:rPr>
          <w:b/>
          <w:bCs/>
          <w:noProof/>
        </w:rPr>
        <w:t>increasing investment levels to better support broader sustainability objectives</w:t>
      </w:r>
      <w:r w:rsidRPr="00C22708">
        <w:rPr>
          <w:noProof/>
        </w:rPr>
        <w:t>, including climate resilience, biodiversity, and circular economy goals, in order to enable key transitions and strengthen Europe’s strategic autonomy.</w:t>
      </w:r>
    </w:p>
    <w:p w14:paraId="4E135EF3" w14:textId="77777777" w:rsidR="00F56D32" w:rsidRPr="00C22708" w:rsidRDefault="00F56D32" w:rsidP="00603157">
      <w:pPr>
        <w:pStyle w:val="Heading3"/>
        <w:rPr>
          <w:noProof/>
        </w:rPr>
      </w:pPr>
      <w:r w:rsidRPr="00C22708">
        <w:rPr>
          <w:noProof/>
        </w:rPr>
        <w:t>Financing gap at scale-up level and insufficient leverage of private investment</w:t>
      </w:r>
    </w:p>
    <w:p w14:paraId="582E6E89" w14:textId="77777777" w:rsidR="00F56D32" w:rsidRPr="00C22708" w:rsidRDefault="00F56D32" w:rsidP="00603157">
      <w:pPr>
        <w:rPr>
          <w:noProof/>
        </w:rPr>
      </w:pPr>
      <w:r w:rsidRPr="00C22708">
        <w:rPr>
          <w:b/>
          <w:bCs/>
          <w:noProof/>
        </w:rPr>
        <w:t>Access to finance for small businesses and scale-up companies</w:t>
      </w:r>
      <w:r w:rsidRPr="00C22708">
        <w:rPr>
          <w:noProof/>
        </w:rPr>
        <w:t xml:space="preserve"> was seen as a (very) important challenge by 65% (1 273 out of 1 962) of respondents, with businesses (73%, 271 out of 373) – in particular SMEs (84%, 87 out of 103) – and member state authorities (76%, 175 out of 231) expressing the highest importance. </w:t>
      </w:r>
      <w:r w:rsidRPr="00C22708">
        <w:rPr>
          <w:b/>
          <w:bCs/>
          <w:noProof/>
        </w:rPr>
        <w:t>Insufficient private investment</w:t>
      </w:r>
      <w:r w:rsidRPr="00C22708">
        <w:rPr>
          <w:noProof/>
        </w:rPr>
        <w:t xml:space="preserve"> was also noted by 62% (1 218 out of 1 951) overall, though this view was more strongly held by member state authorities (75%, 171 out of 230).</w:t>
      </w:r>
    </w:p>
    <w:p w14:paraId="08536AF2" w14:textId="77777777" w:rsidR="00F56D32" w:rsidRPr="00C22708" w:rsidRDefault="00F56D32" w:rsidP="00603157">
      <w:pPr>
        <w:rPr>
          <w:noProof/>
        </w:rPr>
      </w:pPr>
      <w:r w:rsidRPr="00C22708">
        <w:rPr>
          <w:noProof/>
        </w:rPr>
        <w:t xml:space="preserve">In the open responses and position papers, respondents who addressed this aspect frequently highlighted </w:t>
      </w:r>
      <w:r w:rsidRPr="00C22708">
        <w:rPr>
          <w:b/>
          <w:bCs/>
          <w:noProof/>
        </w:rPr>
        <w:t>persistent challenges associated with securing adequate financing at the scale-up and deployment stages</w:t>
      </w:r>
      <w:r w:rsidRPr="00C22708">
        <w:rPr>
          <w:noProof/>
        </w:rPr>
        <w:t>. Respondents frequently pointed to gaps in access to venture capital, particularly for high-risk, deep-tech sectors. Some contributions also noted that fragmented capital markets and high levels of investor risk aversion in the EU overall limit the availability of private capital, which can make it more difficult for innovative firms to reach commercial scale.</w:t>
      </w:r>
    </w:p>
    <w:p w14:paraId="033A6BFB" w14:textId="77777777" w:rsidR="00F56D32" w:rsidRPr="00C22708" w:rsidRDefault="00F56D32" w:rsidP="00603157">
      <w:pPr>
        <w:rPr>
          <w:noProof/>
        </w:rPr>
      </w:pPr>
      <w:r w:rsidRPr="00C22708">
        <w:rPr>
          <w:noProof/>
        </w:rPr>
        <w:t xml:space="preserve">In this context, contributions from businesses frequently emphasised the </w:t>
      </w:r>
      <w:r w:rsidRPr="00C22708">
        <w:rPr>
          <w:b/>
          <w:bCs/>
          <w:noProof/>
        </w:rPr>
        <w:t>need for more effective de-risking mechanisms</w:t>
      </w:r>
      <w:r w:rsidRPr="00C22708">
        <w:rPr>
          <w:noProof/>
        </w:rPr>
        <w:t xml:space="preserve">, such as blended finance models or matched equity instruments, particularly to support start-ups and SMEs. They also highlighted the potential role of </w:t>
      </w:r>
      <w:r w:rsidRPr="00C22708">
        <w:rPr>
          <w:b/>
          <w:bCs/>
          <w:noProof/>
        </w:rPr>
        <w:t>strategic public-private partnerships</w:t>
      </w:r>
      <w:r w:rsidRPr="00C22708">
        <w:rPr>
          <w:noProof/>
        </w:rPr>
        <w:t xml:space="preserve"> in attracting private capital by reducing perceived investment risks. </w:t>
      </w:r>
      <w:r w:rsidRPr="00597295">
        <w:rPr>
          <w:noProof/>
        </w:rPr>
        <w:t>This view is also shared by EU financing institutions that contributed to the consultation, which emphasised the need to leverage public resources through risk-sharing schemes and blended instruments to increase impact and crowd in private capital. In relation to a possible competitiveness fund, they advocate for a structure that combines EU budgetary guarantees with grant funding to maximise the impact and leverage of public spending. They also emphasise</w:t>
      </w:r>
      <w:r>
        <w:rPr>
          <w:noProof/>
        </w:rPr>
        <w:t>d</w:t>
      </w:r>
      <w:r w:rsidRPr="00597295">
        <w:rPr>
          <w:noProof/>
        </w:rPr>
        <w:t xml:space="preserve"> the importance of ensuring access to finance for SMEs and support the ‘</w:t>
      </w:r>
      <w:r w:rsidRPr="00B4058A">
        <w:rPr>
          <w:b/>
          <w:bCs/>
          <w:noProof/>
        </w:rPr>
        <w:t>open architecture’</w:t>
      </w:r>
      <w:r w:rsidRPr="00597295">
        <w:rPr>
          <w:noProof/>
        </w:rPr>
        <w:t xml:space="preserve"> approach for national promotional banks and institutions and international financial institutions. </w:t>
      </w:r>
      <w:r w:rsidRPr="00C22708">
        <w:rPr>
          <w:noProof/>
        </w:rPr>
        <w:t xml:space="preserve">Some of the respondents, including public authorities and businesses, also suggested </w:t>
      </w:r>
      <w:r w:rsidRPr="00C22708">
        <w:rPr>
          <w:b/>
          <w:bCs/>
          <w:noProof/>
        </w:rPr>
        <w:t>strengthening EU-level structures</w:t>
      </w:r>
      <w:r w:rsidRPr="00C22708">
        <w:rPr>
          <w:noProof/>
        </w:rPr>
        <w:t xml:space="preserve"> to mobilise private capital and </w:t>
      </w:r>
      <w:r w:rsidRPr="00C22708">
        <w:rPr>
          <w:b/>
          <w:bCs/>
          <w:noProof/>
        </w:rPr>
        <w:t xml:space="preserve">creating clearer and more accessible pathways </w:t>
      </w:r>
      <w:r w:rsidRPr="00C22708">
        <w:rPr>
          <w:noProof/>
        </w:rPr>
        <w:t>to investment tools.</w:t>
      </w:r>
    </w:p>
    <w:p w14:paraId="734D3A26" w14:textId="77777777" w:rsidR="00F56D32" w:rsidRPr="00C22708" w:rsidRDefault="00F56D32" w:rsidP="00603157">
      <w:pPr>
        <w:pStyle w:val="Heading3"/>
        <w:rPr>
          <w:noProof/>
        </w:rPr>
      </w:pPr>
      <w:r w:rsidRPr="00C22708">
        <w:rPr>
          <w:noProof/>
        </w:rPr>
        <w:t>Capacity gaps (labour and skills shortage, infrastructure, R&amp;I divide)</w:t>
      </w:r>
    </w:p>
    <w:p w14:paraId="74BCA5F6" w14:textId="77777777" w:rsidR="00F56D32" w:rsidRPr="00C22708" w:rsidRDefault="00F56D32" w:rsidP="00603157">
      <w:pPr>
        <w:rPr>
          <w:noProof/>
        </w:rPr>
      </w:pPr>
      <w:r w:rsidRPr="00C22708">
        <w:rPr>
          <w:noProof/>
        </w:rPr>
        <w:t xml:space="preserve">Capacity-related challenges were generally viewed as moderately important by respondents, though member state authorities in particular expressed stronger concern than other groups. </w:t>
      </w:r>
      <w:r w:rsidRPr="00C22708">
        <w:rPr>
          <w:b/>
          <w:noProof/>
        </w:rPr>
        <w:t>Insufficient innovation and manufacturing capacity</w:t>
      </w:r>
      <w:r w:rsidRPr="00C22708">
        <w:rPr>
          <w:noProof/>
        </w:rPr>
        <w:t xml:space="preserve"> for strategic technologies was the most commonly cited issue in this area, rated as (very) important by 70% (1 367 out of 1 956) of respondents, with fairly consistent views across stakeholder groups. The </w:t>
      </w:r>
      <w:r w:rsidRPr="00C22708">
        <w:rPr>
          <w:b/>
          <w:noProof/>
        </w:rPr>
        <w:t>mismatch between skills and labour market demands</w:t>
      </w:r>
      <w:r w:rsidRPr="00C22708">
        <w:rPr>
          <w:noProof/>
        </w:rPr>
        <w:t xml:space="preserve"> was seen as (very) important by 62% (1 208 out of 1 954) overall but rose to 77% (175) among member state authorities (N=230). Similarly, </w:t>
      </w:r>
      <w:r w:rsidRPr="00C22708">
        <w:rPr>
          <w:b/>
          <w:noProof/>
        </w:rPr>
        <w:t>attracting world-class researchers, skilled workers and entrepreneurs</w:t>
      </w:r>
      <w:r w:rsidRPr="00C22708">
        <w:rPr>
          <w:noProof/>
        </w:rPr>
        <w:t xml:space="preserve"> received 65% (1 268 out of 1 957) support overall, with higher concern from academic/research institutions (76%, 336 out of 441) and member state authorities (73%, 169 out of 232) compared to businesses (55%, 201 out of 369). </w:t>
      </w:r>
      <w:r w:rsidRPr="00C22708">
        <w:rPr>
          <w:b/>
          <w:noProof/>
        </w:rPr>
        <w:t>Disparities in innovation and industrial capacity across member states</w:t>
      </w:r>
      <w:r w:rsidRPr="00C22708">
        <w:rPr>
          <w:noProof/>
        </w:rPr>
        <w:t xml:space="preserve"> were considered (very) important by 58% (1 133 out of 1 954) overall, with fairly consistent views across stakeholder types.</w:t>
      </w:r>
    </w:p>
    <w:p w14:paraId="0437BD57" w14:textId="77777777" w:rsidR="00F56D32" w:rsidRPr="00C22708" w:rsidRDefault="00F56D32" w:rsidP="00603157">
      <w:pPr>
        <w:rPr>
          <w:noProof/>
        </w:rPr>
      </w:pPr>
      <w:r w:rsidRPr="00C22708">
        <w:rPr>
          <w:noProof/>
        </w:rPr>
        <w:t xml:space="preserve">In open responses and position papers, respondents frequently highlighted perceived </w:t>
      </w:r>
      <w:r w:rsidRPr="00C22708">
        <w:rPr>
          <w:b/>
          <w:noProof/>
        </w:rPr>
        <w:t>gaps in the EU’s capacity to sustain a competitive research and innovation base</w:t>
      </w:r>
      <w:r w:rsidRPr="00C22708">
        <w:rPr>
          <w:noProof/>
        </w:rPr>
        <w:t xml:space="preserve">. These included skills shortages, infrastructure deficits, and uneven research and innovation capacity across member states. Contributions frequently emphasised the need for </w:t>
      </w:r>
      <w:r w:rsidRPr="00C22708">
        <w:rPr>
          <w:b/>
          <w:noProof/>
        </w:rPr>
        <w:t>sustained investments</w:t>
      </w:r>
      <w:r w:rsidRPr="00C22708">
        <w:rPr>
          <w:noProof/>
        </w:rPr>
        <w:t xml:space="preserve"> in both physical and digital infrastructure to support the scaling and commercialisation of new technologies in key sectors such as energy, transport, and digital technologies. A recurring theme among academic and research stakeholders was the need for long-term investments in research infrastructures, perceived as important to safeguard Europe’s technological edge and innovation potential. In parallel, public authorities more frequently pointed to regional disparities in research and innovation capacity, emphasising the need to invest in local and regional ecosystems through EU funding instruments.</w:t>
      </w:r>
    </w:p>
    <w:p w14:paraId="69676687" w14:textId="77777777" w:rsidR="00F56D32" w:rsidRPr="00C22708" w:rsidRDefault="00F56D32" w:rsidP="00603157">
      <w:pPr>
        <w:rPr>
          <w:noProof/>
        </w:rPr>
      </w:pPr>
      <w:r w:rsidRPr="00C22708">
        <w:rPr>
          <w:noProof/>
        </w:rPr>
        <w:t xml:space="preserve">In addition to infrastructure, contributions also frequently highlighted the </w:t>
      </w:r>
      <w:r w:rsidRPr="00C22708">
        <w:rPr>
          <w:b/>
          <w:noProof/>
        </w:rPr>
        <w:t>role of skills and talent</w:t>
      </w:r>
      <w:r w:rsidRPr="00C22708">
        <w:rPr>
          <w:noProof/>
        </w:rPr>
        <w:t xml:space="preserve"> in sustaining Europe’s long-term competitiveness. This includes calls for improved training, skills development, and early-stage education to support a highly skilled workforce, particularly in the context of the EU’s green and digital transitions.</w:t>
      </w:r>
    </w:p>
    <w:p w14:paraId="3ED54486" w14:textId="77777777" w:rsidR="00F56D32" w:rsidRPr="00C22708" w:rsidRDefault="00F56D32" w:rsidP="00603157">
      <w:pPr>
        <w:pStyle w:val="Heading3"/>
        <w:rPr>
          <w:noProof/>
        </w:rPr>
      </w:pPr>
      <w:r w:rsidRPr="00C22708">
        <w:rPr>
          <w:noProof/>
        </w:rPr>
        <w:t>Weak translation of research results into marketable outputs</w:t>
      </w:r>
    </w:p>
    <w:p w14:paraId="16B2AFB5" w14:textId="77777777" w:rsidR="00F56D32" w:rsidRPr="00C22708" w:rsidRDefault="00F56D32" w:rsidP="00603157">
      <w:pPr>
        <w:rPr>
          <w:noProof/>
        </w:rPr>
      </w:pPr>
      <w:r w:rsidRPr="00C22708">
        <w:rPr>
          <w:noProof/>
        </w:rPr>
        <w:t xml:space="preserve">While the broader issue of translating research into marketable outcomes was broadly recognised by stakeholders, specific aspects such as coordination between civil and military research were perceived as less pressing. The </w:t>
      </w:r>
      <w:r w:rsidRPr="00C22708">
        <w:rPr>
          <w:b/>
          <w:bCs/>
          <w:noProof/>
        </w:rPr>
        <w:t>inability to bring innovation to market</w:t>
      </w:r>
      <w:r w:rsidRPr="00C22708">
        <w:rPr>
          <w:noProof/>
        </w:rPr>
        <w:t xml:space="preserve"> and integrate it into the EU’s industrial base was considered (very) important by 72% (1 419 out of 1 963) of respondents, with concern especially high among businesses (83%, 309 out of 375) – including SMEs (81%, 83 out of 103) – and member state authorities (80%, 185 out of 231). In contrast, </w:t>
      </w:r>
      <w:r w:rsidRPr="00C22708">
        <w:rPr>
          <w:b/>
          <w:bCs/>
          <w:noProof/>
        </w:rPr>
        <w:t>limited interaction between civil and military research</w:t>
      </w:r>
      <w:r w:rsidRPr="00C22708">
        <w:rPr>
          <w:noProof/>
        </w:rPr>
        <w:t xml:space="preserve"> was rated as the least important challenge across all respondent groups (29%, 561 out of 1 943).</w:t>
      </w:r>
    </w:p>
    <w:p w14:paraId="600B833A" w14:textId="77777777" w:rsidR="00F56D32" w:rsidRPr="00C22708" w:rsidRDefault="00F56D32" w:rsidP="00603157">
      <w:pPr>
        <w:rPr>
          <w:noProof/>
        </w:rPr>
      </w:pPr>
      <w:r w:rsidRPr="00C22708">
        <w:rPr>
          <w:noProof/>
        </w:rPr>
        <w:t xml:space="preserve">Although translating research into marketable outcomes was rated as important in the survey, it received relatively limited attention in open-text responses compared to other issue areas, suggesting broad recognition but fewer concrete proposals. Among those who did comment, contributions frequently emphasised the need for </w:t>
      </w:r>
      <w:r w:rsidRPr="00C22708">
        <w:rPr>
          <w:b/>
          <w:bCs/>
          <w:noProof/>
        </w:rPr>
        <w:t>stronger support mechanisms</w:t>
      </w:r>
      <w:r w:rsidRPr="00C22708">
        <w:rPr>
          <w:noProof/>
        </w:rPr>
        <w:t xml:space="preserve"> to bridge the gap between research and commercial applications. Respondents noted that while the EU has a strong foundation in research, converting scientific advancements into commercially viable innovations remains a challenge. This issue, as emphasised by respondents, is compounded by fragmented support structures, insufficient collaboration between research institutions and businesses, and a lack of integrated innovation pipelines.</w:t>
      </w:r>
    </w:p>
    <w:p w14:paraId="34B6250F" w14:textId="77777777" w:rsidR="00F56D32" w:rsidRPr="00C22708" w:rsidRDefault="00F56D32" w:rsidP="00603157">
      <w:pPr>
        <w:rPr>
          <w:noProof/>
        </w:rPr>
      </w:pPr>
      <w:r w:rsidRPr="00C22708">
        <w:rPr>
          <w:noProof/>
        </w:rPr>
        <w:t xml:space="preserve">In this context, respondents from academic institutions frequently called for </w:t>
      </w:r>
      <w:r w:rsidRPr="00C22708">
        <w:rPr>
          <w:b/>
          <w:noProof/>
        </w:rPr>
        <w:t>stronger links between research and market application</w:t>
      </w:r>
      <w:r w:rsidRPr="00C22708">
        <w:rPr>
          <w:noProof/>
        </w:rPr>
        <w:t xml:space="preserve">, highlighting the importance of applied research actors in this process. Similarly, respondents frequently suggested that </w:t>
      </w:r>
      <w:r w:rsidRPr="00C22708">
        <w:rPr>
          <w:b/>
          <w:bCs/>
          <w:noProof/>
        </w:rPr>
        <w:t>existing funding instruments could be better structured</w:t>
      </w:r>
      <w:r w:rsidRPr="00C22708">
        <w:rPr>
          <w:noProof/>
        </w:rPr>
        <w:t xml:space="preserve"> to support the uptake and commercialisation of research results. Respondents frequently called for clearer pathways and incentives to bring innovations to market, suggesting dedicated measures for applied research and technology transfer. Others emphasised the importance of tailored support for sectors with high capital requirements, such as healthcare, clean tech, and digital technologies.</w:t>
      </w:r>
    </w:p>
    <w:p w14:paraId="4AB873E2" w14:textId="77777777" w:rsidR="00F56D32" w:rsidRPr="00C22708" w:rsidRDefault="00F56D32" w:rsidP="00603157">
      <w:pPr>
        <w:pStyle w:val="Heading3"/>
        <w:rPr>
          <w:noProof/>
        </w:rPr>
      </w:pPr>
      <w:r w:rsidRPr="00C22708">
        <w:rPr>
          <w:noProof/>
        </w:rPr>
        <w:t>Complexity to access, mobilise and implement EU funding for beneficiaries</w:t>
      </w:r>
    </w:p>
    <w:p w14:paraId="2142913A" w14:textId="77777777" w:rsidR="00F56D32" w:rsidRPr="00C22708" w:rsidRDefault="00F56D32" w:rsidP="00603157">
      <w:pPr>
        <w:rPr>
          <w:noProof/>
        </w:rPr>
      </w:pPr>
      <w:r w:rsidRPr="00C22708">
        <w:rPr>
          <w:noProof/>
        </w:rPr>
        <w:t xml:space="preserve">Stakeholder responses pointed to a perceived </w:t>
      </w:r>
      <w:r w:rsidRPr="00C22708">
        <w:rPr>
          <w:b/>
          <w:bCs/>
          <w:noProof/>
        </w:rPr>
        <w:t>need for greater simplification and coherence across funding programmes</w:t>
      </w:r>
      <w:r w:rsidRPr="00C22708">
        <w:rPr>
          <w:noProof/>
        </w:rPr>
        <w:t xml:space="preserve">. In open-text responses and position papers, respondents frequently cited varying eligibility criteria, templates and documentation requirements, across different funds as key </w:t>
      </w:r>
      <w:r w:rsidRPr="00C22708">
        <w:rPr>
          <w:b/>
          <w:bCs/>
          <w:noProof/>
        </w:rPr>
        <w:t>sources of complexity and inefficiency</w:t>
      </w:r>
      <w:r w:rsidRPr="00C22708">
        <w:rPr>
          <w:noProof/>
        </w:rPr>
        <w:t xml:space="preserve">. Aligning rules and procedures across different funds was among the most commonly cited measures that could help reduce administrative burden for stakeholders. </w:t>
      </w:r>
    </w:p>
    <w:p w14:paraId="11CA15AC" w14:textId="77777777" w:rsidR="00F56D32" w:rsidRPr="00C22708" w:rsidRDefault="00F56D32" w:rsidP="00603157">
      <w:pPr>
        <w:rPr>
          <w:noProof/>
        </w:rPr>
      </w:pPr>
      <w:r w:rsidRPr="00C22708">
        <w:rPr>
          <w:noProof/>
        </w:rPr>
        <w:t xml:space="preserve">High </w:t>
      </w:r>
      <w:r w:rsidRPr="00C22708">
        <w:rPr>
          <w:b/>
          <w:bCs/>
          <w:noProof/>
        </w:rPr>
        <w:t>administrative workload</w:t>
      </w:r>
      <w:r w:rsidRPr="00C22708">
        <w:rPr>
          <w:noProof/>
        </w:rPr>
        <w:t xml:space="preserve"> during application and reporting stages was also frequently mentioned as a challenge in open-text responses. This was seen as particularly challenging for smaller organisations, civil society groups, and new entrants, making it more difficult for them to access the EU funding ecosystem. Commonly noted proposals included </w:t>
      </w:r>
      <w:r w:rsidRPr="00C22708">
        <w:rPr>
          <w:b/>
          <w:bCs/>
          <w:noProof/>
        </w:rPr>
        <w:t>simplifying application processes</w:t>
      </w:r>
      <w:r w:rsidRPr="00C22708">
        <w:rPr>
          <w:noProof/>
        </w:rPr>
        <w:t xml:space="preserve">, including the use of two-stage submissions to reduce time spent on unsuccessful proposals. There were also frequent calls for clearer co-financing conditions, simplified budgeting procedures, and greater flexibility in eligibility and project design to support broader participation, while maintaining consistency across different funds. </w:t>
      </w:r>
    </w:p>
    <w:p w14:paraId="10AE126C" w14:textId="77777777" w:rsidR="00F56D32" w:rsidRPr="00C22708" w:rsidRDefault="00F56D32" w:rsidP="00603157">
      <w:pPr>
        <w:rPr>
          <w:noProof/>
        </w:rPr>
      </w:pPr>
      <w:r w:rsidRPr="00C22708">
        <w:rPr>
          <w:noProof/>
        </w:rPr>
        <w:t>Addressing fragmentation through</w:t>
      </w:r>
      <w:r w:rsidRPr="00C22708">
        <w:rPr>
          <w:b/>
          <w:bCs/>
          <w:noProof/>
        </w:rPr>
        <w:t xml:space="preserve"> more integrated rules and governance structures </w:t>
      </w:r>
      <w:r w:rsidRPr="00C22708">
        <w:rPr>
          <w:noProof/>
        </w:rPr>
        <w:t xml:space="preserve">could play a central role in simplifying access and reducing the overall complexities and administrative inefficiencies. Greater </w:t>
      </w:r>
      <w:r w:rsidRPr="00C22708">
        <w:rPr>
          <w:b/>
          <w:bCs/>
          <w:noProof/>
        </w:rPr>
        <w:t>coherence across programmes</w:t>
      </w:r>
      <w:r w:rsidRPr="00C22708">
        <w:rPr>
          <w:noProof/>
        </w:rPr>
        <w:t xml:space="preserve"> is seen to have the potential to improve both the user experience and the overall effectiveness of funding delivery. In particular, </w:t>
      </w:r>
      <w:r w:rsidRPr="00C22708">
        <w:rPr>
          <w:b/>
          <w:bCs/>
          <w:noProof/>
        </w:rPr>
        <w:t>applying common rules, timelines and eligibility criteria</w:t>
      </w:r>
      <w:r w:rsidRPr="00C22708">
        <w:rPr>
          <w:noProof/>
        </w:rPr>
        <w:t xml:space="preserve"> to all relevant EU funds was seen as an impactful possible measure for EU funding to better support EU competitiveness with consistent results across stakeholder groups (76%, 1 502 out of 1 958).</w:t>
      </w:r>
      <w:r>
        <w:rPr>
          <w:noProof/>
        </w:rPr>
        <w:t xml:space="preserve"> </w:t>
      </w:r>
      <w:r w:rsidRPr="00002A72">
        <w:rPr>
          <w:noProof/>
        </w:rPr>
        <w:t>This view is also shared by EU financing institutions that contributed to the consultation, which emphasised the need to simplify and harmonise rules, streamline reporting and eligibility criteria, and reduce administrative burdens, particularly for SMEs and smaller actors. They also stressed the importance of avoiding duplication across programmes and creating a unified, more accessible funding framework.</w:t>
      </w:r>
    </w:p>
    <w:p w14:paraId="01056FC9" w14:textId="68236CFA" w:rsidR="00F56D32" w:rsidRPr="00C22708" w:rsidRDefault="00F56D32" w:rsidP="00603157">
      <w:pPr>
        <w:rPr>
          <w:noProof/>
        </w:rPr>
      </w:pPr>
      <w:r w:rsidRPr="00C22708">
        <w:rPr>
          <w:noProof/>
        </w:rPr>
        <w:t xml:space="preserve">While applying common rules across programmes received strong overall support, a smaller group of 43% (855 out of 1 952) of stakeholders considered that </w:t>
      </w:r>
      <w:r w:rsidRPr="00C22708">
        <w:rPr>
          <w:b/>
          <w:bCs/>
          <w:noProof/>
        </w:rPr>
        <w:t>reducing the number of EU funding programmes</w:t>
      </w:r>
      <w:r w:rsidRPr="00C22708">
        <w:rPr>
          <w:noProof/>
        </w:rPr>
        <w:t xml:space="preserve"> would have a positive effect. Among </w:t>
      </w:r>
      <w:r w:rsidR="00BC541F">
        <w:rPr>
          <w:noProof/>
        </w:rPr>
        <w:t>beneficiaries of the Horizon Europe programme</w:t>
      </w:r>
      <w:r w:rsidRPr="00C22708">
        <w:rPr>
          <w:noProof/>
        </w:rPr>
        <w:t>, 47% (370 out of 791) believed that reducing the number of EU funding programmes would positively impact EU competitiveness. However, views varied across other programmes, with support for decreasing the number of programmes rising to 58% (109 out of 189) among beneficiaries of the Digital Europe programme.</w:t>
      </w:r>
    </w:p>
    <w:p w14:paraId="489E2E7D" w14:textId="77777777" w:rsidR="00F56D32" w:rsidRPr="00C22708" w:rsidRDefault="00F56D32" w:rsidP="00603157">
      <w:pPr>
        <w:rPr>
          <w:noProof/>
        </w:rPr>
      </w:pPr>
      <w:r w:rsidRPr="00C22708">
        <w:rPr>
          <w:noProof/>
        </w:rPr>
        <w:t xml:space="preserve">In open-text responses and position papers, Horizon Europe beneficiaries frequently expressed concern that merging FP10 into a consolidated competitiveness fund could </w:t>
      </w:r>
      <w:r w:rsidRPr="00C22708">
        <w:rPr>
          <w:b/>
          <w:bCs/>
          <w:noProof/>
        </w:rPr>
        <w:t>risk the reallocation of research funding to other policy areas</w:t>
      </w:r>
      <w:r w:rsidRPr="00C22708">
        <w:rPr>
          <w:noProof/>
        </w:rPr>
        <w:t xml:space="preserve">. This reflects the broader uncertainty expressed in some responses, where beneficiaries frequently emphasised the importance of </w:t>
      </w:r>
      <w:r w:rsidRPr="00C22708">
        <w:rPr>
          <w:b/>
          <w:bCs/>
          <w:noProof/>
        </w:rPr>
        <w:t>ensuring dedicated support for scientific excellence</w:t>
      </w:r>
      <w:r w:rsidRPr="00C22708">
        <w:rPr>
          <w:noProof/>
        </w:rPr>
        <w:t xml:space="preserve"> and innovation in order to maintain the EU’s global leadership in research and technology. On the other hand, respondents in favour of a consolidated fund emphasised the importance of</w:t>
      </w:r>
      <w:r w:rsidRPr="00C22708">
        <w:rPr>
          <w:b/>
          <w:bCs/>
          <w:noProof/>
        </w:rPr>
        <w:t xml:space="preserve"> reducing fragmentation and simplifying access</w:t>
      </w:r>
      <w:r w:rsidRPr="00C22708">
        <w:rPr>
          <w:noProof/>
        </w:rPr>
        <w:t xml:space="preserve"> by merging multiple funding streams into a single, more coherent structure. They suggest that this approach could reduce administrative burdens, enhance financial flexibility, and improve coherence across funding streams to better support strategic EU goals, while also enabling faster responses to emerging challenges.</w:t>
      </w:r>
    </w:p>
    <w:p w14:paraId="776A3B4A" w14:textId="77777777" w:rsidR="00F56D32" w:rsidRPr="00C22708" w:rsidRDefault="00F56D32" w:rsidP="00603157">
      <w:pPr>
        <w:pStyle w:val="Heading3"/>
        <w:rPr>
          <w:noProof/>
        </w:rPr>
      </w:pPr>
      <w:r w:rsidRPr="00C22708">
        <w:rPr>
          <w:noProof/>
        </w:rPr>
        <w:t>Governance, structure and coordination mechanisms of EU funding instruments and their implementation</w:t>
      </w:r>
    </w:p>
    <w:p w14:paraId="41716EEF" w14:textId="77777777" w:rsidR="00F56D32" w:rsidRPr="00C22708" w:rsidRDefault="00F56D32" w:rsidP="00603157">
      <w:pPr>
        <w:rPr>
          <w:noProof/>
        </w:rPr>
      </w:pPr>
      <w:r w:rsidRPr="00C22708">
        <w:rPr>
          <w:noProof/>
        </w:rPr>
        <w:t xml:space="preserve">Stakeholders overall agreed on the </w:t>
      </w:r>
      <w:r w:rsidRPr="00C22708">
        <w:rPr>
          <w:b/>
          <w:noProof/>
        </w:rPr>
        <w:t>need to better align EU funding programmes with clear strategic priorities</w:t>
      </w:r>
      <w:r w:rsidRPr="00C22708">
        <w:rPr>
          <w:bCs/>
          <w:noProof/>
        </w:rPr>
        <w:t xml:space="preserve">, </w:t>
      </w:r>
      <w:r w:rsidRPr="00C22708">
        <w:rPr>
          <w:noProof/>
        </w:rPr>
        <w:t xml:space="preserve">in order to avoid funds becoming too widely dispersed and losing focus. This concern was considered (very) important by 66% (1 283 out of 1 961) of respondents, with relatively consistent agreement across stakeholder groups. Similarly, an </w:t>
      </w:r>
      <w:r w:rsidRPr="00C22708">
        <w:rPr>
          <w:b/>
          <w:bCs/>
          <w:noProof/>
        </w:rPr>
        <w:t>increased focus of funding on key current and future strategic priorities</w:t>
      </w:r>
      <w:r w:rsidRPr="00C22708">
        <w:rPr>
          <w:noProof/>
        </w:rPr>
        <w:t xml:space="preserve"> was widely seen as a positive possible measure, with 87% (1 689 out of 1 951) of respondents believing it would have a positive impact </w:t>
      </w:r>
      <w:r w:rsidRPr="00C22708">
        <w:rPr>
          <w:i/>
          <w:iCs/>
          <w:noProof/>
        </w:rPr>
        <w:t>to a large extent</w:t>
      </w:r>
      <w:r w:rsidRPr="00C22708">
        <w:rPr>
          <w:noProof/>
        </w:rPr>
        <w:t xml:space="preserve"> or </w:t>
      </w:r>
      <w:r w:rsidRPr="00C22708">
        <w:rPr>
          <w:i/>
          <w:iCs/>
          <w:noProof/>
        </w:rPr>
        <w:t>somewhat</w:t>
      </w:r>
      <w:r w:rsidRPr="00C22708">
        <w:rPr>
          <w:noProof/>
        </w:rPr>
        <w:t xml:space="preserve">. At the same time, some open-text responses expressed caution about introducing overly complex targets in the process of aligning funding with strategic priorities, warning that this could potentially increase administrative burden. </w:t>
      </w:r>
    </w:p>
    <w:p w14:paraId="37B993C7" w14:textId="0A06B342" w:rsidR="00F56D32" w:rsidRPr="00C22708" w:rsidRDefault="00F56D32" w:rsidP="00603157">
      <w:pPr>
        <w:rPr>
          <w:noProof/>
        </w:rPr>
      </w:pPr>
      <w:r w:rsidRPr="00C22708">
        <w:rPr>
          <w:b/>
          <w:noProof/>
        </w:rPr>
        <w:t>Introducing more flexibility into resource allocation to react to crises and emerging needs</w:t>
      </w:r>
      <w:r w:rsidRPr="00C22708">
        <w:rPr>
          <w:noProof/>
        </w:rPr>
        <w:t xml:space="preserve"> was considered impactful by 79% (1 528 out of 1 932) of respondents, with most stakeholder groups showing consistent support. In open-text responses and position papers, respondents broadly agreed on the </w:t>
      </w:r>
      <w:r w:rsidRPr="00C22708">
        <w:rPr>
          <w:b/>
          <w:bCs/>
          <w:noProof/>
        </w:rPr>
        <w:t>need for greater flexibility in EU funding instruments to address emerging needs and crises</w:t>
      </w:r>
      <w:r w:rsidRPr="00C22708">
        <w:rPr>
          <w:noProof/>
        </w:rPr>
        <w:t>, while ensuring the stability required for long-term strategic priorities. Contributions frequently highlighted the importance of funding mechanisms that can quickly respond to crises and changing needs and priorities, supporting the idea of more adaptable funding instruments. At the same time, respondents emphasised the importance of predictable funding frameworks to support long-term planning, particularly in areas like research and infrastructure where continuity is important.</w:t>
      </w:r>
    </w:p>
    <w:p w14:paraId="656701AC" w14:textId="77777777" w:rsidR="00F56D32" w:rsidRPr="00C22708" w:rsidRDefault="00F56D32" w:rsidP="00603157">
      <w:pPr>
        <w:rPr>
          <w:noProof/>
        </w:rPr>
      </w:pPr>
      <w:r w:rsidRPr="00C22708">
        <w:rPr>
          <w:noProof/>
        </w:rPr>
        <w:t xml:space="preserve">The </w:t>
      </w:r>
      <w:r w:rsidRPr="00C22708">
        <w:rPr>
          <w:b/>
          <w:noProof/>
        </w:rPr>
        <w:t>lack of coherence between EU, national, and regional policies for competitiveness</w:t>
      </w:r>
      <w:r w:rsidRPr="00C22708">
        <w:rPr>
          <w:noProof/>
        </w:rPr>
        <w:t xml:space="preserve"> was assessed as a moderately important challenge by all stakeholder groups. Overall, 71% (1 391 out of 1 964) of respondents considered it (very) important, with fairly consistent views across stakeholder groups. Although relatively few open-text responses and position papers discussed this aspect in detail, some contributions pointed to the relevance of ensuring an appropriate balance between EU-level centralised management and member state involvement, particularly in relation to projects with substantial infrastructure or economic development implications.</w:t>
      </w:r>
    </w:p>
    <w:p w14:paraId="3BB80F28" w14:textId="77777777" w:rsidR="00F56D32" w:rsidRPr="00C22708" w:rsidRDefault="00F56D32" w:rsidP="00603157">
      <w:pPr>
        <w:pStyle w:val="Heading3"/>
        <w:rPr>
          <w:noProof/>
        </w:rPr>
      </w:pPr>
      <w:r w:rsidRPr="00C22708">
        <w:rPr>
          <w:noProof/>
        </w:rPr>
        <w:t>Role of the EU budget in addressing challenges</w:t>
      </w:r>
    </w:p>
    <w:p w14:paraId="1F2A4C0C" w14:textId="77777777" w:rsidR="00F56D32" w:rsidRPr="00C22708" w:rsidRDefault="00F56D32" w:rsidP="00603157">
      <w:pPr>
        <w:rPr>
          <w:noProof/>
        </w:rPr>
      </w:pPr>
      <w:r w:rsidRPr="00C22708">
        <w:rPr>
          <w:noProof/>
        </w:rPr>
        <w:t xml:space="preserve">The results suggest </w:t>
      </w:r>
      <w:r w:rsidRPr="00C22708">
        <w:rPr>
          <w:b/>
          <w:bCs/>
          <w:noProof/>
        </w:rPr>
        <w:t>varied perceptions of the EU budget’s contribution across different policy areas</w:t>
      </w:r>
      <w:r w:rsidRPr="00C22708">
        <w:rPr>
          <w:noProof/>
        </w:rPr>
        <w:t xml:space="preserve">, with stronger recognition in more established domains of EU action and less in areas involving cross-sector collaboration or private investment. The strongest areas of contribution are seen in </w:t>
      </w:r>
      <w:r w:rsidRPr="00C22708">
        <w:rPr>
          <w:b/>
          <w:noProof/>
        </w:rPr>
        <w:t>facilitating collaboration between research and industry</w:t>
      </w:r>
      <w:r w:rsidRPr="00C22708">
        <w:rPr>
          <w:noProof/>
        </w:rPr>
        <w:t xml:space="preserve">, </w:t>
      </w:r>
      <w:r w:rsidRPr="00C22708">
        <w:rPr>
          <w:b/>
          <w:noProof/>
        </w:rPr>
        <w:t>decarbonisation and sustainability of strategic sectors</w:t>
      </w:r>
      <w:r w:rsidRPr="00C22708">
        <w:rPr>
          <w:noProof/>
        </w:rPr>
        <w:t xml:space="preserve">, and the </w:t>
      </w:r>
      <w:r w:rsidRPr="00C22708">
        <w:rPr>
          <w:b/>
          <w:noProof/>
        </w:rPr>
        <w:t>digitalisation and diffusion of advanced technologies</w:t>
      </w:r>
      <w:r w:rsidRPr="00C22708">
        <w:rPr>
          <w:noProof/>
        </w:rPr>
        <w:t xml:space="preserve"> (see figure below). The lowest perceived contributions relate to fertilisation between civil and military research and development. In general, perceptions of the EU budget’s contribution are broadly aligned across stakeholder groups. Open-text responses on other relevant areas most frequently emphasised that the EU budget also plays an important role in promoting democratic market regulation, strengthening regional innovation ecosystems, and enhancing technological sovereignty through investment in research.</w:t>
      </w:r>
    </w:p>
    <w:p w14:paraId="34B42C05" w14:textId="169A2A42" w:rsidR="00F56D32" w:rsidRPr="00977BAC" w:rsidRDefault="00F56D32" w:rsidP="00603157">
      <w:pPr>
        <w:pStyle w:val="tabletitle"/>
        <w:keepNext/>
        <w:keepLines/>
        <w:spacing w:after="0"/>
        <w:rPr>
          <w:rFonts w:ascii="Times New Roman" w:hAnsi="Times New Roman"/>
          <w:lang w:val="en-GB"/>
        </w:rPr>
      </w:pPr>
      <w:r w:rsidRPr="00977BAC">
        <w:rPr>
          <w:rFonts w:ascii="Times New Roman" w:hAnsi="Times New Roman"/>
          <w:lang w:val="en-GB"/>
        </w:rPr>
        <w:t xml:space="preserve">Figure </w:t>
      </w:r>
      <w:r w:rsidRPr="00977BAC">
        <w:rPr>
          <w:rFonts w:ascii="Times New Roman" w:hAnsi="Times New Roman"/>
          <w:lang w:val="en-GB"/>
        </w:rPr>
        <w:fldChar w:fldCharType="begin"/>
      </w:r>
      <w:r w:rsidRPr="00977BAC">
        <w:rPr>
          <w:rFonts w:ascii="Times New Roman" w:hAnsi="Times New Roman"/>
          <w:lang w:val="en-GB"/>
        </w:rPr>
        <w:instrText xml:space="preserve"> SEQ Figure \* ARABIC </w:instrText>
      </w:r>
      <w:r w:rsidRPr="00977BAC">
        <w:rPr>
          <w:rFonts w:ascii="Times New Roman" w:hAnsi="Times New Roman"/>
          <w:lang w:val="en-GB"/>
        </w:rPr>
        <w:fldChar w:fldCharType="separate"/>
      </w:r>
      <w:r w:rsidR="007722AE">
        <w:rPr>
          <w:rFonts w:ascii="Times New Roman" w:hAnsi="Times New Roman"/>
          <w:lang w:val="en-GB"/>
        </w:rPr>
        <w:t>7</w:t>
      </w:r>
      <w:r w:rsidRPr="00977BAC">
        <w:rPr>
          <w:rFonts w:ascii="Times New Roman" w:hAnsi="Times New Roman"/>
          <w:lang w:val="en-GB"/>
        </w:rPr>
        <w:fldChar w:fldCharType="end"/>
      </w:r>
      <w:r w:rsidRPr="00977BAC">
        <w:rPr>
          <w:rFonts w:ascii="Times New Roman" w:hAnsi="Times New Roman"/>
          <w:lang w:val="en-GB"/>
        </w:rPr>
        <w:t>. Role of the EU budget</w:t>
      </w:r>
    </w:p>
    <w:p w14:paraId="7F09967A" w14:textId="77777777" w:rsidR="00F56D32" w:rsidRPr="00C22708" w:rsidRDefault="00F56D32" w:rsidP="00603157">
      <w:pPr>
        <w:pStyle w:val="tabletitle"/>
        <w:keepLines/>
        <w:spacing w:after="0"/>
        <w:rPr>
          <w:lang w:val="en-GB"/>
        </w:rPr>
      </w:pPr>
      <w:r w:rsidRPr="00C22708">
        <w:rPr>
          <w:lang w:val="en-GB" w:eastAsia="en-GB"/>
        </w:rPr>
        <w:drawing>
          <wp:inline distT="0" distB="0" distL="0" distR="0" wp14:anchorId="14BFAC22" wp14:editId="183B4A27">
            <wp:extent cx="5941695" cy="4572000"/>
            <wp:effectExtent l="0" t="0" r="1905" b="0"/>
            <wp:docPr id="203462574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DEBE48" w14:textId="77777777" w:rsidR="00F56D32" w:rsidRPr="00C22708" w:rsidRDefault="00F56D32" w:rsidP="00603157">
      <w:pPr>
        <w:pStyle w:val="Heading3"/>
        <w:rPr>
          <w:noProof/>
        </w:rPr>
      </w:pPr>
      <w:r w:rsidRPr="00C22708">
        <w:rPr>
          <w:noProof/>
        </w:rPr>
        <w:t>Research support</w:t>
      </w:r>
    </w:p>
    <w:p w14:paraId="5536A2A7" w14:textId="77777777" w:rsidR="00F56D32" w:rsidRPr="00C22708" w:rsidRDefault="00F56D32" w:rsidP="00603157">
      <w:pPr>
        <w:rPr>
          <w:noProof/>
        </w:rPr>
      </w:pPr>
      <w:r w:rsidRPr="00C22708">
        <w:rPr>
          <w:noProof/>
        </w:rPr>
        <w:t xml:space="preserve">The survey results show that </w:t>
      </w:r>
      <w:r w:rsidRPr="00C22708">
        <w:rPr>
          <w:b/>
          <w:noProof/>
        </w:rPr>
        <w:t>applied research</w:t>
      </w:r>
      <w:r w:rsidRPr="00C22708">
        <w:rPr>
          <w:noProof/>
        </w:rPr>
        <w:t xml:space="preserve"> is perceived as the most important stage for support under the next Multiannual Financial Framework, with 72% (1 411 out of 1 954) of respondents indicating it should be supported to a large extent (see figure below). This was followed by </w:t>
      </w:r>
      <w:r w:rsidRPr="00C22708">
        <w:rPr>
          <w:b/>
          <w:bCs/>
          <w:noProof/>
        </w:rPr>
        <w:t>early</w:t>
      </w:r>
      <w:r w:rsidRPr="00C22708">
        <w:rPr>
          <w:b/>
          <w:noProof/>
        </w:rPr>
        <w:t>-stage development of technologies</w:t>
      </w:r>
      <w:r w:rsidRPr="00C22708">
        <w:rPr>
          <w:noProof/>
        </w:rPr>
        <w:t xml:space="preserve"> (56%, 1 095 out of 1 946) and </w:t>
      </w:r>
      <w:r w:rsidRPr="00C22708">
        <w:rPr>
          <w:b/>
          <w:noProof/>
        </w:rPr>
        <w:t>fundamental research</w:t>
      </w:r>
      <w:r w:rsidRPr="00C22708">
        <w:rPr>
          <w:noProof/>
        </w:rPr>
        <w:t xml:space="preserve"> (54%, 1 049 out of 1 936). Open-text responses frequently emphasised the need for EU support across the </w:t>
      </w:r>
      <w:r>
        <w:rPr>
          <w:noProof/>
        </w:rPr>
        <w:t>entire</w:t>
      </w:r>
      <w:r w:rsidRPr="00C22708">
        <w:rPr>
          <w:noProof/>
        </w:rPr>
        <w:t xml:space="preserve"> in</w:t>
      </w:r>
      <w:r>
        <w:rPr>
          <w:noProof/>
        </w:rPr>
        <w:t>vestment</w:t>
      </w:r>
      <w:r w:rsidRPr="00C22708">
        <w:rPr>
          <w:noProof/>
        </w:rPr>
        <w:t xml:space="preserve"> </w:t>
      </w:r>
      <w:r>
        <w:rPr>
          <w:noProof/>
        </w:rPr>
        <w:t>journey</w:t>
      </w:r>
      <w:r w:rsidRPr="00C22708">
        <w:rPr>
          <w:noProof/>
        </w:rPr>
        <w:t xml:space="preserve"> – from fundamental research to industrial deployment – with particular focus on early-stage development, proof of concept, and scaling up.</w:t>
      </w:r>
    </w:p>
    <w:p w14:paraId="2C0AB9FC" w14:textId="0C3D623E" w:rsidR="00F56D32" w:rsidRPr="00977BAC" w:rsidRDefault="00F56D32" w:rsidP="00603157">
      <w:pPr>
        <w:pStyle w:val="tabletitle"/>
        <w:keepNext/>
        <w:keepLines/>
        <w:spacing w:after="0"/>
        <w:rPr>
          <w:rFonts w:ascii="Times New Roman" w:hAnsi="Times New Roman"/>
          <w:lang w:val="en-GB"/>
        </w:rPr>
      </w:pPr>
      <w:r w:rsidRPr="00977BAC">
        <w:rPr>
          <w:rFonts w:ascii="Times New Roman" w:hAnsi="Times New Roman"/>
          <w:lang w:val="en-GB"/>
        </w:rPr>
        <w:t xml:space="preserve">Figure </w:t>
      </w:r>
      <w:r w:rsidRPr="00977BAC">
        <w:rPr>
          <w:rFonts w:ascii="Times New Roman" w:hAnsi="Times New Roman"/>
          <w:lang w:val="en-GB"/>
        </w:rPr>
        <w:fldChar w:fldCharType="begin"/>
      </w:r>
      <w:r w:rsidRPr="00977BAC">
        <w:rPr>
          <w:rFonts w:ascii="Times New Roman" w:hAnsi="Times New Roman"/>
          <w:lang w:val="en-GB"/>
        </w:rPr>
        <w:instrText xml:space="preserve"> SEQ Figure \* ARABIC </w:instrText>
      </w:r>
      <w:r w:rsidRPr="00977BAC">
        <w:rPr>
          <w:rFonts w:ascii="Times New Roman" w:hAnsi="Times New Roman"/>
          <w:lang w:val="en-GB"/>
        </w:rPr>
        <w:fldChar w:fldCharType="separate"/>
      </w:r>
      <w:r w:rsidR="007722AE">
        <w:rPr>
          <w:rFonts w:ascii="Times New Roman" w:hAnsi="Times New Roman"/>
          <w:lang w:val="en-GB"/>
        </w:rPr>
        <w:t>8</w:t>
      </w:r>
      <w:r w:rsidRPr="00977BAC">
        <w:rPr>
          <w:rFonts w:ascii="Times New Roman" w:hAnsi="Times New Roman"/>
          <w:lang w:val="en-GB"/>
        </w:rPr>
        <w:fldChar w:fldCharType="end"/>
      </w:r>
      <w:r w:rsidRPr="00977BAC">
        <w:rPr>
          <w:rFonts w:ascii="Times New Roman" w:hAnsi="Times New Roman"/>
          <w:lang w:val="en-GB"/>
        </w:rPr>
        <w:t>. Support for development stages</w:t>
      </w:r>
    </w:p>
    <w:p w14:paraId="328DBFCE" w14:textId="77777777" w:rsidR="00F56D32" w:rsidRPr="00C22708" w:rsidRDefault="00F56D32" w:rsidP="00603157">
      <w:pPr>
        <w:pStyle w:val="tabletitle"/>
        <w:keepNext/>
        <w:keepLines/>
        <w:spacing w:after="0"/>
        <w:rPr>
          <w:lang w:val="en-GB"/>
        </w:rPr>
      </w:pPr>
      <w:r w:rsidRPr="00C22708">
        <w:rPr>
          <w:lang w:val="en-GB" w:eastAsia="en-GB"/>
        </w:rPr>
        <w:drawing>
          <wp:inline distT="0" distB="0" distL="0" distR="0" wp14:anchorId="35987DAE" wp14:editId="6AB1903E">
            <wp:extent cx="5598160" cy="2475781"/>
            <wp:effectExtent l="0" t="0" r="2540" b="1270"/>
            <wp:docPr id="49718956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30411B7" w14:textId="77777777" w:rsidR="00F56D32" w:rsidRPr="00C22708" w:rsidRDefault="00F56D32" w:rsidP="00603157">
      <w:pPr>
        <w:rPr>
          <w:noProof/>
        </w:rPr>
      </w:pPr>
      <w:r w:rsidRPr="00C22708">
        <w:rPr>
          <w:noProof/>
        </w:rPr>
        <w:t>Differences in the support for various development stages across stakeholder groups reflect their differing roles within the innovation ecosystem:</w:t>
      </w:r>
    </w:p>
    <w:p w14:paraId="4E283EB8" w14:textId="77777777" w:rsidR="00F56D32" w:rsidRPr="00C22708" w:rsidRDefault="00F56D32" w:rsidP="008C51EB">
      <w:pPr>
        <w:pStyle w:val="ListParagraph"/>
        <w:numPr>
          <w:ilvl w:val="0"/>
          <w:numId w:val="106"/>
        </w:numPr>
        <w:rPr>
          <w:noProof/>
        </w:rPr>
      </w:pPr>
      <w:r w:rsidRPr="00F56D32">
        <w:rPr>
          <w:b/>
          <w:bCs/>
          <w:noProof/>
        </w:rPr>
        <w:t>Academic and research</w:t>
      </w:r>
      <w:r w:rsidRPr="00C22708">
        <w:rPr>
          <w:noProof/>
        </w:rPr>
        <w:t xml:space="preserve"> respondents (min. N=435) prioritised supporting </w:t>
      </w:r>
      <w:r w:rsidRPr="00F56D32">
        <w:rPr>
          <w:b/>
          <w:bCs/>
          <w:noProof/>
        </w:rPr>
        <w:t>applied research</w:t>
      </w:r>
      <w:r w:rsidRPr="00C22708">
        <w:rPr>
          <w:noProof/>
        </w:rPr>
        <w:t xml:space="preserve"> (84%, 371) and </w:t>
      </w:r>
      <w:r w:rsidRPr="00F56D32">
        <w:rPr>
          <w:b/>
          <w:bCs/>
          <w:noProof/>
        </w:rPr>
        <w:t xml:space="preserve">fundamental research </w:t>
      </w:r>
      <w:r w:rsidRPr="00C22708">
        <w:rPr>
          <w:noProof/>
        </w:rPr>
        <w:t>(73%, 319), but only 23% (99) and 11% (48) emphasised industrial deployment and manufacturing.</w:t>
      </w:r>
    </w:p>
    <w:p w14:paraId="78FAFD3F" w14:textId="4ED722FB" w:rsidR="00F56D32" w:rsidRPr="00C22708" w:rsidRDefault="00F56D32" w:rsidP="008C51EB">
      <w:pPr>
        <w:pStyle w:val="ListParagraph"/>
        <w:numPr>
          <w:ilvl w:val="0"/>
          <w:numId w:val="106"/>
        </w:numPr>
        <w:rPr>
          <w:noProof/>
        </w:rPr>
      </w:pPr>
      <w:r w:rsidRPr="00C22708">
        <w:rPr>
          <w:noProof/>
        </w:rPr>
        <w:t xml:space="preserve">In contrast, </w:t>
      </w:r>
      <w:r w:rsidRPr="00F56D32">
        <w:rPr>
          <w:b/>
          <w:noProof/>
        </w:rPr>
        <w:t xml:space="preserve">business </w:t>
      </w:r>
      <w:r w:rsidRPr="00F56D32">
        <w:rPr>
          <w:bCs/>
          <w:noProof/>
        </w:rPr>
        <w:t>respondents</w:t>
      </w:r>
      <w:r w:rsidRPr="00C22708">
        <w:rPr>
          <w:noProof/>
        </w:rPr>
        <w:t xml:space="preserve"> (min. N=359) placed greater emphasis on </w:t>
      </w:r>
      <w:r w:rsidRPr="00F56D32">
        <w:rPr>
          <w:b/>
          <w:noProof/>
        </w:rPr>
        <w:t>industrial deployment</w:t>
      </w:r>
      <w:r w:rsidRPr="00C22708">
        <w:rPr>
          <w:noProof/>
        </w:rPr>
        <w:t xml:space="preserve"> (68%, 248) and </w:t>
      </w:r>
      <w:r w:rsidRPr="00F56D32">
        <w:rPr>
          <w:b/>
          <w:noProof/>
        </w:rPr>
        <w:t xml:space="preserve">manufacturing </w:t>
      </w:r>
      <w:r w:rsidRPr="00F56D32">
        <w:rPr>
          <w:bCs/>
          <w:noProof/>
        </w:rPr>
        <w:t>(47%, 168),</w:t>
      </w:r>
      <w:r w:rsidRPr="00C22708">
        <w:rPr>
          <w:noProof/>
        </w:rPr>
        <w:t xml:space="preserve"> with less focus on fundamental research (30%, 108). Similarly, </w:t>
      </w:r>
      <w:r w:rsidRPr="00F56D32">
        <w:rPr>
          <w:b/>
          <w:bCs/>
          <w:noProof/>
        </w:rPr>
        <w:t>applied research</w:t>
      </w:r>
      <w:r w:rsidRPr="00C22708">
        <w:rPr>
          <w:noProof/>
        </w:rPr>
        <w:t xml:space="preserve"> received more moderate support (61%, 225) from businesses compared to other stakeholder groups (71-84%).</w:t>
      </w:r>
    </w:p>
    <w:p w14:paraId="4F9FDF3B" w14:textId="4FD25A03" w:rsidR="2A1AD167" w:rsidRDefault="00F56D32" w:rsidP="00603157">
      <w:pPr>
        <w:rPr>
          <w:rFonts w:eastAsia="Times New Roman"/>
          <w:noProof/>
        </w:rPr>
      </w:pPr>
      <w:r w:rsidRPr="00C22708">
        <w:rPr>
          <w:noProof/>
        </w:rPr>
        <w:t xml:space="preserve">Different </w:t>
      </w:r>
      <w:r w:rsidRPr="00C22708">
        <w:rPr>
          <w:b/>
          <w:bCs/>
          <w:noProof/>
        </w:rPr>
        <w:t>business stakeholders</w:t>
      </w:r>
      <w:r w:rsidRPr="00C22708">
        <w:rPr>
          <w:noProof/>
        </w:rPr>
        <w:t xml:space="preserve"> (business associations (min. </w:t>
      </w:r>
      <w:r w:rsidRPr="005D7893">
        <w:rPr>
          <w:noProof/>
          <w:lang w:val="en-IE"/>
        </w:rPr>
        <w:t xml:space="preserve">N=152), SMEs (min. N=102), large companies (min. </w:t>
      </w:r>
      <w:r w:rsidRPr="00C22708">
        <w:rPr>
          <w:noProof/>
        </w:rPr>
        <w:t>N=105)) all showed strongest support for applied research, scaling up and industrial deployment, and lower support for fundamental research. Some differences within this group are evident in their support for later development stages, with large companies showing higher support for scaling up (78%) and industrial deployment (82%) compared to SMEs (which reported 60% and 53% respectively).</w:t>
      </w:r>
    </w:p>
    <w:p w14:paraId="63B7729D" w14:textId="7FA9B77E" w:rsidR="14087A6F" w:rsidRPr="00A37F3D" w:rsidRDefault="62B18DE5" w:rsidP="008C51EB">
      <w:pPr>
        <w:pStyle w:val="ListParagraph"/>
        <w:numPr>
          <w:ilvl w:val="0"/>
          <w:numId w:val="26"/>
        </w:numPr>
        <w:rPr>
          <w:b/>
          <w:bCs/>
          <w:noProof/>
        </w:rPr>
      </w:pPr>
      <w:r w:rsidRPr="00A37F3D">
        <w:rPr>
          <w:b/>
          <w:bCs/>
          <w:noProof/>
          <w:lang w:val="en-IE"/>
        </w:rPr>
        <w:t xml:space="preserve">Other </w:t>
      </w:r>
      <w:r w:rsidRPr="00A37F3D">
        <w:rPr>
          <w:b/>
          <w:bCs/>
          <w:noProof/>
        </w:rPr>
        <w:t>consultation</w:t>
      </w:r>
      <w:r w:rsidR="6D9D826E" w:rsidRPr="00A37F3D">
        <w:rPr>
          <w:b/>
          <w:bCs/>
          <w:noProof/>
          <w:lang w:val="en-IE"/>
        </w:rPr>
        <w:t xml:space="preserve"> activities</w:t>
      </w:r>
      <w:r w:rsidRPr="00A37F3D">
        <w:rPr>
          <w:b/>
          <w:bCs/>
          <w:noProof/>
          <w:lang w:val="en-IE"/>
        </w:rPr>
        <w:t xml:space="preserve"> </w:t>
      </w:r>
    </w:p>
    <w:p w14:paraId="7B6E6EA0" w14:textId="60E08DA8" w:rsidR="14087A6F" w:rsidRDefault="14087A6F" w:rsidP="00603157">
      <w:pPr>
        <w:rPr>
          <w:rFonts w:eastAsia="Times New Roman"/>
          <w:noProof/>
        </w:rPr>
      </w:pPr>
      <w:r w:rsidRPr="14087A6F">
        <w:rPr>
          <w:rFonts w:eastAsia="Times New Roman"/>
          <w:noProof/>
        </w:rPr>
        <w:t xml:space="preserve">The </w:t>
      </w:r>
      <w:r w:rsidR="656E8939" w:rsidRPr="3284E9C5">
        <w:rPr>
          <w:rFonts w:eastAsia="Times New Roman"/>
          <w:noProof/>
        </w:rPr>
        <w:t>public</w:t>
      </w:r>
      <w:r w:rsidRPr="14087A6F">
        <w:rPr>
          <w:rFonts w:eastAsia="Times New Roman"/>
          <w:noProof/>
        </w:rPr>
        <w:t xml:space="preserve"> consultation was complemented with other consultation activities for relevant stakeholders both on the industry and the research and innovation areas. </w:t>
      </w:r>
    </w:p>
    <w:p w14:paraId="6BE5ADF1" w14:textId="28CDD4D8" w:rsidR="14087A6F" w:rsidRDefault="14087A6F" w:rsidP="00603157">
      <w:pPr>
        <w:rPr>
          <w:noProof/>
        </w:rPr>
      </w:pPr>
      <w:r>
        <w:rPr>
          <w:noProof/>
        </w:rPr>
        <w:t>For industry stakeholders, the 9th</w:t>
      </w:r>
      <w:r w:rsidRPr="14087A6F">
        <w:rPr>
          <w:rFonts w:eastAsia="Times New Roman"/>
          <w:noProof/>
        </w:rPr>
        <w:t xml:space="preserve"> plenary </w:t>
      </w:r>
      <w:r>
        <w:rPr>
          <w:noProof/>
        </w:rPr>
        <w:t>meeting</w:t>
      </w:r>
      <w:r w:rsidRPr="14087A6F">
        <w:rPr>
          <w:rFonts w:eastAsia="Times New Roman"/>
          <w:noProof/>
        </w:rPr>
        <w:t xml:space="preserve"> of the Industrial Forum </w:t>
      </w:r>
      <w:r>
        <w:rPr>
          <w:noProof/>
        </w:rPr>
        <w:t xml:space="preserve">held </w:t>
      </w:r>
      <w:r w:rsidRPr="14087A6F">
        <w:rPr>
          <w:rFonts w:eastAsia="Times New Roman"/>
          <w:noProof/>
        </w:rPr>
        <w:t>on 19</w:t>
      </w:r>
      <w:r w:rsidRPr="14087A6F">
        <w:rPr>
          <w:noProof/>
          <w:vertAlign w:val="superscript"/>
        </w:rPr>
        <w:t>th</w:t>
      </w:r>
      <w:r w:rsidRPr="14087A6F">
        <w:rPr>
          <w:rFonts w:eastAsia="Times New Roman"/>
          <w:noProof/>
        </w:rPr>
        <w:t xml:space="preserve"> March 2025</w:t>
      </w:r>
      <w:r>
        <w:rPr>
          <w:noProof/>
        </w:rPr>
        <w:t>, focused on the new European Competitiveness Fund. The participants, represented by over 60 members from different industries and business associations as well as Member States were invited to provide their feedback on the problems outlined in this IA. They were also invited to share ideas on how to address these challenges.</w:t>
      </w:r>
    </w:p>
    <w:p w14:paraId="57520887" w14:textId="3A7FC934" w:rsidR="14087A6F" w:rsidRDefault="14087A6F" w:rsidP="00603157">
      <w:pPr>
        <w:rPr>
          <w:rFonts w:eastAsia="Times New Roman"/>
          <w:noProof/>
        </w:rPr>
      </w:pPr>
      <w:r w:rsidRPr="14087A6F">
        <w:rPr>
          <w:rFonts w:eastAsia="Times New Roman"/>
          <w:noProof/>
        </w:rPr>
        <w:t xml:space="preserve">In addition, Research and Innovation stakeholders have been very engaged in the public debate for the future role of research and innovation in EU competitiveness, especially since the launching of the political guidelines in July 2024 and the Competitiveness Compass in February 2025. </w:t>
      </w:r>
    </w:p>
    <w:p w14:paraId="49326EB9" w14:textId="323EB438" w:rsidR="0AA200F7" w:rsidRDefault="009501DA" w:rsidP="00603157">
      <w:pPr>
        <w:pStyle w:val="Heading2"/>
        <w:keepLines/>
        <w:numPr>
          <w:ilvl w:val="0"/>
          <w:numId w:val="0"/>
        </w:numPr>
        <w:ind w:left="1200"/>
        <w:rPr>
          <w:b w:val="0"/>
          <w:bCs/>
          <w:smallCaps/>
          <w:noProof/>
          <w:sz w:val="32"/>
          <w:szCs w:val="32"/>
          <w:lang w:val="en-IE"/>
        </w:rPr>
      </w:pPr>
      <w:bookmarkStart w:id="277" w:name="_Toc203043659"/>
      <w:r>
        <w:rPr>
          <w:noProof/>
          <w:lang w:val="en-IE"/>
        </w:rPr>
        <w:t>A</w:t>
      </w:r>
      <w:r w:rsidR="0AA200F7" w:rsidRPr="2A1AD167">
        <w:rPr>
          <w:noProof/>
          <w:lang w:val="en-IE"/>
        </w:rPr>
        <w:t xml:space="preserve">nnex </w:t>
      </w:r>
      <w:r>
        <w:rPr>
          <w:noProof/>
          <w:lang w:val="en-IE"/>
        </w:rPr>
        <w:t>3</w:t>
      </w:r>
      <w:r w:rsidR="0AA200F7" w:rsidRPr="2A1AD167">
        <w:rPr>
          <w:noProof/>
          <w:lang w:val="en-IE"/>
        </w:rPr>
        <w:t xml:space="preserve">: Who is </w:t>
      </w:r>
      <w:r w:rsidR="00D26794">
        <w:rPr>
          <w:noProof/>
          <w:lang w:val="en-IE"/>
        </w:rPr>
        <w:t xml:space="preserve">affected and </w:t>
      </w:r>
      <w:r w:rsidR="008D4F9C">
        <w:rPr>
          <w:noProof/>
          <w:lang w:val="en-IE"/>
        </w:rPr>
        <w:t>how?</w:t>
      </w:r>
      <w:bookmarkEnd w:id="277"/>
    </w:p>
    <w:p w14:paraId="4C2E5AA1" w14:textId="79EF8A40" w:rsidR="0AA200F7" w:rsidRDefault="0AA200F7" w:rsidP="00603157">
      <w:pPr>
        <w:keepNext/>
        <w:keepLines/>
        <w:rPr>
          <w:bCs/>
          <w:noProof/>
          <w:lang w:val="en-IE"/>
        </w:rPr>
      </w:pPr>
      <w:bookmarkStart w:id="278" w:name="_Toc195700245"/>
      <w:r w:rsidRPr="2A1AD167">
        <w:rPr>
          <w:noProof/>
          <w:lang w:val="en-IE"/>
        </w:rPr>
        <w:t>1.</w:t>
      </w:r>
      <w:r w:rsidRPr="2A1AD167">
        <w:rPr>
          <w:b/>
          <w:noProof/>
          <w:sz w:val="14"/>
          <w:szCs w:val="14"/>
          <w:lang w:val="en-IE"/>
        </w:rPr>
        <w:t xml:space="preserve">          </w:t>
      </w:r>
      <w:r w:rsidRPr="2A1AD167">
        <w:rPr>
          <w:bCs/>
          <w:noProof/>
          <w:lang w:val="en-IE"/>
        </w:rPr>
        <w:t>Practical implications of the initiative</w:t>
      </w:r>
      <w:bookmarkEnd w:id="278"/>
    </w:p>
    <w:p w14:paraId="6AEAD246" w14:textId="26D27A8A" w:rsidR="000542E9" w:rsidRPr="000542E9" w:rsidRDefault="000542E9" w:rsidP="00603157">
      <w:pPr>
        <w:keepNext/>
        <w:keepLines/>
        <w:rPr>
          <w:rFonts w:eastAsia="Times New Roman"/>
          <w:noProof/>
          <w:lang w:val="en-US"/>
        </w:rPr>
      </w:pPr>
      <w:r w:rsidRPr="000542E9">
        <w:rPr>
          <w:rFonts w:eastAsia="Times New Roman"/>
          <w:b/>
          <w:bCs/>
          <w:noProof/>
        </w:rPr>
        <w:t>Consolidation of programmes in a new European Competitiveness Fund</w:t>
      </w:r>
      <w:r w:rsidRPr="000542E9">
        <w:rPr>
          <w:rFonts w:eastAsia="Times New Roman"/>
          <w:noProof/>
          <w:lang w:val="en-US"/>
        </w:rPr>
        <w:t>  </w:t>
      </w:r>
    </w:p>
    <w:p w14:paraId="4F615175" w14:textId="0F76B187" w:rsidR="520D4CFB" w:rsidRDefault="61B24637" w:rsidP="00603157">
      <w:pPr>
        <w:keepNext/>
        <w:keepLines/>
        <w:rPr>
          <w:rFonts w:eastAsia="Times New Roman"/>
          <w:noProof/>
          <w:lang w:val="en-US"/>
        </w:rPr>
      </w:pPr>
      <w:r w:rsidRPr="3284E9C5">
        <w:rPr>
          <w:rFonts w:eastAsia="Times New Roman"/>
          <w:noProof/>
          <w:lang w:val="en-US"/>
        </w:rPr>
        <w:t xml:space="preserve">The Commission would propose a legislation to establish a single European Competitiveness Fund, designed to create a unified investment capacity across strategic sectors and technologies, from fundamental research to deployment and services. The fund would flexibly use the EU’s full financial toolbox such as loans, grants, equity, blending, guarantees, and procurement, available across all policy areas. Currently, 14 programmes contribute to EU competitiveness, covering areas like R&amp;I, defence, </w:t>
      </w:r>
      <w:r w:rsidR="111E1359" w:rsidRPr="60BF2AB3">
        <w:rPr>
          <w:rFonts w:eastAsia="Times New Roman"/>
          <w:noProof/>
          <w:lang w:val="en-US"/>
        </w:rPr>
        <w:t xml:space="preserve">space, </w:t>
      </w:r>
      <w:r w:rsidRPr="60BF2AB3">
        <w:rPr>
          <w:rFonts w:eastAsia="Times New Roman"/>
          <w:noProof/>
          <w:lang w:val="en-US"/>
        </w:rPr>
        <w:t>digitalisation</w:t>
      </w:r>
      <w:r w:rsidRPr="3284E9C5">
        <w:rPr>
          <w:rFonts w:eastAsia="Times New Roman"/>
          <w:noProof/>
          <w:lang w:val="en-US"/>
        </w:rPr>
        <w:t>, health, and the green transition.</w:t>
      </w:r>
    </w:p>
    <w:p w14:paraId="4DE7194F" w14:textId="783E28DB" w:rsidR="3284E9C5" w:rsidRDefault="3284E9C5" w:rsidP="00603157">
      <w:pPr>
        <w:rPr>
          <w:rFonts w:eastAsia="Times New Roman"/>
          <w:noProof/>
          <w:lang w:val="en-US"/>
        </w:rPr>
      </w:pPr>
    </w:p>
    <w:p w14:paraId="6A70FCF2" w14:textId="77777777" w:rsidR="000542E9" w:rsidRPr="00BB184A" w:rsidRDefault="000542E9" w:rsidP="00603157">
      <w:pPr>
        <w:rPr>
          <w:noProof/>
          <w:lang w:val="en-IE"/>
        </w:rPr>
      </w:pPr>
      <w:r w:rsidRPr="00BB184A">
        <w:rPr>
          <w:noProof/>
          <w:lang w:val="en-IE"/>
        </w:rPr>
        <w:t>2.          Summary of costs and benefits  </w:t>
      </w:r>
    </w:p>
    <w:tbl>
      <w:tblPr>
        <w:tblW w:w="96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3256"/>
        <w:gridCol w:w="4110"/>
      </w:tblGrid>
      <w:tr w:rsidR="000542E9" w:rsidRPr="000542E9" w14:paraId="485BB3EA" w14:textId="77777777" w:rsidTr="00603157">
        <w:trPr>
          <w:trHeight w:val="300"/>
          <w:tblHeader/>
        </w:trPr>
        <w:tc>
          <w:tcPr>
            <w:tcW w:w="9616" w:type="dxa"/>
            <w:gridSpan w:val="3"/>
            <w:tcBorders>
              <w:top w:val="double" w:sz="6" w:space="0" w:color="auto"/>
              <w:left w:val="double" w:sz="6" w:space="0" w:color="auto"/>
              <w:bottom w:val="single" w:sz="6" w:space="0" w:color="auto"/>
              <w:right w:val="double" w:sz="6" w:space="0" w:color="auto"/>
            </w:tcBorders>
            <w:shd w:val="clear" w:color="auto" w:fill="C6D9F1" w:themeFill="text2" w:themeFillTint="33"/>
            <w:hideMark/>
          </w:tcPr>
          <w:p w14:paraId="0BA4B260" w14:textId="77777777" w:rsidR="000542E9" w:rsidRPr="000542E9" w:rsidRDefault="000542E9" w:rsidP="00603157">
            <w:pPr>
              <w:divId w:val="2092504131"/>
              <w:rPr>
                <w:rFonts w:eastAsia="Times New Roman"/>
                <w:noProof/>
                <w:lang w:val="en-US"/>
              </w:rPr>
            </w:pPr>
            <w:r w:rsidRPr="000542E9">
              <w:rPr>
                <w:rFonts w:eastAsia="Times New Roman"/>
                <w:b/>
                <w:bCs/>
                <w:noProof/>
              </w:rPr>
              <w:t>I. Overview of Benefits (total for all provisions) – Preferred Option</w:t>
            </w:r>
            <w:r w:rsidRPr="000542E9">
              <w:rPr>
                <w:rFonts w:eastAsia="Times New Roman"/>
                <w:noProof/>
                <w:lang w:val="en-US"/>
              </w:rPr>
              <w:t>  </w:t>
            </w:r>
          </w:p>
        </w:tc>
      </w:tr>
      <w:tr w:rsidR="000542E9" w:rsidRPr="000542E9" w14:paraId="7994F26B" w14:textId="77777777" w:rsidTr="00603157">
        <w:trPr>
          <w:trHeight w:val="300"/>
        </w:trPr>
        <w:tc>
          <w:tcPr>
            <w:tcW w:w="2250" w:type="dxa"/>
            <w:tcBorders>
              <w:top w:val="single" w:sz="6" w:space="0" w:color="auto"/>
              <w:left w:val="double" w:sz="6" w:space="0" w:color="auto"/>
              <w:bottom w:val="single" w:sz="6" w:space="0" w:color="auto"/>
              <w:right w:val="single" w:sz="6" w:space="0" w:color="auto"/>
            </w:tcBorders>
            <w:shd w:val="clear" w:color="auto" w:fill="C6D9F1" w:themeFill="text2" w:themeFillTint="33"/>
            <w:hideMark/>
          </w:tcPr>
          <w:p w14:paraId="0111E3D7" w14:textId="77777777" w:rsidR="000542E9" w:rsidRPr="000542E9" w:rsidRDefault="000542E9" w:rsidP="00603157">
            <w:pPr>
              <w:rPr>
                <w:rFonts w:eastAsia="Times New Roman"/>
                <w:noProof/>
                <w:lang w:val="en-US"/>
              </w:rPr>
            </w:pPr>
            <w:r w:rsidRPr="000542E9">
              <w:rPr>
                <w:rFonts w:eastAsia="Times New Roman"/>
                <w:b/>
                <w:bCs/>
                <w:i/>
                <w:iCs/>
                <w:noProof/>
              </w:rPr>
              <w:t>Description</w:t>
            </w:r>
            <w:r w:rsidRPr="000542E9">
              <w:rPr>
                <w:rFonts w:eastAsia="Times New Roman"/>
                <w:noProof/>
                <w:lang w:val="da-DK"/>
              </w:rPr>
              <w:t> </w:t>
            </w:r>
            <w:r w:rsidRPr="000542E9">
              <w:rPr>
                <w:rFonts w:eastAsia="Times New Roman"/>
                <w:noProof/>
                <w:lang w:val="en-US"/>
              </w:rPr>
              <w:t> </w:t>
            </w:r>
          </w:p>
        </w:tc>
        <w:tc>
          <w:tcPr>
            <w:tcW w:w="3256" w:type="dxa"/>
            <w:tcBorders>
              <w:top w:val="nil"/>
              <w:left w:val="single" w:sz="6" w:space="0" w:color="auto"/>
              <w:bottom w:val="single" w:sz="6" w:space="0" w:color="auto"/>
              <w:right w:val="single" w:sz="6" w:space="0" w:color="auto"/>
            </w:tcBorders>
            <w:shd w:val="clear" w:color="auto" w:fill="C6D9F1" w:themeFill="text2" w:themeFillTint="33"/>
            <w:hideMark/>
          </w:tcPr>
          <w:p w14:paraId="265E5BB1" w14:textId="77777777" w:rsidR="000542E9" w:rsidRPr="000542E9" w:rsidRDefault="000542E9" w:rsidP="00603157">
            <w:pPr>
              <w:rPr>
                <w:rFonts w:eastAsia="Times New Roman"/>
                <w:noProof/>
                <w:lang w:val="en-US"/>
              </w:rPr>
            </w:pPr>
            <w:r w:rsidRPr="000542E9">
              <w:rPr>
                <w:rFonts w:eastAsia="Times New Roman"/>
                <w:b/>
                <w:bCs/>
                <w:i/>
                <w:iCs/>
                <w:noProof/>
              </w:rPr>
              <w:t>Amount</w:t>
            </w:r>
            <w:r w:rsidRPr="000542E9">
              <w:rPr>
                <w:rFonts w:eastAsia="Times New Roman"/>
                <w:noProof/>
                <w:lang w:val="da-DK"/>
              </w:rPr>
              <w:t> </w:t>
            </w:r>
            <w:r w:rsidRPr="000542E9">
              <w:rPr>
                <w:rFonts w:eastAsia="Times New Roman"/>
                <w:noProof/>
                <w:lang w:val="en-US"/>
              </w:rPr>
              <w:t> </w:t>
            </w:r>
          </w:p>
        </w:tc>
        <w:tc>
          <w:tcPr>
            <w:tcW w:w="4110" w:type="dxa"/>
            <w:tcBorders>
              <w:top w:val="nil"/>
              <w:left w:val="single" w:sz="6" w:space="0" w:color="auto"/>
              <w:bottom w:val="single" w:sz="6" w:space="0" w:color="auto"/>
              <w:right w:val="double" w:sz="6" w:space="0" w:color="auto"/>
            </w:tcBorders>
            <w:shd w:val="clear" w:color="auto" w:fill="C6D9F1" w:themeFill="text2" w:themeFillTint="33"/>
            <w:hideMark/>
          </w:tcPr>
          <w:p w14:paraId="0CF04BB4" w14:textId="77777777" w:rsidR="000542E9" w:rsidRPr="000542E9" w:rsidRDefault="000542E9" w:rsidP="00603157">
            <w:pPr>
              <w:rPr>
                <w:rFonts w:eastAsia="Times New Roman"/>
                <w:noProof/>
                <w:lang w:val="en-US"/>
              </w:rPr>
            </w:pPr>
            <w:r w:rsidRPr="000542E9">
              <w:rPr>
                <w:rFonts w:eastAsia="Times New Roman"/>
                <w:b/>
                <w:bCs/>
                <w:i/>
                <w:iCs/>
                <w:noProof/>
              </w:rPr>
              <w:t>Comments</w:t>
            </w:r>
            <w:r w:rsidRPr="000542E9">
              <w:rPr>
                <w:rFonts w:eastAsia="Times New Roman"/>
                <w:noProof/>
                <w:lang w:val="da-DK"/>
              </w:rPr>
              <w:t> </w:t>
            </w:r>
            <w:r w:rsidRPr="000542E9">
              <w:rPr>
                <w:rFonts w:eastAsia="Times New Roman"/>
                <w:noProof/>
                <w:lang w:val="en-US"/>
              </w:rPr>
              <w:t> </w:t>
            </w:r>
          </w:p>
        </w:tc>
      </w:tr>
      <w:tr w:rsidR="000542E9" w:rsidRPr="000542E9" w14:paraId="3F97D5A6" w14:textId="77777777" w:rsidTr="00603157">
        <w:trPr>
          <w:trHeight w:val="300"/>
        </w:trPr>
        <w:tc>
          <w:tcPr>
            <w:tcW w:w="9616" w:type="dxa"/>
            <w:gridSpan w:val="3"/>
            <w:tcBorders>
              <w:top w:val="single" w:sz="6" w:space="0" w:color="auto"/>
              <w:left w:val="double" w:sz="6" w:space="0" w:color="auto"/>
              <w:bottom w:val="single" w:sz="6" w:space="0" w:color="auto"/>
              <w:right w:val="double" w:sz="6" w:space="0" w:color="auto"/>
            </w:tcBorders>
            <w:shd w:val="clear" w:color="auto" w:fill="F2F2F2" w:themeFill="background1" w:themeFillShade="F2"/>
            <w:hideMark/>
          </w:tcPr>
          <w:p w14:paraId="6224FA01" w14:textId="77777777" w:rsidR="000542E9" w:rsidRPr="000542E9" w:rsidRDefault="000542E9" w:rsidP="00603157">
            <w:pPr>
              <w:rPr>
                <w:rFonts w:eastAsia="Times New Roman"/>
                <w:noProof/>
                <w:lang w:val="en-US"/>
              </w:rPr>
            </w:pPr>
            <w:r w:rsidRPr="000542E9">
              <w:rPr>
                <w:rFonts w:eastAsia="Times New Roman"/>
                <w:b/>
                <w:bCs/>
                <w:i/>
                <w:iCs/>
                <w:noProof/>
              </w:rPr>
              <w:t>Direct benefits</w:t>
            </w:r>
            <w:r w:rsidRPr="000542E9">
              <w:rPr>
                <w:rFonts w:eastAsia="Times New Roman"/>
                <w:noProof/>
                <w:lang w:val="da-DK"/>
              </w:rPr>
              <w:t> </w:t>
            </w:r>
            <w:r w:rsidRPr="000542E9">
              <w:rPr>
                <w:rFonts w:eastAsia="Times New Roman"/>
                <w:noProof/>
                <w:lang w:val="en-US"/>
              </w:rPr>
              <w:t> </w:t>
            </w:r>
          </w:p>
        </w:tc>
      </w:tr>
      <w:tr w:rsidR="000542E9" w:rsidRPr="000542E9" w14:paraId="12408A21" w14:textId="77777777" w:rsidTr="00603157">
        <w:trPr>
          <w:trHeight w:val="300"/>
        </w:trPr>
        <w:tc>
          <w:tcPr>
            <w:tcW w:w="2250" w:type="dxa"/>
            <w:tcBorders>
              <w:top w:val="single" w:sz="6" w:space="0" w:color="auto"/>
              <w:left w:val="double" w:sz="6" w:space="0" w:color="auto"/>
              <w:bottom w:val="single" w:sz="6" w:space="0" w:color="auto"/>
              <w:right w:val="single" w:sz="6" w:space="0" w:color="auto"/>
            </w:tcBorders>
            <w:hideMark/>
          </w:tcPr>
          <w:p w14:paraId="3EEC209D" w14:textId="77777777" w:rsidR="000542E9" w:rsidRPr="000542E9" w:rsidRDefault="000542E9" w:rsidP="00603157">
            <w:pPr>
              <w:jc w:val="left"/>
              <w:rPr>
                <w:rFonts w:eastAsia="Times New Roman"/>
                <w:noProof/>
                <w:lang w:val="en-US"/>
              </w:rPr>
            </w:pPr>
            <w:r w:rsidRPr="000542E9">
              <w:rPr>
                <w:rFonts w:eastAsia="Times New Roman"/>
                <w:noProof/>
              </w:rPr>
              <w:t>Proposal cost reduction</w:t>
            </w:r>
            <w:r w:rsidRPr="000542E9">
              <w:rPr>
                <w:rFonts w:eastAsia="Times New Roman"/>
                <w:noProof/>
                <w:lang w:val="en-US"/>
              </w:rPr>
              <w:t> </w:t>
            </w:r>
          </w:p>
        </w:tc>
        <w:tc>
          <w:tcPr>
            <w:tcW w:w="3256" w:type="dxa"/>
            <w:tcBorders>
              <w:top w:val="nil"/>
              <w:left w:val="single" w:sz="6" w:space="0" w:color="auto"/>
              <w:bottom w:val="single" w:sz="6" w:space="0" w:color="auto"/>
              <w:right w:val="single" w:sz="6" w:space="0" w:color="auto"/>
            </w:tcBorders>
            <w:hideMark/>
          </w:tcPr>
          <w:p w14:paraId="03AC02AD" w14:textId="77777777" w:rsidR="000542E9" w:rsidRPr="000542E9" w:rsidRDefault="000542E9" w:rsidP="00603157">
            <w:pPr>
              <w:rPr>
                <w:rFonts w:eastAsia="Times New Roman"/>
                <w:noProof/>
                <w:lang w:val="en-US"/>
              </w:rPr>
            </w:pPr>
            <w:r w:rsidRPr="000542E9">
              <w:rPr>
                <w:rFonts w:eastAsia="Times New Roman"/>
                <w:noProof/>
              </w:rPr>
              <w:t>C</w:t>
            </w:r>
            <w:r w:rsidRPr="000542E9">
              <w:rPr>
                <w:rFonts w:eastAsia="Times New Roman"/>
                <w:noProof/>
                <w:lang w:val="en-US"/>
              </w:rPr>
              <w:t>ost savings of 10% compared to the baseline </w:t>
            </w:r>
          </w:p>
        </w:tc>
        <w:tc>
          <w:tcPr>
            <w:tcW w:w="4110" w:type="dxa"/>
            <w:tcBorders>
              <w:top w:val="nil"/>
              <w:left w:val="single" w:sz="6" w:space="0" w:color="auto"/>
              <w:bottom w:val="single" w:sz="6" w:space="0" w:color="auto"/>
              <w:right w:val="double" w:sz="6" w:space="0" w:color="auto"/>
            </w:tcBorders>
            <w:hideMark/>
          </w:tcPr>
          <w:p w14:paraId="78EF5FF1" w14:textId="77777777" w:rsidR="000542E9" w:rsidRPr="000542E9" w:rsidRDefault="000542E9" w:rsidP="00603157">
            <w:pPr>
              <w:rPr>
                <w:rFonts w:eastAsia="Times New Roman"/>
                <w:noProof/>
                <w:lang w:val="en-US"/>
              </w:rPr>
            </w:pPr>
            <w:r w:rsidRPr="000542E9">
              <w:rPr>
                <w:rFonts w:eastAsia="Times New Roman"/>
                <w:noProof/>
              </w:rPr>
              <w:t> The costs to prepare the proposal are expected to decrease by 10% compared to the baseline scenario, which would translate into a range of EUR 4 500 and 28 800 per proposal</w:t>
            </w:r>
            <w:r w:rsidRPr="000542E9">
              <w:rPr>
                <w:rFonts w:eastAsia="Times New Roman"/>
                <w:noProof/>
                <w:lang w:val="en-US"/>
              </w:rPr>
              <w:t> </w:t>
            </w:r>
          </w:p>
        </w:tc>
      </w:tr>
      <w:tr w:rsidR="000542E9" w:rsidRPr="000542E9" w14:paraId="49F3721B" w14:textId="77777777" w:rsidTr="00603157">
        <w:trPr>
          <w:trHeight w:val="300"/>
        </w:trPr>
        <w:tc>
          <w:tcPr>
            <w:tcW w:w="2250" w:type="dxa"/>
            <w:tcBorders>
              <w:top w:val="single" w:sz="6" w:space="0" w:color="auto"/>
              <w:left w:val="double" w:sz="6" w:space="0" w:color="auto"/>
              <w:bottom w:val="double" w:sz="6" w:space="0" w:color="auto"/>
              <w:right w:val="single" w:sz="6" w:space="0" w:color="auto"/>
            </w:tcBorders>
            <w:hideMark/>
          </w:tcPr>
          <w:p w14:paraId="50FFC4EA" w14:textId="77777777" w:rsidR="000542E9" w:rsidRPr="000542E9" w:rsidRDefault="000542E9" w:rsidP="00603157">
            <w:pPr>
              <w:rPr>
                <w:rFonts w:eastAsia="Times New Roman"/>
                <w:noProof/>
                <w:lang w:val="en-US"/>
              </w:rPr>
            </w:pPr>
            <w:r w:rsidRPr="000542E9">
              <w:rPr>
                <w:rFonts w:eastAsia="Times New Roman"/>
                <w:noProof/>
                <w:lang w:val="en-US"/>
              </w:rPr>
              <w:t>The time-to-inform and the time-to-grant reduction </w:t>
            </w:r>
          </w:p>
        </w:tc>
        <w:tc>
          <w:tcPr>
            <w:tcW w:w="3256" w:type="dxa"/>
            <w:tcBorders>
              <w:top w:val="single" w:sz="6" w:space="0" w:color="auto"/>
              <w:left w:val="single" w:sz="6" w:space="0" w:color="auto"/>
              <w:bottom w:val="double" w:sz="6" w:space="0" w:color="auto"/>
              <w:right w:val="single" w:sz="6" w:space="0" w:color="auto"/>
            </w:tcBorders>
            <w:hideMark/>
          </w:tcPr>
          <w:p w14:paraId="7F32364C" w14:textId="77777777" w:rsidR="000542E9" w:rsidRPr="000542E9" w:rsidRDefault="000542E9" w:rsidP="00603157">
            <w:pPr>
              <w:rPr>
                <w:rFonts w:eastAsia="Times New Roman"/>
                <w:noProof/>
                <w:lang w:val="en-US"/>
              </w:rPr>
            </w:pPr>
            <w:r w:rsidRPr="000542E9">
              <w:rPr>
                <w:rFonts w:eastAsia="Times New Roman"/>
                <w:noProof/>
              </w:rPr>
              <w:t> </w:t>
            </w:r>
            <w:r w:rsidRPr="000542E9">
              <w:rPr>
                <w:rFonts w:eastAsia="Times New Roman"/>
                <w:noProof/>
                <w:lang w:val="en-US"/>
              </w:rPr>
              <w:t>Reduced by tens of days </w:t>
            </w:r>
          </w:p>
        </w:tc>
        <w:tc>
          <w:tcPr>
            <w:tcW w:w="4110" w:type="dxa"/>
            <w:tcBorders>
              <w:top w:val="single" w:sz="6" w:space="0" w:color="auto"/>
              <w:left w:val="single" w:sz="6" w:space="0" w:color="auto"/>
              <w:bottom w:val="double" w:sz="6" w:space="0" w:color="auto"/>
              <w:right w:val="double" w:sz="6" w:space="0" w:color="auto"/>
            </w:tcBorders>
            <w:hideMark/>
          </w:tcPr>
          <w:p w14:paraId="4459F406" w14:textId="77777777" w:rsidR="000542E9" w:rsidRPr="000542E9" w:rsidRDefault="000542E9" w:rsidP="00603157">
            <w:pPr>
              <w:rPr>
                <w:rFonts w:eastAsia="Times New Roman"/>
                <w:noProof/>
                <w:lang w:val="en-US"/>
              </w:rPr>
            </w:pPr>
            <w:r w:rsidRPr="000542E9">
              <w:rPr>
                <w:rFonts w:eastAsia="Times New Roman"/>
                <w:noProof/>
              </w:rPr>
              <w:t> </w:t>
            </w:r>
            <w:r w:rsidRPr="000542E9">
              <w:rPr>
                <w:rFonts w:eastAsia="Times New Roman"/>
                <w:noProof/>
                <w:lang w:val="en-US"/>
              </w:rPr>
              <w:t>The time-to-inform and the time-to-grant is also expected to be reduced by tens of days for the preferred option as compared to the baseline scenario. </w:t>
            </w:r>
          </w:p>
        </w:tc>
      </w:tr>
      <w:tr w:rsidR="00F41483" w:rsidRPr="000542E9" w14:paraId="00E78616" w14:textId="77777777" w:rsidTr="00603157">
        <w:trPr>
          <w:trHeight w:val="300"/>
        </w:trPr>
        <w:tc>
          <w:tcPr>
            <w:tcW w:w="2250" w:type="dxa"/>
            <w:tcBorders>
              <w:top w:val="single" w:sz="6" w:space="0" w:color="auto"/>
              <w:left w:val="double" w:sz="6" w:space="0" w:color="auto"/>
              <w:bottom w:val="double" w:sz="6" w:space="0" w:color="auto"/>
              <w:right w:val="single" w:sz="6" w:space="0" w:color="auto"/>
            </w:tcBorders>
          </w:tcPr>
          <w:p w14:paraId="2673A8EF" w14:textId="7B1482E5" w:rsidR="00F41483" w:rsidRPr="000542E9" w:rsidRDefault="00F41483" w:rsidP="00603157">
            <w:pPr>
              <w:rPr>
                <w:rFonts w:eastAsia="Times New Roman"/>
                <w:noProof/>
                <w:lang w:val="en-US"/>
              </w:rPr>
            </w:pPr>
            <w:r>
              <w:rPr>
                <w:rFonts w:eastAsia="Times New Roman"/>
                <w:noProof/>
                <w:lang w:val="en-US"/>
              </w:rPr>
              <w:t>Success rate</w:t>
            </w:r>
          </w:p>
        </w:tc>
        <w:tc>
          <w:tcPr>
            <w:tcW w:w="3256" w:type="dxa"/>
            <w:tcBorders>
              <w:top w:val="single" w:sz="6" w:space="0" w:color="auto"/>
              <w:left w:val="single" w:sz="6" w:space="0" w:color="auto"/>
              <w:bottom w:val="double" w:sz="6" w:space="0" w:color="auto"/>
              <w:right w:val="single" w:sz="6" w:space="0" w:color="auto"/>
            </w:tcBorders>
          </w:tcPr>
          <w:p w14:paraId="3E24ABFF" w14:textId="4488A7B5" w:rsidR="00F41483" w:rsidRPr="000542E9" w:rsidRDefault="001909D4" w:rsidP="00603157">
            <w:pPr>
              <w:rPr>
                <w:rFonts w:eastAsia="Times New Roman"/>
                <w:noProof/>
              </w:rPr>
            </w:pPr>
            <w:r>
              <w:rPr>
                <w:rFonts w:eastAsia="Times New Roman"/>
                <w:noProof/>
                <w:lang w:val="en-US"/>
              </w:rPr>
              <w:t>I</w:t>
            </w:r>
            <w:r w:rsidRPr="00BB184A">
              <w:rPr>
                <w:rFonts w:eastAsia="Times New Roman"/>
                <w:noProof/>
                <w:lang w:val="en-US"/>
              </w:rPr>
              <w:t>ncrease</w:t>
            </w:r>
            <w:r w:rsidRPr="00C1524A">
              <w:rPr>
                <w:rFonts w:eastAsia="Times New Roman"/>
                <w:noProof/>
                <w:lang w:val="en-US"/>
              </w:rPr>
              <w:t xml:space="preserve"> by approximately 10–15%</w:t>
            </w:r>
            <w:r w:rsidRPr="00BB184A">
              <w:rPr>
                <w:rFonts w:eastAsia="Times New Roman"/>
                <w:noProof/>
                <w:lang w:val="en-US"/>
              </w:rPr>
              <w:t xml:space="preserve"> </w:t>
            </w:r>
            <w:r>
              <w:rPr>
                <w:rFonts w:eastAsia="Times New Roman"/>
                <w:noProof/>
                <w:lang w:val="en-US"/>
              </w:rPr>
              <w:t>for the</w:t>
            </w:r>
            <w:r w:rsidRPr="00BB184A">
              <w:rPr>
                <w:rFonts w:eastAsia="Times New Roman"/>
                <w:noProof/>
                <w:lang w:val="en-US"/>
              </w:rPr>
              <w:t xml:space="preserve"> most oversubscribed programmes</w:t>
            </w:r>
          </w:p>
        </w:tc>
        <w:tc>
          <w:tcPr>
            <w:tcW w:w="4110" w:type="dxa"/>
            <w:tcBorders>
              <w:top w:val="single" w:sz="6" w:space="0" w:color="auto"/>
              <w:left w:val="single" w:sz="6" w:space="0" w:color="auto"/>
              <w:bottom w:val="double" w:sz="6" w:space="0" w:color="auto"/>
              <w:right w:val="double" w:sz="6" w:space="0" w:color="auto"/>
            </w:tcBorders>
          </w:tcPr>
          <w:p w14:paraId="1FE720F1" w14:textId="77777777" w:rsidR="00F41483" w:rsidRPr="000542E9" w:rsidRDefault="00F41483" w:rsidP="00603157">
            <w:pPr>
              <w:rPr>
                <w:rFonts w:eastAsia="Times New Roman"/>
                <w:noProof/>
              </w:rPr>
            </w:pPr>
          </w:p>
        </w:tc>
      </w:tr>
      <w:tr w:rsidR="000542E9" w:rsidRPr="000542E9" w14:paraId="4B36893E" w14:textId="77777777" w:rsidTr="00603157">
        <w:trPr>
          <w:trHeight w:val="300"/>
        </w:trPr>
        <w:tc>
          <w:tcPr>
            <w:tcW w:w="9616" w:type="dxa"/>
            <w:gridSpan w:val="3"/>
            <w:tcBorders>
              <w:top w:val="double" w:sz="6" w:space="0" w:color="auto"/>
              <w:left w:val="double" w:sz="6" w:space="0" w:color="auto"/>
              <w:bottom w:val="single" w:sz="6" w:space="0" w:color="auto"/>
              <w:right w:val="double" w:sz="6" w:space="0" w:color="auto"/>
            </w:tcBorders>
            <w:shd w:val="clear" w:color="auto" w:fill="F2F2F2" w:themeFill="background1" w:themeFillShade="F2"/>
            <w:hideMark/>
          </w:tcPr>
          <w:p w14:paraId="1B6D4D2D" w14:textId="77777777" w:rsidR="000542E9" w:rsidRPr="000542E9" w:rsidRDefault="000542E9" w:rsidP="00603157">
            <w:pPr>
              <w:rPr>
                <w:rFonts w:eastAsia="Times New Roman"/>
                <w:noProof/>
                <w:lang w:val="en-US"/>
              </w:rPr>
            </w:pPr>
            <w:r w:rsidRPr="000542E9">
              <w:rPr>
                <w:rFonts w:eastAsia="Times New Roman"/>
                <w:b/>
                <w:bCs/>
                <w:i/>
                <w:iCs/>
                <w:noProof/>
              </w:rPr>
              <w:t>Indirect benefits</w:t>
            </w:r>
            <w:r w:rsidRPr="000542E9">
              <w:rPr>
                <w:rFonts w:eastAsia="Times New Roman"/>
                <w:noProof/>
                <w:lang w:val="da-DK"/>
              </w:rPr>
              <w:t> </w:t>
            </w:r>
            <w:r w:rsidRPr="000542E9">
              <w:rPr>
                <w:rFonts w:eastAsia="Times New Roman"/>
                <w:noProof/>
                <w:lang w:val="en-US"/>
              </w:rPr>
              <w:t> </w:t>
            </w:r>
          </w:p>
        </w:tc>
      </w:tr>
      <w:tr w:rsidR="000542E9" w:rsidRPr="000542E9" w14:paraId="7BB1F9C5" w14:textId="77777777" w:rsidTr="00603157">
        <w:trPr>
          <w:trHeight w:val="300"/>
        </w:trPr>
        <w:tc>
          <w:tcPr>
            <w:tcW w:w="2250" w:type="dxa"/>
            <w:tcBorders>
              <w:top w:val="single" w:sz="6" w:space="0" w:color="auto"/>
              <w:left w:val="double" w:sz="6" w:space="0" w:color="auto"/>
              <w:bottom w:val="single" w:sz="6" w:space="0" w:color="auto"/>
              <w:right w:val="single" w:sz="6" w:space="0" w:color="auto"/>
            </w:tcBorders>
            <w:hideMark/>
          </w:tcPr>
          <w:p w14:paraId="063BFDD2" w14:textId="58BC797D" w:rsidR="000542E9" w:rsidRPr="000542E9" w:rsidRDefault="000542E9" w:rsidP="00603157">
            <w:pPr>
              <w:rPr>
                <w:rFonts w:eastAsia="Times New Roman"/>
                <w:noProof/>
                <w:lang w:val="en-US"/>
              </w:rPr>
            </w:pPr>
            <w:r w:rsidRPr="000542E9">
              <w:rPr>
                <w:rFonts w:eastAsia="Times New Roman"/>
                <w:noProof/>
                <w:lang w:val="en-IE"/>
              </w:rPr>
              <w:t>  Social</w:t>
            </w:r>
          </w:p>
        </w:tc>
        <w:tc>
          <w:tcPr>
            <w:tcW w:w="3256" w:type="dxa"/>
            <w:tcBorders>
              <w:top w:val="nil"/>
              <w:left w:val="single" w:sz="6" w:space="0" w:color="auto"/>
              <w:bottom w:val="single" w:sz="6" w:space="0" w:color="auto"/>
              <w:right w:val="single" w:sz="6" w:space="0" w:color="auto"/>
            </w:tcBorders>
            <w:hideMark/>
          </w:tcPr>
          <w:p w14:paraId="46852327" w14:textId="3CF516D2" w:rsidR="000542E9" w:rsidRPr="000542E9" w:rsidRDefault="000542E9" w:rsidP="00603157">
            <w:pPr>
              <w:rPr>
                <w:rFonts w:eastAsia="Times New Roman"/>
                <w:noProof/>
                <w:lang w:val="en-US"/>
              </w:rPr>
            </w:pPr>
            <w:r w:rsidRPr="000542E9">
              <w:rPr>
                <w:rFonts w:eastAsia="Times New Roman"/>
                <w:noProof/>
                <w:lang w:val="en-IE"/>
              </w:rPr>
              <w:t>Employment impact in Option C is 53.58% higher.</w:t>
            </w:r>
          </w:p>
        </w:tc>
        <w:tc>
          <w:tcPr>
            <w:tcW w:w="4110" w:type="dxa"/>
            <w:tcBorders>
              <w:top w:val="nil"/>
              <w:left w:val="single" w:sz="6" w:space="0" w:color="auto"/>
              <w:bottom w:val="single" w:sz="6" w:space="0" w:color="auto"/>
              <w:right w:val="double" w:sz="6" w:space="0" w:color="auto"/>
            </w:tcBorders>
            <w:hideMark/>
          </w:tcPr>
          <w:p w14:paraId="7CA25C0B" w14:textId="45461C32" w:rsidR="000542E9" w:rsidRPr="000542E9" w:rsidRDefault="000542E9" w:rsidP="00603157">
            <w:pPr>
              <w:rPr>
                <w:rFonts w:eastAsia="Times New Roman"/>
                <w:noProof/>
                <w:lang w:val="en-US"/>
              </w:rPr>
            </w:pPr>
            <w:r w:rsidRPr="000542E9">
              <w:rPr>
                <w:rFonts w:eastAsia="Times New Roman"/>
                <w:noProof/>
              </w:rPr>
              <w:t> </w:t>
            </w:r>
            <w:r w:rsidRPr="000542E9">
              <w:rPr>
                <w:rFonts w:eastAsia="Times New Roman"/>
                <w:noProof/>
                <w:lang w:val="en-US"/>
              </w:rPr>
              <w:t> The employment impact in Option C is 53.58% higher than in Option A, mainly due to the larger volume of investment.</w:t>
            </w:r>
          </w:p>
        </w:tc>
      </w:tr>
      <w:tr w:rsidR="000542E9" w:rsidRPr="000542E9" w14:paraId="6AAB0701" w14:textId="77777777" w:rsidTr="00603157">
        <w:trPr>
          <w:trHeight w:val="300"/>
        </w:trPr>
        <w:tc>
          <w:tcPr>
            <w:tcW w:w="2250" w:type="dxa"/>
            <w:tcBorders>
              <w:top w:val="single" w:sz="6" w:space="0" w:color="auto"/>
              <w:left w:val="double" w:sz="6" w:space="0" w:color="auto"/>
              <w:bottom w:val="single" w:sz="6" w:space="0" w:color="auto"/>
              <w:right w:val="single" w:sz="6" w:space="0" w:color="auto"/>
            </w:tcBorders>
            <w:hideMark/>
          </w:tcPr>
          <w:p w14:paraId="75C7EA6E" w14:textId="77777777" w:rsidR="000542E9" w:rsidRPr="000542E9" w:rsidRDefault="000542E9" w:rsidP="00603157">
            <w:pPr>
              <w:rPr>
                <w:rFonts w:eastAsia="Times New Roman"/>
                <w:noProof/>
                <w:lang w:val="en-US"/>
              </w:rPr>
            </w:pPr>
            <w:r w:rsidRPr="000542E9">
              <w:rPr>
                <w:rFonts w:eastAsia="Times New Roman"/>
                <w:noProof/>
              </w:rPr>
              <w:t> </w:t>
            </w:r>
            <w:r w:rsidRPr="000542E9">
              <w:rPr>
                <w:rFonts w:eastAsia="Times New Roman"/>
                <w:noProof/>
                <w:lang w:val="en-US"/>
              </w:rPr>
              <w:t> Environmental </w:t>
            </w:r>
          </w:p>
        </w:tc>
        <w:tc>
          <w:tcPr>
            <w:tcW w:w="3256" w:type="dxa"/>
            <w:tcBorders>
              <w:top w:val="single" w:sz="6" w:space="0" w:color="auto"/>
              <w:left w:val="single" w:sz="6" w:space="0" w:color="auto"/>
              <w:bottom w:val="single" w:sz="6" w:space="0" w:color="auto"/>
              <w:right w:val="single" w:sz="6" w:space="0" w:color="auto"/>
            </w:tcBorders>
            <w:hideMark/>
          </w:tcPr>
          <w:p w14:paraId="11798582" w14:textId="01ABE6DE" w:rsidR="000542E9" w:rsidRPr="000542E9" w:rsidRDefault="000542E9" w:rsidP="00603157">
            <w:pPr>
              <w:rPr>
                <w:rFonts w:eastAsia="Times New Roman"/>
                <w:noProof/>
                <w:lang w:val="en-US"/>
              </w:rPr>
            </w:pPr>
            <w:r w:rsidRPr="000542E9">
              <w:rPr>
                <w:rFonts w:eastAsia="Times New Roman"/>
                <w:noProof/>
                <w:lang w:val="en-US"/>
              </w:rPr>
              <w:t>An expected positive impact on climate.</w:t>
            </w:r>
          </w:p>
        </w:tc>
        <w:tc>
          <w:tcPr>
            <w:tcW w:w="4110" w:type="dxa"/>
            <w:tcBorders>
              <w:top w:val="single" w:sz="6" w:space="0" w:color="auto"/>
              <w:left w:val="single" w:sz="6" w:space="0" w:color="auto"/>
              <w:bottom w:val="single" w:sz="6" w:space="0" w:color="auto"/>
              <w:right w:val="double" w:sz="6" w:space="0" w:color="auto"/>
            </w:tcBorders>
            <w:hideMark/>
          </w:tcPr>
          <w:p w14:paraId="7E039654" w14:textId="77777777" w:rsidR="000542E9" w:rsidRPr="000542E9" w:rsidRDefault="000542E9" w:rsidP="00603157">
            <w:pPr>
              <w:rPr>
                <w:rFonts w:eastAsia="Times New Roman"/>
                <w:noProof/>
                <w:lang w:val="en-US"/>
              </w:rPr>
            </w:pPr>
            <w:r w:rsidRPr="000542E9">
              <w:rPr>
                <w:rFonts w:eastAsia="Times New Roman"/>
                <w:noProof/>
                <w:lang w:val="en-US"/>
              </w:rPr>
              <w:t>The environmental impacts of Option C are closely tied to its prioritization of decarbonization and clean tech as key sectors and technologies. This focus should lead to a positive impact on climate, as the EU aims to achieve net-zero CO2 emissions by 2050, a target that cannot be met by solely deploying existing technologies. </w:t>
            </w:r>
          </w:p>
        </w:tc>
      </w:tr>
      <w:tr w:rsidR="000542E9" w:rsidRPr="000542E9" w14:paraId="4CEB6F78" w14:textId="77777777" w:rsidTr="00603157">
        <w:trPr>
          <w:trHeight w:val="300"/>
        </w:trPr>
        <w:tc>
          <w:tcPr>
            <w:tcW w:w="2250" w:type="dxa"/>
            <w:tcBorders>
              <w:top w:val="single" w:sz="6" w:space="0" w:color="auto"/>
              <w:left w:val="double" w:sz="6" w:space="0" w:color="auto"/>
              <w:bottom w:val="single" w:sz="6" w:space="0" w:color="auto"/>
              <w:right w:val="single" w:sz="6" w:space="0" w:color="auto"/>
            </w:tcBorders>
            <w:hideMark/>
          </w:tcPr>
          <w:p w14:paraId="3E38A02F" w14:textId="77777777" w:rsidR="000542E9" w:rsidRPr="000542E9" w:rsidRDefault="000542E9" w:rsidP="00603157">
            <w:pPr>
              <w:rPr>
                <w:rFonts w:eastAsia="Times New Roman"/>
                <w:noProof/>
                <w:lang w:val="en-US"/>
              </w:rPr>
            </w:pPr>
            <w:r w:rsidRPr="000542E9">
              <w:rPr>
                <w:rFonts w:eastAsia="Times New Roman"/>
                <w:noProof/>
                <w:lang w:val="en-US"/>
              </w:rPr>
              <w:t>Economic (GDP) </w:t>
            </w:r>
          </w:p>
        </w:tc>
        <w:tc>
          <w:tcPr>
            <w:tcW w:w="3256" w:type="dxa"/>
            <w:tcBorders>
              <w:top w:val="single" w:sz="6" w:space="0" w:color="auto"/>
              <w:left w:val="single" w:sz="6" w:space="0" w:color="auto"/>
              <w:bottom w:val="single" w:sz="6" w:space="0" w:color="auto"/>
              <w:right w:val="single" w:sz="6" w:space="0" w:color="auto"/>
            </w:tcBorders>
            <w:hideMark/>
          </w:tcPr>
          <w:p w14:paraId="1D65F75B" w14:textId="77777777" w:rsidR="000542E9" w:rsidRPr="000542E9" w:rsidRDefault="000542E9" w:rsidP="00603157">
            <w:pPr>
              <w:rPr>
                <w:rFonts w:eastAsia="Times New Roman"/>
                <w:noProof/>
                <w:lang w:val="en-US"/>
              </w:rPr>
            </w:pPr>
            <w:r w:rsidRPr="000542E9">
              <w:rPr>
                <w:rFonts w:eastAsia="Times New Roman"/>
                <w:noProof/>
                <w:lang w:val="en-US"/>
              </w:rPr>
              <w:t xml:space="preserve">GDP multiplier </w:t>
            </w:r>
            <w:r w:rsidRPr="000542E9">
              <w:rPr>
                <w:rFonts w:eastAsia="Times New Roman"/>
                <w:noProof/>
                <w:lang w:val="en-IE"/>
              </w:rPr>
              <w:t>15.74% higher</w:t>
            </w:r>
            <w:r w:rsidRPr="000542E9">
              <w:rPr>
                <w:rFonts w:eastAsia="Times New Roman"/>
                <w:noProof/>
                <w:lang w:val="en-US"/>
              </w:rPr>
              <w:t> </w:t>
            </w:r>
          </w:p>
        </w:tc>
        <w:tc>
          <w:tcPr>
            <w:tcW w:w="4110" w:type="dxa"/>
            <w:tcBorders>
              <w:top w:val="single" w:sz="6" w:space="0" w:color="auto"/>
              <w:left w:val="single" w:sz="6" w:space="0" w:color="auto"/>
              <w:bottom w:val="single" w:sz="6" w:space="0" w:color="auto"/>
              <w:right w:val="double" w:sz="6" w:space="0" w:color="auto"/>
            </w:tcBorders>
            <w:hideMark/>
          </w:tcPr>
          <w:p w14:paraId="6BCF0E16" w14:textId="77777777" w:rsidR="000542E9" w:rsidRPr="000542E9" w:rsidRDefault="000542E9" w:rsidP="00603157">
            <w:pPr>
              <w:rPr>
                <w:rFonts w:eastAsia="Times New Roman"/>
                <w:noProof/>
                <w:lang w:val="en-US"/>
              </w:rPr>
            </w:pPr>
            <w:r w:rsidRPr="000542E9">
              <w:rPr>
                <w:rFonts w:eastAsia="Times New Roman"/>
                <w:noProof/>
                <w:lang w:val="en-IE"/>
              </w:rPr>
              <w:t>The 15-year cumulative GDP multiplier for Option C is 15.74% higher than the baseline. This increase can be broken down into three factors: (1). Simplification: +3.79% due to additional supply-side effects; (2) Investment volume: -0.07% due to larger investment volumes; and (3) Frontloading of investment: +12.02% due to earlier deployment of investment.</w:t>
            </w:r>
            <w:r w:rsidRPr="000542E9">
              <w:rPr>
                <w:rFonts w:eastAsia="Times New Roman"/>
                <w:noProof/>
                <w:lang w:val="en-US"/>
              </w:rPr>
              <w:t>  </w:t>
            </w:r>
          </w:p>
          <w:p w14:paraId="015C4C65" w14:textId="77777777" w:rsidR="000542E9" w:rsidRPr="000542E9" w:rsidRDefault="000542E9" w:rsidP="00603157">
            <w:pPr>
              <w:rPr>
                <w:rFonts w:eastAsia="Times New Roman"/>
                <w:noProof/>
                <w:lang w:val="en-US"/>
              </w:rPr>
            </w:pPr>
            <w:r w:rsidRPr="000542E9">
              <w:rPr>
                <w:rFonts w:eastAsia="Times New Roman"/>
                <w:noProof/>
                <w:lang w:val="en-US"/>
              </w:rPr>
              <w:t> </w:t>
            </w:r>
          </w:p>
        </w:tc>
      </w:tr>
      <w:tr w:rsidR="000542E9" w:rsidRPr="000542E9" w14:paraId="03D89089" w14:textId="77777777" w:rsidTr="00603157">
        <w:trPr>
          <w:trHeight w:val="300"/>
        </w:trPr>
        <w:tc>
          <w:tcPr>
            <w:tcW w:w="2250" w:type="dxa"/>
            <w:tcBorders>
              <w:top w:val="single" w:sz="6" w:space="0" w:color="auto"/>
              <w:left w:val="double" w:sz="6" w:space="0" w:color="auto"/>
              <w:bottom w:val="double" w:sz="6" w:space="0" w:color="auto"/>
              <w:right w:val="single" w:sz="6" w:space="0" w:color="auto"/>
            </w:tcBorders>
            <w:hideMark/>
          </w:tcPr>
          <w:p w14:paraId="7F2031F2" w14:textId="77777777" w:rsidR="000542E9" w:rsidRPr="000542E9" w:rsidRDefault="000542E9" w:rsidP="00603157">
            <w:pPr>
              <w:rPr>
                <w:rFonts w:eastAsia="Times New Roman"/>
                <w:noProof/>
                <w:lang w:val="en-US"/>
              </w:rPr>
            </w:pPr>
            <w:r w:rsidRPr="000542E9">
              <w:rPr>
                <w:rFonts w:eastAsia="Times New Roman"/>
                <w:noProof/>
              </w:rPr>
              <w:t>Economic (Export)</w:t>
            </w:r>
            <w:r w:rsidRPr="000542E9">
              <w:rPr>
                <w:rFonts w:eastAsia="Times New Roman"/>
                <w:noProof/>
                <w:lang w:val="en-US"/>
              </w:rPr>
              <w:t> </w:t>
            </w:r>
          </w:p>
        </w:tc>
        <w:tc>
          <w:tcPr>
            <w:tcW w:w="3256" w:type="dxa"/>
            <w:tcBorders>
              <w:top w:val="single" w:sz="6" w:space="0" w:color="auto"/>
              <w:left w:val="single" w:sz="6" w:space="0" w:color="auto"/>
              <w:bottom w:val="double" w:sz="6" w:space="0" w:color="auto"/>
              <w:right w:val="single" w:sz="6" w:space="0" w:color="auto"/>
            </w:tcBorders>
            <w:hideMark/>
          </w:tcPr>
          <w:p w14:paraId="1129170A" w14:textId="1E941FBC" w:rsidR="000542E9" w:rsidRPr="000542E9" w:rsidRDefault="000542E9" w:rsidP="00603157">
            <w:pPr>
              <w:rPr>
                <w:rFonts w:eastAsia="Times New Roman"/>
                <w:noProof/>
                <w:lang w:val="en-US"/>
              </w:rPr>
            </w:pPr>
            <w:r w:rsidRPr="000542E9">
              <w:rPr>
                <w:rFonts w:eastAsia="Times New Roman"/>
                <w:noProof/>
                <w:lang w:val="en-US"/>
              </w:rPr>
              <w:t>+57.53% export activity</w:t>
            </w:r>
          </w:p>
        </w:tc>
        <w:tc>
          <w:tcPr>
            <w:tcW w:w="4110" w:type="dxa"/>
            <w:tcBorders>
              <w:top w:val="single" w:sz="6" w:space="0" w:color="auto"/>
              <w:left w:val="single" w:sz="6" w:space="0" w:color="auto"/>
              <w:bottom w:val="double" w:sz="6" w:space="0" w:color="auto"/>
              <w:right w:val="double" w:sz="6" w:space="0" w:color="auto"/>
            </w:tcBorders>
            <w:hideMark/>
          </w:tcPr>
          <w:p w14:paraId="70659380" w14:textId="77777777" w:rsidR="000542E9" w:rsidRPr="000542E9" w:rsidRDefault="000542E9" w:rsidP="00603157">
            <w:pPr>
              <w:rPr>
                <w:rFonts w:eastAsia="Times New Roman"/>
                <w:noProof/>
                <w:lang w:val="en-US"/>
              </w:rPr>
            </w:pPr>
            <w:r w:rsidRPr="000542E9">
              <w:rPr>
                <w:rFonts w:eastAsia="Times New Roman"/>
                <w:noProof/>
                <w:lang w:val="en-US"/>
              </w:rPr>
              <w:t>An increased GDP and enhanced export activity (+57.53% for the preferred option as compared to the baseline </w:t>
            </w:r>
          </w:p>
        </w:tc>
      </w:tr>
    </w:tbl>
    <w:p w14:paraId="262D9523" w14:textId="77777777" w:rsidR="000542E9" w:rsidRPr="000542E9" w:rsidRDefault="000542E9" w:rsidP="00603157">
      <w:pPr>
        <w:rPr>
          <w:rFonts w:eastAsia="Times New Roman"/>
          <w:noProof/>
          <w:lang w:val="en-US"/>
        </w:rPr>
      </w:pPr>
      <w:r w:rsidRPr="000542E9">
        <w:rPr>
          <w:rFonts w:eastAsia="Times New Roman"/>
          <w:i/>
          <w:iCs/>
          <w:noProof/>
          <w:lang w:val="en-IE"/>
        </w:rPr>
        <w:t xml:space="preserve">(1) Estimates are gross values relative to the baseline for the preferred option as a whole (i.e. the impact of individual actions/obligations of the </w:t>
      </w:r>
      <w:r w:rsidRPr="000542E9">
        <w:rPr>
          <w:rFonts w:eastAsia="Times New Roman"/>
          <w:i/>
          <w:iCs/>
          <w:noProof/>
          <w:u w:val="single"/>
          <w:lang w:val="en-IE"/>
        </w:rPr>
        <w:t>preferred</w:t>
      </w:r>
      <w:r w:rsidRPr="000542E9">
        <w:rPr>
          <w:rFonts w:eastAsia="Times New Roman"/>
          <w:i/>
          <w:iCs/>
          <w:noProof/>
          <w:lang w:val="en-IE"/>
        </w:rPr>
        <w:t xml:space="preserve"> option are aggregated together); (2) Please indicate in the comments column which stakeholder group is the main recipient of the benefit;(3) For reductions in regulatory costs, please describe in the comments column the details as to how the saving arises (e.g. reductions in adjustment costs, administrative costs, regulatory charges, enforcement costs, etc.;);. </w:t>
      </w:r>
      <w:r w:rsidRPr="000542E9">
        <w:rPr>
          <w:rFonts w:eastAsia="Times New Roman"/>
          <w:noProof/>
          <w:lang w:val="en-US"/>
        </w:rPr>
        <w:t>  </w:t>
      </w:r>
    </w:p>
    <w:p w14:paraId="662D1031" w14:textId="79E30CD2" w:rsidR="0AA200F7" w:rsidRDefault="0AA200F7" w:rsidP="00603157">
      <w:pPr>
        <w:rPr>
          <w:rFonts w:eastAsia="Times New Roman"/>
          <w:noProof/>
          <w:lang w:val="en-IE"/>
        </w:rPr>
      </w:pPr>
      <w:r w:rsidRPr="381BE0B6">
        <w:rPr>
          <w:rFonts w:eastAsia="Times New Roman"/>
          <w:noProof/>
          <w:lang w:val="en-IE"/>
        </w:rPr>
        <w:t xml:space="preserve"> </w:t>
      </w:r>
      <w:r w:rsidR="2C5A58A6" w:rsidRPr="381BE0B6">
        <w:rPr>
          <w:rFonts w:eastAsia="Times New Roman"/>
          <w:noProof/>
          <w:lang w:val="en-IE"/>
        </w:rPr>
        <w:t>Administrative costs</w:t>
      </w:r>
    </w:p>
    <w:p w14:paraId="3015AAFF" w14:textId="33923847" w:rsidR="2C5A58A6" w:rsidRDefault="2C5A58A6" w:rsidP="008C51EB">
      <w:pPr>
        <w:pStyle w:val="ListParagraph"/>
        <w:numPr>
          <w:ilvl w:val="0"/>
          <w:numId w:val="101"/>
        </w:numPr>
        <w:spacing w:before="0" w:after="0"/>
        <w:rPr>
          <w:rFonts w:eastAsia="Times New Roman"/>
          <w:i/>
          <w:iCs/>
          <w:noProof/>
          <w:lang w:val="en-IE"/>
        </w:rPr>
      </w:pPr>
      <w:r w:rsidRPr="381BE0B6">
        <w:rPr>
          <w:rFonts w:eastAsia="Times New Roman"/>
          <w:i/>
          <w:iCs/>
          <w:noProof/>
          <w:lang w:val="en-IE"/>
        </w:rPr>
        <w:t>Opt 1: Different rules on application processes would be tailored to each programme’s needs and constituency. For each programme, taken individually, this constitutes a clear and highly relevant minimisation of cost.</w:t>
      </w:r>
    </w:p>
    <w:p w14:paraId="699F666F" w14:textId="38AFD598" w:rsidR="2C5A58A6" w:rsidRDefault="2C5A58A6" w:rsidP="008C51EB">
      <w:pPr>
        <w:pStyle w:val="ListParagraph"/>
        <w:numPr>
          <w:ilvl w:val="0"/>
          <w:numId w:val="101"/>
        </w:numPr>
        <w:spacing w:before="0" w:after="0"/>
        <w:rPr>
          <w:rFonts w:eastAsia="Times New Roman"/>
          <w:i/>
          <w:iCs/>
          <w:noProof/>
          <w:lang w:val="en-IE"/>
        </w:rPr>
      </w:pPr>
      <w:r w:rsidRPr="78FCB31B">
        <w:rPr>
          <w:rFonts w:eastAsia="Times New Roman"/>
          <w:i/>
          <w:iCs/>
          <w:noProof/>
          <w:lang w:val="en-IE"/>
        </w:rPr>
        <w:t>Opt</w:t>
      </w:r>
      <w:r w:rsidR="090873CE" w:rsidRPr="78FCB31B">
        <w:rPr>
          <w:rFonts w:eastAsia="Times New Roman"/>
          <w:i/>
          <w:iCs/>
          <w:noProof/>
          <w:lang w:val="en-IE"/>
        </w:rPr>
        <w:t xml:space="preserve"> </w:t>
      </w:r>
      <w:r w:rsidRPr="78FCB31B">
        <w:rPr>
          <w:rFonts w:eastAsia="Times New Roman"/>
          <w:i/>
          <w:iCs/>
          <w:noProof/>
          <w:lang w:val="en-IE"/>
        </w:rPr>
        <w:t>2</w:t>
      </w:r>
      <w:r w:rsidRPr="381BE0B6">
        <w:rPr>
          <w:rFonts w:eastAsia="Times New Roman"/>
          <w:i/>
          <w:iCs/>
          <w:noProof/>
          <w:lang w:val="en-IE"/>
        </w:rPr>
        <w:t>:</w:t>
      </w:r>
      <w:r w:rsidR="190D22CA" w:rsidRPr="529F32C6">
        <w:rPr>
          <w:rFonts w:eastAsia="Times New Roman"/>
          <w:i/>
          <w:iCs/>
          <w:noProof/>
          <w:lang w:val="en-IE"/>
        </w:rPr>
        <w:t xml:space="preserve"> </w:t>
      </w:r>
      <w:r w:rsidRPr="381BE0B6">
        <w:rPr>
          <w:rFonts w:eastAsia="Times New Roman"/>
          <w:i/>
          <w:iCs/>
          <w:noProof/>
          <w:lang w:val="en-IE"/>
        </w:rPr>
        <w:t>Harmonisation of the application process can also come with the cost of not reflecting each sector’s specificities (see above).</w:t>
      </w:r>
    </w:p>
    <w:p w14:paraId="2A7F27F4" w14:textId="0ECEDFF9" w:rsidR="2C5A58A6" w:rsidRDefault="4561F4CA" w:rsidP="008C51EB">
      <w:pPr>
        <w:pStyle w:val="ListParagraph"/>
        <w:numPr>
          <w:ilvl w:val="0"/>
          <w:numId w:val="101"/>
        </w:numPr>
        <w:spacing w:before="0" w:after="0"/>
        <w:rPr>
          <w:rFonts w:eastAsia="Times New Roman"/>
          <w:i/>
          <w:iCs/>
          <w:noProof/>
          <w:lang w:val="en-IE"/>
        </w:rPr>
      </w:pPr>
      <w:r w:rsidRPr="3EA7425B">
        <w:rPr>
          <w:rFonts w:eastAsia="Times New Roman"/>
          <w:i/>
          <w:iCs/>
          <w:noProof/>
          <w:lang w:val="en-IE"/>
        </w:rPr>
        <w:t>The programmes in scope cover a broad spectrum of activities. Full harmonisation of the application process can come with a cost, in light of the very different nature activities to which it would apply (for instance, funding the manufacturing or construction of physical infrastructure vs. funding researcher exchanges). Different activities entail different types of applicants and proposals, and therefore may benefit from accommodating each sector’s specificities. A common rulebook would also remove the specificities of the different programmes, affecting the tailored approach / targeted support from which certain groups of stakeholders currently benefit. In fact, some stakeholders may bear costs moving from a tailored approach to a consolidated one: for example, researchers (ERC PIs) or startups &amp; SMEs (EIC) now have specific (shorter) application templates and rules tailored to their groups, while a single rulebook would bundle together all applicant groups (researchers, start-ups, SMEs, large companies, universities, etc.).</w:t>
      </w:r>
    </w:p>
    <w:p w14:paraId="7DF57BBD" w14:textId="1E9F0DC4" w:rsidR="2C5A58A6" w:rsidRDefault="2C5A58A6" w:rsidP="008C51EB">
      <w:pPr>
        <w:pStyle w:val="ListParagraph"/>
        <w:numPr>
          <w:ilvl w:val="0"/>
          <w:numId w:val="101"/>
        </w:numPr>
        <w:spacing w:before="0"/>
        <w:ind w:left="714" w:hanging="357"/>
        <w:contextualSpacing w:val="0"/>
        <w:rPr>
          <w:rFonts w:eastAsia="Times New Roman"/>
          <w:i/>
          <w:iCs/>
          <w:noProof/>
          <w:lang w:val="en-IE"/>
        </w:rPr>
      </w:pPr>
      <w:r w:rsidRPr="381BE0B6">
        <w:rPr>
          <w:rFonts w:eastAsia="Times New Roman"/>
          <w:i/>
          <w:iCs/>
          <w:noProof/>
          <w:lang w:val="en-IE"/>
        </w:rPr>
        <w:t>Opt 3 A single Fund would mean losing the specificities of the different programmes, as well as programme parts, affecting the tailored approach / targeted support from which certain groups of stakeholders currently benefit.</w:t>
      </w:r>
    </w:p>
    <w:p w14:paraId="341553BA" w14:textId="43B3007B" w:rsidR="0AA200F7" w:rsidRDefault="0AA200F7" w:rsidP="008C51EB">
      <w:pPr>
        <w:pStyle w:val="ListParagraph"/>
        <w:numPr>
          <w:ilvl w:val="0"/>
          <w:numId w:val="16"/>
        </w:numPr>
        <w:spacing w:before="0" w:after="0"/>
        <w:rPr>
          <w:rFonts w:eastAsia="Times New Roman"/>
          <w:i/>
          <w:iCs/>
          <w:noProof/>
          <w:sz w:val="20"/>
          <w:szCs w:val="20"/>
          <w:lang w:val="en-IE"/>
        </w:rPr>
      </w:pPr>
      <w:r w:rsidRPr="2A1AD167">
        <w:rPr>
          <w:rFonts w:eastAsia="Times New Roman"/>
          <w:i/>
          <w:iCs/>
          <w:noProof/>
          <w:sz w:val="20"/>
          <w:szCs w:val="20"/>
          <w:lang w:val="en-IE"/>
        </w:rPr>
        <w:t xml:space="preserve">Estimates (gross values) to be provided with respect to the baseline; (2) costs are provided for each identifiable action/obligation of the </w:t>
      </w:r>
      <w:r w:rsidRPr="2A1AD167">
        <w:rPr>
          <w:rFonts w:eastAsia="Times New Roman"/>
          <w:i/>
          <w:iCs/>
          <w:noProof/>
          <w:sz w:val="20"/>
          <w:szCs w:val="20"/>
          <w:u w:val="single"/>
          <w:lang w:val="en-IE"/>
        </w:rPr>
        <w:t>preferred</w:t>
      </w:r>
      <w:r w:rsidRPr="2A1AD167">
        <w:rPr>
          <w:rFonts w:eastAsia="Times New Roman"/>
          <w:i/>
          <w:iCs/>
          <w:noProof/>
          <w:sz w:val="20"/>
          <w:szCs w:val="20"/>
          <w:lang w:val="en-IE"/>
        </w:rPr>
        <w:t xml:space="preserve"> option otherwise for all retained options when no preferred option is specified; (3) If relevant and available, please present information on costs according to the standard typology of costs (adjustment costs, administrative costs, regulatory charges, enforcement costs, indirect costs;). </w:t>
      </w:r>
    </w:p>
    <w:p w14:paraId="6133B687" w14:textId="05FD45D5" w:rsidR="0AA200F7" w:rsidRDefault="0AA200F7" w:rsidP="00603157">
      <w:pPr>
        <w:ind w:left="-207"/>
        <w:rPr>
          <w:rFonts w:eastAsia="Times New Roman"/>
          <w:noProof/>
          <w:sz w:val="22"/>
          <w:szCs w:val="22"/>
          <w:lang w:val="en-IE"/>
        </w:rPr>
      </w:pPr>
      <w:r w:rsidRPr="2A1AD167">
        <w:rPr>
          <w:rFonts w:eastAsia="Times New Roman"/>
          <w:noProof/>
          <w:sz w:val="22"/>
          <w:szCs w:val="22"/>
          <w:lang w:val="en-IE"/>
        </w:rPr>
        <w:t xml:space="preserve"> </w:t>
      </w:r>
    </w:p>
    <w:tbl>
      <w:tblPr>
        <w:tblStyle w:val="TableGrid"/>
        <w:tblW w:w="0" w:type="auto"/>
        <w:tblLayout w:type="fixed"/>
        <w:tblLook w:val="04A0" w:firstRow="1" w:lastRow="0" w:firstColumn="1" w:lastColumn="0" w:noHBand="0" w:noVBand="1"/>
      </w:tblPr>
      <w:tblGrid>
        <w:gridCol w:w="665"/>
        <w:gridCol w:w="1265"/>
        <w:gridCol w:w="1106"/>
        <w:gridCol w:w="1006"/>
        <w:gridCol w:w="1157"/>
        <w:gridCol w:w="1000"/>
        <w:gridCol w:w="1296"/>
        <w:gridCol w:w="1090"/>
      </w:tblGrid>
      <w:tr w:rsidR="1D96130C" w14:paraId="78FEAB38" w14:textId="77777777" w:rsidTr="1D96130C">
        <w:trPr>
          <w:trHeight w:val="300"/>
        </w:trPr>
        <w:tc>
          <w:tcPr>
            <w:tcW w:w="8585" w:type="dxa"/>
            <w:gridSpan w:val="8"/>
            <w:tcBorders>
              <w:top w:val="double" w:sz="4" w:space="0" w:color="auto"/>
              <w:left w:val="double" w:sz="4" w:space="0" w:color="auto"/>
              <w:bottom w:val="single" w:sz="8" w:space="0" w:color="auto"/>
              <w:right w:val="double" w:sz="4" w:space="0" w:color="auto"/>
            </w:tcBorders>
            <w:shd w:val="clear" w:color="auto" w:fill="C6D9F1" w:themeFill="text2" w:themeFillTint="33"/>
            <w:tcMar>
              <w:top w:w="57" w:type="dxa"/>
              <w:left w:w="57" w:type="dxa"/>
              <w:bottom w:w="57" w:type="dxa"/>
              <w:right w:w="57" w:type="dxa"/>
            </w:tcMar>
          </w:tcPr>
          <w:p w14:paraId="7DE8C9F6" w14:textId="2FA5A378" w:rsidR="1D96130C" w:rsidRDefault="1D96130C" w:rsidP="00603157">
            <w:pPr>
              <w:spacing w:before="0" w:after="0"/>
              <w:rPr>
                <w:b/>
                <w:bCs/>
                <w:noProof/>
                <w:color w:val="000000" w:themeColor="text1"/>
                <w:sz w:val="20"/>
                <w:szCs w:val="20"/>
              </w:rPr>
            </w:pPr>
            <w:r w:rsidRPr="1D96130C">
              <w:rPr>
                <w:b/>
                <w:bCs/>
                <w:noProof/>
                <w:color w:val="000000" w:themeColor="text1"/>
                <w:sz w:val="20"/>
                <w:szCs w:val="20"/>
              </w:rPr>
              <w:t>II. Overview of costs – Preferred option</w:t>
            </w:r>
          </w:p>
        </w:tc>
      </w:tr>
      <w:tr w:rsidR="1D96130C" w14:paraId="22E91AC0" w14:textId="77777777" w:rsidTr="1D96130C">
        <w:trPr>
          <w:trHeight w:val="300"/>
        </w:trPr>
        <w:tc>
          <w:tcPr>
            <w:tcW w:w="1930" w:type="dxa"/>
            <w:gridSpan w:val="2"/>
            <w:vMerge w:val="restart"/>
            <w:tcBorders>
              <w:top w:val="single" w:sz="8" w:space="0" w:color="auto"/>
              <w:left w:val="double" w:sz="4" w:space="0" w:color="auto"/>
              <w:bottom w:val="double" w:sz="3" w:space="0" w:color="auto"/>
              <w:right w:val="double" w:sz="4" w:space="0" w:color="auto"/>
            </w:tcBorders>
            <w:tcMar>
              <w:top w:w="57" w:type="dxa"/>
              <w:left w:w="57" w:type="dxa"/>
              <w:bottom w:w="57" w:type="dxa"/>
              <w:right w:w="57" w:type="dxa"/>
            </w:tcMar>
          </w:tcPr>
          <w:p w14:paraId="4E393792" w14:textId="3A74F430" w:rsidR="1D96130C" w:rsidRDefault="1D96130C" w:rsidP="00603157">
            <w:pPr>
              <w:spacing w:before="0" w:after="0"/>
              <w:rPr>
                <w:b/>
                <w:bCs/>
                <w:noProof/>
                <w:sz w:val="20"/>
                <w:szCs w:val="20"/>
              </w:rPr>
            </w:pPr>
            <w:r w:rsidRPr="1D96130C">
              <w:rPr>
                <w:b/>
                <w:bCs/>
                <w:noProof/>
                <w:sz w:val="20"/>
                <w:szCs w:val="20"/>
              </w:rPr>
              <w:t xml:space="preserve"> </w:t>
            </w:r>
          </w:p>
        </w:tc>
        <w:tc>
          <w:tcPr>
            <w:tcW w:w="2112" w:type="dxa"/>
            <w:gridSpan w:val="2"/>
            <w:tcBorders>
              <w:top w:val="nil"/>
              <w:left w:val="nil"/>
              <w:bottom w:val="single" w:sz="8" w:space="0" w:color="auto"/>
              <w:right w:val="single" w:sz="8" w:space="0" w:color="auto"/>
            </w:tcBorders>
            <w:tcMar>
              <w:top w:w="57" w:type="dxa"/>
              <w:left w:w="57" w:type="dxa"/>
              <w:bottom w:w="57" w:type="dxa"/>
              <w:right w:w="57" w:type="dxa"/>
            </w:tcMar>
          </w:tcPr>
          <w:p w14:paraId="3DF1BF27" w14:textId="1FBC221C" w:rsidR="1D96130C" w:rsidRDefault="1D96130C" w:rsidP="00603157">
            <w:pPr>
              <w:spacing w:before="0" w:after="0"/>
              <w:jc w:val="center"/>
              <w:rPr>
                <w:b/>
                <w:bCs/>
                <w:noProof/>
                <w:sz w:val="20"/>
                <w:szCs w:val="20"/>
              </w:rPr>
            </w:pPr>
            <w:r w:rsidRPr="1D96130C">
              <w:rPr>
                <w:b/>
                <w:bCs/>
                <w:noProof/>
                <w:sz w:val="20"/>
                <w:szCs w:val="20"/>
              </w:rPr>
              <w:t>Citizens/Consumers</w:t>
            </w:r>
          </w:p>
        </w:tc>
        <w:tc>
          <w:tcPr>
            <w:tcW w:w="2157" w:type="dxa"/>
            <w:gridSpan w:val="2"/>
            <w:tcBorders>
              <w:top w:val="nil"/>
              <w:left w:val="nil"/>
              <w:bottom w:val="single" w:sz="8" w:space="0" w:color="auto"/>
              <w:right w:val="single" w:sz="8" w:space="0" w:color="auto"/>
            </w:tcBorders>
            <w:tcMar>
              <w:top w:w="57" w:type="dxa"/>
              <w:left w:w="57" w:type="dxa"/>
              <w:bottom w:w="57" w:type="dxa"/>
              <w:right w:w="57" w:type="dxa"/>
            </w:tcMar>
          </w:tcPr>
          <w:p w14:paraId="0C1E2E1E" w14:textId="6BA246BE" w:rsidR="1D96130C" w:rsidRDefault="1D96130C" w:rsidP="00603157">
            <w:pPr>
              <w:spacing w:before="0" w:after="0"/>
              <w:jc w:val="center"/>
              <w:rPr>
                <w:b/>
                <w:bCs/>
                <w:noProof/>
                <w:sz w:val="20"/>
                <w:szCs w:val="20"/>
              </w:rPr>
            </w:pPr>
            <w:r w:rsidRPr="1D96130C">
              <w:rPr>
                <w:b/>
                <w:bCs/>
                <w:noProof/>
                <w:sz w:val="20"/>
                <w:szCs w:val="20"/>
              </w:rPr>
              <w:t>Businesses</w:t>
            </w:r>
          </w:p>
        </w:tc>
        <w:tc>
          <w:tcPr>
            <w:tcW w:w="2386" w:type="dxa"/>
            <w:gridSpan w:val="2"/>
            <w:tcBorders>
              <w:top w:val="nil"/>
              <w:left w:val="nil"/>
              <w:bottom w:val="single" w:sz="8" w:space="0" w:color="auto"/>
              <w:right w:val="double" w:sz="4" w:space="0" w:color="auto"/>
            </w:tcBorders>
            <w:tcMar>
              <w:top w:w="57" w:type="dxa"/>
              <w:left w:w="57" w:type="dxa"/>
              <w:bottom w:w="57" w:type="dxa"/>
              <w:right w:w="57" w:type="dxa"/>
            </w:tcMar>
          </w:tcPr>
          <w:p w14:paraId="2303B3B5" w14:textId="56D096E8" w:rsidR="1D96130C" w:rsidRDefault="1D96130C" w:rsidP="00603157">
            <w:pPr>
              <w:spacing w:before="0" w:after="0"/>
              <w:jc w:val="center"/>
              <w:rPr>
                <w:b/>
                <w:bCs/>
                <w:noProof/>
                <w:sz w:val="20"/>
                <w:szCs w:val="20"/>
              </w:rPr>
            </w:pPr>
            <w:r w:rsidRPr="1D96130C">
              <w:rPr>
                <w:b/>
                <w:bCs/>
                <w:noProof/>
                <w:sz w:val="20"/>
                <w:szCs w:val="20"/>
              </w:rPr>
              <w:t>Administrations</w:t>
            </w:r>
          </w:p>
        </w:tc>
      </w:tr>
      <w:tr w:rsidR="1D96130C" w14:paraId="4BD5DE23" w14:textId="77777777" w:rsidTr="1D96130C">
        <w:trPr>
          <w:trHeight w:val="300"/>
        </w:trPr>
        <w:tc>
          <w:tcPr>
            <w:tcW w:w="1930" w:type="dxa"/>
            <w:gridSpan w:val="2"/>
            <w:vMerge/>
            <w:tcBorders>
              <w:left w:val="double" w:sz="0" w:space="0" w:color="auto"/>
              <w:bottom w:val="double" w:sz="0" w:space="0" w:color="auto"/>
              <w:right w:val="double" w:sz="0" w:space="0" w:color="auto"/>
            </w:tcBorders>
            <w:vAlign w:val="center"/>
          </w:tcPr>
          <w:p w14:paraId="034044B5" w14:textId="77777777" w:rsidR="00875FF3" w:rsidRDefault="00875FF3" w:rsidP="00603157">
            <w:pPr>
              <w:rPr>
                <w:noProof/>
              </w:rPr>
            </w:pPr>
          </w:p>
        </w:tc>
        <w:tc>
          <w:tcPr>
            <w:tcW w:w="1106" w:type="dxa"/>
            <w:tcBorders>
              <w:top w:val="single" w:sz="8" w:space="0" w:color="auto"/>
              <w:left w:val="nil"/>
              <w:bottom w:val="double" w:sz="4" w:space="0" w:color="auto"/>
              <w:right w:val="single" w:sz="8" w:space="0" w:color="auto"/>
            </w:tcBorders>
            <w:tcMar>
              <w:top w:w="57" w:type="dxa"/>
              <w:left w:w="57" w:type="dxa"/>
              <w:bottom w:w="57" w:type="dxa"/>
              <w:right w:w="57" w:type="dxa"/>
            </w:tcMar>
          </w:tcPr>
          <w:p w14:paraId="7C9BD73E" w14:textId="37A2FE69" w:rsidR="1D96130C" w:rsidRDefault="1D96130C" w:rsidP="00603157">
            <w:pPr>
              <w:spacing w:before="0" w:after="0"/>
              <w:jc w:val="center"/>
              <w:rPr>
                <w:b/>
                <w:bCs/>
                <w:noProof/>
                <w:sz w:val="20"/>
                <w:szCs w:val="20"/>
              </w:rPr>
            </w:pPr>
            <w:r w:rsidRPr="1D96130C">
              <w:rPr>
                <w:b/>
                <w:bCs/>
                <w:noProof/>
                <w:sz w:val="20"/>
                <w:szCs w:val="20"/>
              </w:rPr>
              <w:t>One-off</w:t>
            </w:r>
          </w:p>
        </w:tc>
        <w:tc>
          <w:tcPr>
            <w:tcW w:w="1006" w:type="dxa"/>
            <w:tcBorders>
              <w:top w:val="nil"/>
              <w:left w:val="single" w:sz="8" w:space="0" w:color="auto"/>
              <w:bottom w:val="double" w:sz="4" w:space="0" w:color="auto"/>
              <w:right w:val="single" w:sz="8" w:space="0" w:color="auto"/>
            </w:tcBorders>
            <w:tcMar>
              <w:top w:w="57" w:type="dxa"/>
              <w:left w:w="57" w:type="dxa"/>
              <w:bottom w:w="57" w:type="dxa"/>
              <w:right w:w="57" w:type="dxa"/>
            </w:tcMar>
          </w:tcPr>
          <w:p w14:paraId="7A4164DC" w14:textId="2C685619" w:rsidR="1D96130C" w:rsidRDefault="1D96130C" w:rsidP="00603157">
            <w:pPr>
              <w:spacing w:before="0" w:after="0"/>
              <w:jc w:val="center"/>
              <w:rPr>
                <w:b/>
                <w:bCs/>
                <w:noProof/>
                <w:sz w:val="20"/>
                <w:szCs w:val="20"/>
              </w:rPr>
            </w:pPr>
            <w:r w:rsidRPr="1D96130C">
              <w:rPr>
                <w:b/>
                <w:bCs/>
                <w:noProof/>
                <w:sz w:val="20"/>
                <w:szCs w:val="20"/>
              </w:rPr>
              <w:t>Recurrent</w:t>
            </w:r>
          </w:p>
        </w:tc>
        <w:tc>
          <w:tcPr>
            <w:tcW w:w="1157" w:type="dxa"/>
            <w:tcBorders>
              <w:top w:val="single" w:sz="8" w:space="0" w:color="auto"/>
              <w:left w:val="single" w:sz="8" w:space="0" w:color="auto"/>
              <w:bottom w:val="double" w:sz="4" w:space="0" w:color="auto"/>
              <w:right w:val="single" w:sz="8" w:space="0" w:color="auto"/>
            </w:tcBorders>
            <w:tcMar>
              <w:top w:w="57" w:type="dxa"/>
              <w:left w:w="57" w:type="dxa"/>
              <w:bottom w:w="57" w:type="dxa"/>
              <w:right w:w="57" w:type="dxa"/>
            </w:tcMar>
          </w:tcPr>
          <w:p w14:paraId="73D2A44A" w14:textId="21BDA386" w:rsidR="1D96130C" w:rsidRDefault="1D96130C" w:rsidP="00603157">
            <w:pPr>
              <w:spacing w:before="0" w:after="0"/>
              <w:jc w:val="center"/>
              <w:rPr>
                <w:b/>
                <w:bCs/>
                <w:noProof/>
                <w:sz w:val="20"/>
                <w:szCs w:val="20"/>
              </w:rPr>
            </w:pPr>
            <w:r w:rsidRPr="1D96130C">
              <w:rPr>
                <w:b/>
                <w:bCs/>
                <w:noProof/>
                <w:sz w:val="20"/>
                <w:szCs w:val="20"/>
              </w:rPr>
              <w:t>One-off</w:t>
            </w:r>
          </w:p>
        </w:tc>
        <w:tc>
          <w:tcPr>
            <w:tcW w:w="1000" w:type="dxa"/>
            <w:tcBorders>
              <w:top w:val="nil"/>
              <w:left w:val="single" w:sz="8" w:space="0" w:color="auto"/>
              <w:bottom w:val="double" w:sz="4" w:space="0" w:color="auto"/>
              <w:right w:val="single" w:sz="8" w:space="0" w:color="auto"/>
            </w:tcBorders>
            <w:tcMar>
              <w:top w:w="57" w:type="dxa"/>
              <w:left w:w="57" w:type="dxa"/>
              <w:bottom w:w="57" w:type="dxa"/>
              <w:right w:w="57" w:type="dxa"/>
            </w:tcMar>
          </w:tcPr>
          <w:p w14:paraId="2CA255B3" w14:textId="04ADBD58" w:rsidR="1D96130C" w:rsidRDefault="1D96130C" w:rsidP="00603157">
            <w:pPr>
              <w:spacing w:before="0" w:after="0"/>
              <w:jc w:val="center"/>
              <w:rPr>
                <w:b/>
                <w:bCs/>
                <w:noProof/>
                <w:sz w:val="20"/>
                <w:szCs w:val="20"/>
              </w:rPr>
            </w:pPr>
            <w:r w:rsidRPr="1D96130C">
              <w:rPr>
                <w:b/>
                <w:bCs/>
                <w:noProof/>
                <w:sz w:val="20"/>
                <w:szCs w:val="20"/>
              </w:rPr>
              <w:t>Recurrent</w:t>
            </w:r>
          </w:p>
        </w:tc>
        <w:tc>
          <w:tcPr>
            <w:tcW w:w="1296" w:type="dxa"/>
            <w:tcBorders>
              <w:top w:val="single" w:sz="8" w:space="0" w:color="auto"/>
              <w:left w:val="single" w:sz="8" w:space="0" w:color="auto"/>
              <w:bottom w:val="double" w:sz="4" w:space="0" w:color="auto"/>
              <w:right w:val="single" w:sz="8" w:space="0" w:color="auto"/>
            </w:tcBorders>
            <w:tcMar>
              <w:top w:w="57" w:type="dxa"/>
              <w:left w:w="57" w:type="dxa"/>
              <w:bottom w:w="57" w:type="dxa"/>
              <w:right w:w="57" w:type="dxa"/>
            </w:tcMar>
          </w:tcPr>
          <w:p w14:paraId="5DE01738" w14:textId="00E27549" w:rsidR="1D96130C" w:rsidRDefault="1D96130C" w:rsidP="00603157">
            <w:pPr>
              <w:spacing w:before="0" w:after="0"/>
              <w:jc w:val="center"/>
              <w:rPr>
                <w:b/>
                <w:bCs/>
                <w:noProof/>
                <w:sz w:val="20"/>
                <w:szCs w:val="20"/>
              </w:rPr>
            </w:pPr>
            <w:r w:rsidRPr="1D96130C">
              <w:rPr>
                <w:b/>
                <w:bCs/>
                <w:noProof/>
                <w:sz w:val="20"/>
                <w:szCs w:val="20"/>
              </w:rPr>
              <w:t>One-off</w:t>
            </w:r>
          </w:p>
        </w:tc>
        <w:tc>
          <w:tcPr>
            <w:tcW w:w="1090" w:type="dxa"/>
            <w:tcBorders>
              <w:top w:val="nil"/>
              <w:left w:val="single" w:sz="8" w:space="0" w:color="auto"/>
              <w:bottom w:val="double" w:sz="4" w:space="0" w:color="auto"/>
              <w:right w:val="double" w:sz="4" w:space="0" w:color="auto"/>
            </w:tcBorders>
            <w:tcMar>
              <w:top w:w="57" w:type="dxa"/>
              <w:left w:w="57" w:type="dxa"/>
              <w:bottom w:w="57" w:type="dxa"/>
              <w:right w:w="57" w:type="dxa"/>
            </w:tcMar>
          </w:tcPr>
          <w:p w14:paraId="66EAFF2F" w14:textId="6F64AC0C" w:rsidR="1D96130C" w:rsidRDefault="1D96130C" w:rsidP="00603157">
            <w:pPr>
              <w:spacing w:before="0" w:after="0"/>
              <w:jc w:val="center"/>
              <w:rPr>
                <w:b/>
                <w:bCs/>
                <w:noProof/>
                <w:sz w:val="20"/>
                <w:szCs w:val="20"/>
              </w:rPr>
            </w:pPr>
            <w:r w:rsidRPr="1D96130C">
              <w:rPr>
                <w:b/>
                <w:bCs/>
                <w:noProof/>
                <w:sz w:val="20"/>
                <w:szCs w:val="20"/>
              </w:rPr>
              <w:t>Recurrent</w:t>
            </w:r>
          </w:p>
        </w:tc>
      </w:tr>
      <w:tr w:rsidR="1D96130C" w14:paraId="2D4FC789" w14:textId="77777777" w:rsidTr="1D96130C">
        <w:trPr>
          <w:trHeight w:val="300"/>
        </w:trPr>
        <w:tc>
          <w:tcPr>
            <w:tcW w:w="665" w:type="dxa"/>
            <w:vMerge w:val="restart"/>
            <w:tcBorders>
              <w:top w:val="nil"/>
              <w:left w:val="double" w:sz="4" w:space="0" w:color="auto"/>
              <w:bottom w:val="double" w:sz="4" w:space="0" w:color="auto"/>
              <w:right w:val="single" w:sz="8" w:space="0" w:color="auto"/>
            </w:tcBorders>
            <w:tcMar>
              <w:top w:w="57" w:type="dxa"/>
              <w:left w:w="57" w:type="dxa"/>
              <w:bottom w:w="57" w:type="dxa"/>
              <w:right w:w="57" w:type="dxa"/>
            </w:tcMar>
            <w:vAlign w:val="center"/>
          </w:tcPr>
          <w:p w14:paraId="6D0D1BD3" w14:textId="27E8BEF5" w:rsidR="1D96130C" w:rsidRDefault="1D96130C" w:rsidP="00603157">
            <w:pPr>
              <w:spacing w:before="0" w:after="0"/>
              <w:rPr>
                <w:noProof/>
                <w:sz w:val="20"/>
                <w:szCs w:val="20"/>
              </w:rPr>
            </w:pPr>
            <w:r w:rsidRPr="1D96130C">
              <w:rPr>
                <w:noProof/>
                <w:sz w:val="20"/>
                <w:szCs w:val="20"/>
              </w:rPr>
              <w:t>Action (a)</w:t>
            </w:r>
          </w:p>
        </w:tc>
        <w:tc>
          <w:tcPr>
            <w:tcW w:w="1265" w:type="dxa"/>
            <w:tcBorders>
              <w:top w:val="nil"/>
              <w:left w:val="single" w:sz="8" w:space="0" w:color="auto"/>
              <w:bottom w:val="single" w:sz="8" w:space="0" w:color="auto"/>
              <w:right w:val="double" w:sz="4" w:space="0" w:color="auto"/>
            </w:tcBorders>
            <w:tcMar>
              <w:top w:w="57" w:type="dxa"/>
              <w:left w:w="57" w:type="dxa"/>
              <w:bottom w:w="57" w:type="dxa"/>
              <w:right w:w="57" w:type="dxa"/>
            </w:tcMar>
            <w:vAlign w:val="center"/>
          </w:tcPr>
          <w:p w14:paraId="792C909A" w14:textId="40269B40" w:rsidR="1D96130C" w:rsidRDefault="1D96130C" w:rsidP="00603157">
            <w:pPr>
              <w:spacing w:before="0" w:after="0"/>
              <w:jc w:val="left"/>
              <w:rPr>
                <w:noProof/>
                <w:sz w:val="20"/>
                <w:szCs w:val="20"/>
              </w:rPr>
            </w:pPr>
            <w:r w:rsidRPr="1D96130C">
              <w:rPr>
                <w:noProof/>
                <w:sz w:val="20"/>
                <w:szCs w:val="20"/>
              </w:rPr>
              <w:t>Direct adjustment costs</w:t>
            </w:r>
          </w:p>
        </w:tc>
        <w:tc>
          <w:tcPr>
            <w:tcW w:w="1106" w:type="dxa"/>
            <w:tcBorders>
              <w:top w:val="double" w:sz="4" w:space="0" w:color="auto"/>
              <w:left w:val="double" w:sz="4" w:space="0" w:color="auto"/>
              <w:bottom w:val="single" w:sz="8" w:space="0" w:color="auto"/>
              <w:right w:val="single" w:sz="8" w:space="0" w:color="auto"/>
            </w:tcBorders>
            <w:tcMar>
              <w:top w:w="57" w:type="dxa"/>
              <w:left w:w="57" w:type="dxa"/>
              <w:bottom w:w="57" w:type="dxa"/>
              <w:right w:w="57" w:type="dxa"/>
            </w:tcMar>
            <w:vAlign w:val="center"/>
          </w:tcPr>
          <w:p w14:paraId="1B2166DD" w14:textId="1EFA00EC" w:rsidR="1D96130C" w:rsidRDefault="1D96130C" w:rsidP="00603157">
            <w:pPr>
              <w:spacing w:before="0" w:after="0"/>
              <w:jc w:val="left"/>
              <w:rPr>
                <w:noProof/>
                <w:sz w:val="20"/>
                <w:szCs w:val="20"/>
              </w:rPr>
            </w:pPr>
            <w:r w:rsidRPr="1D96130C">
              <w:rPr>
                <w:noProof/>
                <w:sz w:val="20"/>
                <w:szCs w:val="20"/>
              </w:rPr>
              <w:t>Adjustment costs would be high for applicants and beneficiaries and would require a significant adaptation.</w:t>
            </w:r>
          </w:p>
        </w:tc>
        <w:tc>
          <w:tcPr>
            <w:tcW w:w="1006" w:type="dxa"/>
            <w:tcBorders>
              <w:top w:val="double" w:sz="4"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59D0DBF1" w14:textId="6DB32D6F" w:rsidR="1D96130C" w:rsidRDefault="1D96130C" w:rsidP="00603157">
            <w:pPr>
              <w:spacing w:before="0" w:after="0"/>
              <w:rPr>
                <w:noProof/>
                <w:sz w:val="20"/>
                <w:szCs w:val="20"/>
              </w:rPr>
            </w:pPr>
            <w:r w:rsidRPr="1D96130C">
              <w:rPr>
                <w:noProof/>
                <w:sz w:val="20"/>
                <w:szCs w:val="20"/>
              </w:rPr>
              <w:t xml:space="preserve"> N/A</w:t>
            </w:r>
          </w:p>
        </w:tc>
        <w:tc>
          <w:tcPr>
            <w:tcW w:w="1157" w:type="dxa"/>
            <w:tcBorders>
              <w:top w:val="double" w:sz="4"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1B57CEE6" w14:textId="1ED38C4E" w:rsidR="1D96130C" w:rsidRDefault="1D96130C" w:rsidP="00603157">
            <w:pPr>
              <w:jc w:val="left"/>
              <w:rPr>
                <w:noProof/>
                <w:sz w:val="20"/>
                <w:szCs w:val="20"/>
              </w:rPr>
            </w:pPr>
            <w:r w:rsidRPr="1D96130C">
              <w:rPr>
                <w:noProof/>
                <w:sz w:val="20"/>
                <w:szCs w:val="20"/>
              </w:rPr>
              <w:t>Adjustment costs would be high for applicants and beneficiaries and would require a significant adaptation.</w:t>
            </w:r>
          </w:p>
        </w:tc>
        <w:tc>
          <w:tcPr>
            <w:tcW w:w="1000" w:type="dxa"/>
            <w:tcBorders>
              <w:top w:val="double" w:sz="4"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7550D61E" w14:textId="5DAF1939" w:rsidR="1D96130C" w:rsidRDefault="1D96130C" w:rsidP="00603157">
            <w:pPr>
              <w:spacing w:before="0" w:after="0"/>
              <w:rPr>
                <w:noProof/>
                <w:sz w:val="20"/>
                <w:szCs w:val="20"/>
              </w:rPr>
            </w:pPr>
            <w:r w:rsidRPr="1D96130C">
              <w:rPr>
                <w:noProof/>
                <w:sz w:val="20"/>
                <w:szCs w:val="20"/>
              </w:rPr>
              <w:t xml:space="preserve"> N/A</w:t>
            </w:r>
          </w:p>
        </w:tc>
        <w:tc>
          <w:tcPr>
            <w:tcW w:w="1296" w:type="dxa"/>
            <w:tcBorders>
              <w:top w:val="double" w:sz="4"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126D4F11" w14:textId="45FAE3B6" w:rsidR="1D96130C" w:rsidRDefault="1D96130C" w:rsidP="00603157">
            <w:pPr>
              <w:spacing w:before="0" w:after="0"/>
              <w:jc w:val="left"/>
              <w:rPr>
                <w:noProof/>
                <w:sz w:val="20"/>
                <w:szCs w:val="20"/>
              </w:rPr>
            </w:pPr>
            <w:r w:rsidRPr="1D96130C">
              <w:rPr>
                <w:noProof/>
                <w:sz w:val="20"/>
                <w:szCs w:val="20"/>
              </w:rPr>
              <w:t>Direct adjustment costs would be high as administrations would have to adapt to new processes which would require high administrative capacity. Majority of the total adjustment costs would be incurred by the public sector.</w:t>
            </w:r>
          </w:p>
        </w:tc>
        <w:tc>
          <w:tcPr>
            <w:tcW w:w="1090" w:type="dxa"/>
            <w:tcBorders>
              <w:top w:val="double" w:sz="4" w:space="0" w:color="auto"/>
              <w:left w:val="single" w:sz="8" w:space="0" w:color="auto"/>
              <w:bottom w:val="single" w:sz="8" w:space="0" w:color="auto"/>
              <w:right w:val="double" w:sz="4" w:space="0" w:color="auto"/>
            </w:tcBorders>
            <w:tcMar>
              <w:top w:w="57" w:type="dxa"/>
              <w:left w:w="57" w:type="dxa"/>
              <w:bottom w:w="57" w:type="dxa"/>
              <w:right w:w="57" w:type="dxa"/>
            </w:tcMar>
            <w:vAlign w:val="center"/>
          </w:tcPr>
          <w:p w14:paraId="7F04F688" w14:textId="0F309FD3" w:rsidR="1D96130C" w:rsidRDefault="1D96130C" w:rsidP="00603157">
            <w:pPr>
              <w:spacing w:before="0" w:after="0"/>
              <w:rPr>
                <w:noProof/>
                <w:sz w:val="20"/>
                <w:szCs w:val="20"/>
              </w:rPr>
            </w:pPr>
            <w:r w:rsidRPr="1D96130C">
              <w:rPr>
                <w:noProof/>
                <w:sz w:val="20"/>
                <w:szCs w:val="20"/>
              </w:rPr>
              <w:t xml:space="preserve"> N/A</w:t>
            </w:r>
          </w:p>
        </w:tc>
      </w:tr>
      <w:tr w:rsidR="1D96130C" w14:paraId="53B43C6A" w14:textId="77777777" w:rsidTr="1D96130C">
        <w:trPr>
          <w:trHeight w:val="300"/>
        </w:trPr>
        <w:tc>
          <w:tcPr>
            <w:tcW w:w="665" w:type="dxa"/>
            <w:vMerge/>
            <w:tcBorders>
              <w:left w:val="double" w:sz="0" w:space="0" w:color="auto"/>
              <w:bottom w:val="double" w:sz="0" w:space="0" w:color="auto"/>
              <w:right w:val="single" w:sz="0" w:space="0" w:color="auto"/>
            </w:tcBorders>
            <w:vAlign w:val="center"/>
          </w:tcPr>
          <w:p w14:paraId="29594150" w14:textId="77777777" w:rsidR="00875FF3" w:rsidRDefault="00875FF3" w:rsidP="00603157">
            <w:pPr>
              <w:rPr>
                <w:noProof/>
              </w:rPr>
            </w:pPr>
          </w:p>
        </w:tc>
        <w:tc>
          <w:tcPr>
            <w:tcW w:w="1265" w:type="dxa"/>
            <w:tcBorders>
              <w:top w:val="single" w:sz="8" w:space="0" w:color="auto"/>
              <w:left w:val="nil"/>
              <w:bottom w:val="single" w:sz="8" w:space="0" w:color="auto"/>
              <w:right w:val="double" w:sz="4" w:space="0" w:color="auto"/>
            </w:tcBorders>
            <w:tcMar>
              <w:top w:w="57" w:type="dxa"/>
              <w:left w:w="57" w:type="dxa"/>
              <w:bottom w:w="57" w:type="dxa"/>
              <w:right w:w="57" w:type="dxa"/>
            </w:tcMar>
            <w:vAlign w:val="center"/>
          </w:tcPr>
          <w:p w14:paraId="53D25C1E" w14:textId="3042C10E" w:rsidR="1D96130C" w:rsidRDefault="1D96130C" w:rsidP="00603157">
            <w:pPr>
              <w:spacing w:before="0" w:after="0"/>
              <w:jc w:val="left"/>
              <w:rPr>
                <w:noProof/>
                <w:sz w:val="20"/>
                <w:szCs w:val="20"/>
              </w:rPr>
            </w:pPr>
            <w:r w:rsidRPr="1D96130C">
              <w:rPr>
                <w:noProof/>
                <w:sz w:val="20"/>
                <w:szCs w:val="20"/>
              </w:rPr>
              <w:t>Direct administrative costs</w:t>
            </w:r>
          </w:p>
        </w:tc>
        <w:tc>
          <w:tcPr>
            <w:tcW w:w="1106" w:type="dxa"/>
            <w:tcBorders>
              <w:top w:val="single" w:sz="8" w:space="0" w:color="auto"/>
              <w:left w:val="double" w:sz="4" w:space="0" w:color="auto"/>
              <w:bottom w:val="single" w:sz="8" w:space="0" w:color="auto"/>
              <w:right w:val="single" w:sz="8" w:space="0" w:color="auto"/>
            </w:tcBorders>
            <w:tcMar>
              <w:top w:w="57" w:type="dxa"/>
              <w:left w:w="57" w:type="dxa"/>
              <w:bottom w:w="57" w:type="dxa"/>
              <w:right w:w="57" w:type="dxa"/>
            </w:tcMar>
            <w:vAlign w:val="center"/>
          </w:tcPr>
          <w:p w14:paraId="53B5DC13" w14:textId="5732F58A" w:rsidR="1D96130C" w:rsidRDefault="1D96130C" w:rsidP="00603157">
            <w:pPr>
              <w:spacing w:before="0" w:after="0"/>
              <w:rPr>
                <w:noProof/>
                <w:sz w:val="20"/>
                <w:szCs w:val="20"/>
              </w:rPr>
            </w:pPr>
            <w:r w:rsidRPr="1D96130C">
              <w:rPr>
                <w:noProof/>
                <w:sz w:val="20"/>
                <w:szCs w:val="20"/>
              </w:rPr>
              <w:t>Negative (lower) due to simplified funding processes.</w:t>
            </w:r>
          </w:p>
        </w:tc>
        <w:tc>
          <w:tcPr>
            <w:tcW w:w="1006"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68C2CBCE" w14:textId="1A38D3BE" w:rsidR="1D96130C" w:rsidRDefault="1D96130C" w:rsidP="00603157">
            <w:pPr>
              <w:spacing w:before="0" w:after="0"/>
              <w:jc w:val="left"/>
              <w:rPr>
                <w:noProof/>
                <w:sz w:val="20"/>
                <w:szCs w:val="20"/>
              </w:rPr>
            </w:pPr>
            <w:r w:rsidRPr="1D96130C">
              <w:rPr>
                <w:noProof/>
                <w:sz w:val="20"/>
                <w:szCs w:val="20"/>
              </w:rPr>
              <w:t>Negative (lower than at the present). Time-to-search would decrease for grants and remain the same for financial instruments.</w:t>
            </w:r>
          </w:p>
        </w:tc>
        <w:tc>
          <w:tcPr>
            <w:tcW w:w="115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7FBADE0D" w14:textId="0F5CD27B" w:rsidR="1D96130C" w:rsidRDefault="1D96130C" w:rsidP="00603157">
            <w:pPr>
              <w:spacing w:before="0" w:after="0"/>
              <w:rPr>
                <w:noProof/>
                <w:sz w:val="20"/>
                <w:szCs w:val="20"/>
              </w:rPr>
            </w:pPr>
            <w:r w:rsidRPr="1D96130C">
              <w:rPr>
                <w:noProof/>
                <w:sz w:val="20"/>
                <w:szCs w:val="20"/>
              </w:rPr>
              <w:t xml:space="preserve"> Negative (lower) due to simplified funding processes.</w:t>
            </w:r>
          </w:p>
        </w:tc>
        <w:tc>
          <w:tcPr>
            <w:tcW w:w="1000"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6D66FDF7" w14:textId="7C3C0C20" w:rsidR="1D96130C" w:rsidRDefault="1D96130C" w:rsidP="00603157">
            <w:pPr>
              <w:spacing w:before="0" w:after="0"/>
              <w:jc w:val="left"/>
              <w:rPr>
                <w:noProof/>
                <w:sz w:val="20"/>
                <w:szCs w:val="20"/>
              </w:rPr>
            </w:pPr>
            <w:r w:rsidRPr="1D96130C">
              <w:rPr>
                <w:noProof/>
                <w:sz w:val="20"/>
                <w:szCs w:val="20"/>
              </w:rPr>
              <w:t>Costs to prepare the proposal would decrease by 10%. Time-to-search would decrease by up to 20% for grants, it would remain the same for financial instruments.</w:t>
            </w:r>
          </w:p>
        </w:tc>
        <w:tc>
          <w:tcPr>
            <w:tcW w:w="1296"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5F4C0C87" w14:textId="78B72BA1" w:rsidR="1D96130C" w:rsidRDefault="1D96130C" w:rsidP="00603157">
            <w:pPr>
              <w:spacing w:before="0" w:after="0"/>
              <w:jc w:val="left"/>
              <w:rPr>
                <w:noProof/>
                <w:sz w:val="20"/>
                <w:szCs w:val="20"/>
              </w:rPr>
            </w:pPr>
            <w:r w:rsidRPr="1D96130C">
              <w:rPr>
                <w:noProof/>
                <w:sz w:val="20"/>
                <w:szCs w:val="20"/>
              </w:rPr>
              <w:t>Initial costs are projected to be high as they are primarily linked to the setup of a single-entry point and advisory service.</w:t>
            </w:r>
          </w:p>
        </w:tc>
        <w:tc>
          <w:tcPr>
            <w:tcW w:w="1090" w:type="dxa"/>
            <w:tcBorders>
              <w:top w:val="single" w:sz="8" w:space="0" w:color="auto"/>
              <w:left w:val="single" w:sz="8" w:space="0" w:color="auto"/>
              <w:bottom w:val="single" w:sz="8" w:space="0" w:color="auto"/>
              <w:right w:val="double" w:sz="4" w:space="0" w:color="auto"/>
            </w:tcBorders>
            <w:tcMar>
              <w:top w:w="57" w:type="dxa"/>
              <w:left w:w="57" w:type="dxa"/>
              <w:bottom w:w="57" w:type="dxa"/>
              <w:right w:w="57" w:type="dxa"/>
            </w:tcMar>
            <w:vAlign w:val="center"/>
          </w:tcPr>
          <w:p w14:paraId="675359A2" w14:textId="5ED76353" w:rsidR="1D96130C" w:rsidRDefault="1D96130C" w:rsidP="00603157">
            <w:pPr>
              <w:spacing w:before="0" w:after="0"/>
              <w:jc w:val="left"/>
              <w:rPr>
                <w:noProof/>
                <w:sz w:val="20"/>
                <w:szCs w:val="20"/>
              </w:rPr>
            </w:pPr>
            <w:r w:rsidRPr="1D96130C">
              <w:rPr>
                <w:noProof/>
                <w:sz w:val="20"/>
                <w:szCs w:val="20"/>
              </w:rPr>
              <w:t>Comparable to current costs for financial instruments, slightly higher for grants because of increased management costs. However, time-to-inform and -grant would decrease.</w:t>
            </w:r>
          </w:p>
        </w:tc>
      </w:tr>
      <w:tr w:rsidR="1D96130C" w14:paraId="0484A0F5" w14:textId="77777777" w:rsidTr="1D96130C">
        <w:trPr>
          <w:trHeight w:val="300"/>
        </w:trPr>
        <w:tc>
          <w:tcPr>
            <w:tcW w:w="665" w:type="dxa"/>
            <w:vMerge/>
            <w:tcBorders>
              <w:left w:val="double" w:sz="0" w:space="0" w:color="auto"/>
              <w:right w:val="single" w:sz="0" w:space="0" w:color="auto"/>
            </w:tcBorders>
            <w:vAlign w:val="center"/>
          </w:tcPr>
          <w:p w14:paraId="62876A44" w14:textId="77777777" w:rsidR="00875FF3" w:rsidRDefault="00875FF3" w:rsidP="00603157">
            <w:pPr>
              <w:rPr>
                <w:noProof/>
              </w:rPr>
            </w:pPr>
          </w:p>
        </w:tc>
        <w:tc>
          <w:tcPr>
            <w:tcW w:w="1265" w:type="dxa"/>
            <w:tcBorders>
              <w:top w:val="single" w:sz="8" w:space="0" w:color="auto"/>
              <w:left w:val="nil"/>
              <w:bottom w:val="single" w:sz="8" w:space="0" w:color="auto"/>
              <w:right w:val="double" w:sz="4" w:space="0" w:color="auto"/>
            </w:tcBorders>
            <w:tcMar>
              <w:top w:w="57" w:type="dxa"/>
              <w:left w:w="57" w:type="dxa"/>
              <w:bottom w:w="57" w:type="dxa"/>
              <w:right w:w="57" w:type="dxa"/>
            </w:tcMar>
            <w:vAlign w:val="center"/>
          </w:tcPr>
          <w:p w14:paraId="37D37FF4" w14:textId="651156E3" w:rsidR="1D96130C" w:rsidRDefault="1D96130C" w:rsidP="00603157">
            <w:pPr>
              <w:spacing w:before="0" w:after="0"/>
              <w:jc w:val="left"/>
              <w:rPr>
                <w:noProof/>
                <w:sz w:val="20"/>
                <w:szCs w:val="20"/>
              </w:rPr>
            </w:pPr>
            <w:r w:rsidRPr="1D96130C">
              <w:rPr>
                <w:noProof/>
                <w:sz w:val="20"/>
                <w:szCs w:val="20"/>
              </w:rPr>
              <w:t>Direct regulatory fees and charges</w:t>
            </w:r>
          </w:p>
        </w:tc>
        <w:tc>
          <w:tcPr>
            <w:tcW w:w="1106" w:type="dxa"/>
            <w:tcBorders>
              <w:top w:val="single" w:sz="8" w:space="0" w:color="auto"/>
              <w:left w:val="double" w:sz="4" w:space="0" w:color="auto"/>
              <w:bottom w:val="single" w:sz="8" w:space="0" w:color="auto"/>
              <w:right w:val="single" w:sz="8" w:space="0" w:color="auto"/>
            </w:tcBorders>
            <w:tcMar>
              <w:top w:w="57" w:type="dxa"/>
              <w:left w:w="57" w:type="dxa"/>
              <w:bottom w:w="57" w:type="dxa"/>
              <w:right w:w="57" w:type="dxa"/>
            </w:tcMar>
          </w:tcPr>
          <w:p w14:paraId="3C64F7F3" w14:textId="17EA87CB" w:rsidR="1D96130C" w:rsidRDefault="1D96130C" w:rsidP="00603157">
            <w:pPr>
              <w:spacing w:before="0" w:after="0"/>
              <w:rPr>
                <w:noProof/>
                <w:sz w:val="20"/>
                <w:szCs w:val="20"/>
              </w:rPr>
            </w:pPr>
            <w:r w:rsidRPr="1D96130C">
              <w:rPr>
                <w:noProof/>
                <w:sz w:val="20"/>
                <w:szCs w:val="20"/>
              </w:rPr>
              <w:t>Cannot be estimated at this time.</w:t>
            </w:r>
          </w:p>
        </w:tc>
        <w:tc>
          <w:tcPr>
            <w:tcW w:w="1006"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36A8C8DB" w14:textId="4D9D65BC" w:rsidR="1D96130C" w:rsidRDefault="1D96130C" w:rsidP="00603157">
            <w:pPr>
              <w:spacing w:before="0" w:after="0"/>
              <w:rPr>
                <w:noProof/>
                <w:sz w:val="20"/>
                <w:szCs w:val="20"/>
              </w:rPr>
            </w:pPr>
            <w:r w:rsidRPr="1D96130C">
              <w:rPr>
                <w:noProof/>
                <w:sz w:val="20"/>
                <w:szCs w:val="20"/>
              </w:rPr>
              <w:t>Cannot be estimated at this time.</w:t>
            </w:r>
          </w:p>
        </w:tc>
        <w:tc>
          <w:tcPr>
            <w:tcW w:w="115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4C9FF544" w14:textId="52705946" w:rsidR="1D96130C" w:rsidRDefault="1D96130C" w:rsidP="00603157">
            <w:pPr>
              <w:spacing w:before="0" w:after="0"/>
              <w:rPr>
                <w:noProof/>
                <w:sz w:val="20"/>
                <w:szCs w:val="20"/>
              </w:rPr>
            </w:pPr>
            <w:r w:rsidRPr="1D96130C">
              <w:rPr>
                <w:noProof/>
                <w:sz w:val="20"/>
                <w:szCs w:val="20"/>
              </w:rPr>
              <w:t>Cannot be estimated at this time.</w:t>
            </w:r>
          </w:p>
        </w:tc>
        <w:tc>
          <w:tcPr>
            <w:tcW w:w="1000"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69A78433" w14:textId="7ACD4A65" w:rsidR="1D96130C" w:rsidRDefault="1D96130C" w:rsidP="00603157">
            <w:pPr>
              <w:spacing w:before="0" w:after="0"/>
              <w:rPr>
                <w:noProof/>
                <w:sz w:val="20"/>
                <w:szCs w:val="20"/>
              </w:rPr>
            </w:pPr>
            <w:r w:rsidRPr="1D96130C">
              <w:rPr>
                <w:noProof/>
                <w:sz w:val="20"/>
                <w:szCs w:val="20"/>
              </w:rPr>
              <w:t>Cannot be estimated at this time.</w:t>
            </w:r>
          </w:p>
        </w:tc>
        <w:tc>
          <w:tcPr>
            <w:tcW w:w="1296"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7CA911EB" w14:textId="44CF4913" w:rsidR="1D96130C" w:rsidRDefault="1D96130C" w:rsidP="00603157">
            <w:pPr>
              <w:spacing w:before="0" w:after="0"/>
              <w:rPr>
                <w:noProof/>
                <w:sz w:val="20"/>
                <w:szCs w:val="20"/>
              </w:rPr>
            </w:pPr>
            <w:r w:rsidRPr="1D96130C">
              <w:rPr>
                <w:noProof/>
                <w:sz w:val="20"/>
                <w:szCs w:val="20"/>
              </w:rPr>
              <w:t>Cannot be estimated at this time.</w:t>
            </w:r>
          </w:p>
        </w:tc>
        <w:tc>
          <w:tcPr>
            <w:tcW w:w="1090" w:type="dxa"/>
            <w:tcBorders>
              <w:top w:val="single" w:sz="8" w:space="0" w:color="auto"/>
              <w:left w:val="single" w:sz="8" w:space="0" w:color="auto"/>
              <w:bottom w:val="single" w:sz="8" w:space="0" w:color="auto"/>
              <w:right w:val="double" w:sz="4" w:space="0" w:color="auto"/>
            </w:tcBorders>
            <w:tcMar>
              <w:top w:w="57" w:type="dxa"/>
              <w:left w:w="57" w:type="dxa"/>
              <w:bottom w:w="57" w:type="dxa"/>
              <w:right w:w="57" w:type="dxa"/>
            </w:tcMar>
          </w:tcPr>
          <w:p w14:paraId="0CEFB203" w14:textId="201E633D" w:rsidR="1D96130C" w:rsidRDefault="1D96130C" w:rsidP="00603157">
            <w:pPr>
              <w:spacing w:before="0" w:after="0"/>
              <w:rPr>
                <w:noProof/>
                <w:sz w:val="20"/>
                <w:szCs w:val="20"/>
              </w:rPr>
            </w:pPr>
            <w:r w:rsidRPr="1D96130C">
              <w:rPr>
                <w:noProof/>
                <w:sz w:val="20"/>
                <w:szCs w:val="20"/>
              </w:rPr>
              <w:t>Cannot be estimated at this time.</w:t>
            </w:r>
          </w:p>
        </w:tc>
      </w:tr>
      <w:tr w:rsidR="1D96130C" w14:paraId="5C837017" w14:textId="77777777" w:rsidTr="1D96130C">
        <w:trPr>
          <w:trHeight w:val="300"/>
        </w:trPr>
        <w:tc>
          <w:tcPr>
            <w:tcW w:w="665" w:type="dxa"/>
            <w:vMerge/>
            <w:tcBorders>
              <w:left w:val="double" w:sz="0" w:space="0" w:color="auto"/>
              <w:right w:val="single" w:sz="0" w:space="0" w:color="auto"/>
            </w:tcBorders>
            <w:vAlign w:val="center"/>
          </w:tcPr>
          <w:p w14:paraId="1573F0D4" w14:textId="77777777" w:rsidR="00875FF3" w:rsidRDefault="00875FF3" w:rsidP="00603157">
            <w:pPr>
              <w:rPr>
                <w:noProof/>
              </w:rPr>
            </w:pPr>
          </w:p>
        </w:tc>
        <w:tc>
          <w:tcPr>
            <w:tcW w:w="1265" w:type="dxa"/>
            <w:tcBorders>
              <w:top w:val="single" w:sz="8" w:space="0" w:color="auto"/>
              <w:left w:val="nil"/>
              <w:bottom w:val="single" w:sz="8" w:space="0" w:color="auto"/>
              <w:right w:val="double" w:sz="4" w:space="0" w:color="auto"/>
            </w:tcBorders>
            <w:tcMar>
              <w:top w:w="57" w:type="dxa"/>
              <w:left w:w="57" w:type="dxa"/>
              <w:bottom w:w="57" w:type="dxa"/>
              <w:right w:w="57" w:type="dxa"/>
            </w:tcMar>
            <w:vAlign w:val="center"/>
          </w:tcPr>
          <w:p w14:paraId="0F430431" w14:textId="43FF8B72" w:rsidR="1D96130C" w:rsidRDefault="1D96130C" w:rsidP="00603157">
            <w:pPr>
              <w:spacing w:before="0" w:after="0"/>
              <w:jc w:val="left"/>
              <w:rPr>
                <w:noProof/>
                <w:sz w:val="20"/>
                <w:szCs w:val="20"/>
              </w:rPr>
            </w:pPr>
            <w:r w:rsidRPr="1D96130C">
              <w:rPr>
                <w:noProof/>
                <w:sz w:val="20"/>
                <w:szCs w:val="20"/>
              </w:rPr>
              <w:t>Direct enforcement costs</w:t>
            </w:r>
          </w:p>
        </w:tc>
        <w:tc>
          <w:tcPr>
            <w:tcW w:w="1106" w:type="dxa"/>
            <w:tcBorders>
              <w:top w:val="single" w:sz="8" w:space="0" w:color="auto"/>
              <w:left w:val="double" w:sz="4" w:space="0" w:color="auto"/>
              <w:bottom w:val="single" w:sz="8" w:space="0" w:color="auto"/>
              <w:right w:val="single" w:sz="8" w:space="0" w:color="auto"/>
            </w:tcBorders>
            <w:tcMar>
              <w:top w:w="57" w:type="dxa"/>
              <w:left w:w="57" w:type="dxa"/>
              <w:bottom w:w="57" w:type="dxa"/>
              <w:right w:w="57" w:type="dxa"/>
            </w:tcMar>
            <w:vAlign w:val="center"/>
          </w:tcPr>
          <w:p w14:paraId="204B8F95" w14:textId="295E43B8" w:rsidR="1D96130C" w:rsidRDefault="1D96130C" w:rsidP="00603157">
            <w:pPr>
              <w:spacing w:before="0" w:after="0"/>
              <w:rPr>
                <w:noProof/>
                <w:sz w:val="20"/>
                <w:szCs w:val="20"/>
              </w:rPr>
            </w:pPr>
            <w:r w:rsidRPr="1D96130C">
              <w:rPr>
                <w:noProof/>
                <w:sz w:val="20"/>
                <w:szCs w:val="20"/>
              </w:rPr>
              <w:t>Cannot be estimated at this time.</w:t>
            </w:r>
          </w:p>
        </w:tc>
        <w:tc>
          <w:tcPr>
            <w:tcW w:w="1006"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47B8BB2C" w14:textId="32805209" w:rsidR="1D96130C" w:rsidRDefault="1D96130C" w:rsidP="00603157">
            <w:pPr>
              <w:spacing w:before="0" w:after="0"/>
              <w:rPr>
                <w:noProof/>
                <w:sz w:val="20"/>
                <w:szCs w:val="20"/>
              </w:rPr>
            </w:pPr>
            <w:r w:rsidRPr="1D96130C">
              <w:rPr>
                <w:noProof/>
                <w:sz w:val="20"/>
                <w:szCs w:val="20"/>
              </w:rPr>
              <w:t>Cannot be estimated at this time.</w:t>
            </w:r>
          </w:p>
        </w:tc>
        <w:tc>
          <w:tcPr>
            <w:tcW w:w="1157"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2FB5E52E" w14:textId="4F4C17C5" w:rsidR="1D96130C" w:rsidRDefault="1D96130C" w:rsidP="00603157">
            <w:pPr>
              <w:spacing w:before="0" w:after="0"/>
              <w:rPr>
                <w:noProof/>
                <w:sz w:val="20"/>
                <w:szCs w:val="20"/>
              </w:rPr>
            </w:pPr>
            <w:r w:rsidRPr="1D96130C">
              <w:rPr>
                <w:noProof/>
                <w:sz w:val="20"/>
                <w:szCs w:val="20"/>
              </w:rPr>
              <w:t>Cannot be estimated at this time.</w:t>
            </w:r>
          </w:p>
        </w:tc>
        <w:tc>
          <w:tcPr>
            <w:tcW w:w="1000"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010FE3BF" w14:textId="6F16E1FD" w:rsidR="1D96130C" w:rsidRDefault="1D96130C" w:rsidP="00603157">
            <w:pPr>
              <w:spacing w:before="0" w:after="0"/>
              <w:rPr>
                <w:noProof/>
                <w:sz w:val="20"/>
                <w:szCs w:val="20"/>
              </w:rPr>
            </w:pPr>
            <w:r w:rsidRPr="1D96130C">
              <w:rPr>
                <w:noProof/>
                <w:sz w:val="20"/>
                <w:szCs w:val="20"/>
              </w:rPr>
              <w:t>Cannot be estimated at this time.</w:t>
            </w:r>
          </w:p>
        </w:tc>
        <w:tc>
          <w:tcPr>
            <w:tcW w:w="1296"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tcPr>
          <w:p w14:paraId="0E0537F1" w14:textId="6C3EB8A0" w:rsidR="1D96130C" w:rsidRDefault="1D96130C" w:rsidP="00603157">
            <w:pPr>
              <w:spacing w:before="0" w:after="0"/>
              <w:rPr>
                <w:noProof/>
                <w:sz w:val="20"/>
                <w:szCs w:val="20"/>
              </w:rPr>
            </w:pPr>
            <w:r w:rsidRPr="1D96130C">
              <w:rPr>
                <w:noProof/>
                <w:sz w:val="20"/>
                <w:szCs w:val="20"/>
              </w:rPr>
              <w:t>Cannot be estimated at this time.</w:t>
            </w:r>
          </w:p>
        </w:tc>
        <w:tc>
          <w:tcPr>
            <w:tcW w:w="1090" w:type="dxa"/>
            <w:tcBorders>
              <w:top w:val="single" w:sz="8" w:space="0" w:color="auto"/>
              <w:left w:val="single" w:sz="8" w:space="0" w:color="auto"/>
              <w:bottom w:val="single" w:sz="8" w:space="0" w:color="auto"/>
              <w:right w:val="double" w:sz="4" w:space="0" w:color="auto"/>
            </w:tcBorders>
            <w:tcMar>
              <w:top w:w="57" w:type="dxa"/>
              <w:left w:w="57" w:type="dxa"/>
              <w:bottom w:w="57" w:type="dxa"/>
              <w:right w:w="57" w:type="dxa"/>
            </w:tcMar>
          </w:tcPr>
          <w:p w14:paraId="7517D084" w14:textId="06346DEC" w:rsidR="1D96130C" w:rsidRDefault="1D96130C" w:rsidP="00603157">
            <w:pPr>
              <w:spacing w:before="0" w:after="0"/>
              <w:rPr>
                <w:noProof/>
                <w:sz w:val="20"/>
                <w:szCs w:val="20"/>
              </w:rPr>
            </w:pPr>
            <w:r w:rsidRPr="1D96130C">
              <w:rPr>
                <w:noProof/>
                <w:sz w:val="20"/>
                <w:szCs w:val="20"/>
              </w:rPr>
              <w:t>Cannot be estimated at this time.</w:t>
            </w:r>
          </w:p>
        </w:tc>
      </w:tr>
      <w:tr w:rsidR="1D96130C" w14:paraId="7DD44C4B" w14:textId="77777777" w:rsidTr="1D96130C">
        <w:trPr>
          <w:trHeight w:val="135"/>
        </w:trPr>
        <w:tc>
          <w:tcPr>
            <w:tcW w:w="665" w:type="dxa"/>
            <w:vMerge/>
            <w:tcBorders>
              <w:left w:val="double" w:sz="0" w:space="0" w:color="auto"/>
              <w:bottom w:val="double" w:sz="0" w:space="0" w:color="auto"/>
              <w:right w:val="single" w:sz="0" w:space="0" w:color="auto"/>
            </w:tcBorders>
            <w:vAlign w:val="center"/>
          </w:tcPr>
          <w:p w14:paraId="7D6D1EBA" w14:textId="77777777" w:rsidR="00875FF3" w:rsidRDefault="00875FF3" w:rsidP="00603157">
            <w:pPr>
              <w:rPr>
                <w:noProof/>
              </w:rPr>
            </w:pPr>
          </w:p>
        </w:tc>
        <w:tc>
          <w:tcPr>
            <w:tcW w:w="1265" w:type="dxa"/>
            <w:tcBorders>
              <w:top w:val="single" w:sz="8" w:space="0" w:color="auto"/>
              <w:left w:val="nil"/>
              <w:bottom w:val="double" w:sz="4" w:space="0" w:color="auto"/>
              <w:right w:val="double" w:sz="4" w:space="0" w:color="auto"/>
            </w:tcBorders>
            <w:tcMar>
              <w:top w:w="57" w:type="dxa"/>
              <w:left w:w="57" w:type="dxa"/>
              <w:bottom w:w="57" w:type="dxa"/>
              <w:right w:w="57" w:type="dxa"/>
            </w:tcMar>
          </w:tcPr>
          <w:p w14:paraId="5CF7A6B1" w14:textId="6B12D81B" w:rsidR="1D96130C" w:rsidRDefault="1D96130C" w:rsidP="00603157">
            <w:pPr>
              <w:spacing w:before="0" w:after="0"/>
              <w:jc w:val="left"/>
              <w:rPr>
                <w:noProof/>
                <w:sz w:val="20"/>
                <w:szCs w:val="20"/>
              </w:rPr>
            </w:pPr>
            <w:r w:rsidRPr="1D96130C">
              <w:rPr>
                <w:noProof/>
                <w:sz w:val="20"/>
                <w:szCs w:val="20"/>
              </w:rPr>
              <w:t>Indirect costs</w:t>
            </w:r>
          </w:p>
        </w:tc>
        <w:tc>
          <w:tcPr>
            <w:tcW w:w="1106" w:type="dxa"/>
            <w:tcBorders>
              <w:top w:val="single" w:sz="8" w:space="0" w:color="auto"/>
              <w:left w:val="double" w:sz="4" w:space="0" w:color="auto"/>
              <w:bottom w:val="double" w:sz="4" w:space="0" w:color="auto"/>
              <w:right w:val="single" w:sz="8" w:space="0" w:color="auto"/>
            </w:tcBorders>
            <w:tcMar>
              <w:top w:w="57" w:type="dxa"/>
              <w:left w:w="57" w:type="dxa"/>
              <w:bottom w:w="57" w:type="dxa"/>
              <w:right w:w="57" w:type="dxa"/>
            </w:tcMar>
          </w:tcPr>
          <w:p w14:paraId="642AC42E" w14:textId="79555D6E" w:rsidR="1D96130C" w:rsidRDefault="1D96130C" w:rsidP="00603157">
            <w:pPr>
              <w:spacing w:before="0" w:after="0"/>
              <w:rPr>
                <w:noProof/>
                <w:sz w:val="20"/>
                <w:szCs w:val="20"/>
              </w:rPr>
            </w:pPr>
            <w:r w:rsidRPr="1D96130C">
              <w:rPr>
                <w:noProof/>
                <w:sz w:val="20"/>
                <w:szCs w:val="20"/>
              </w:rPr>
              <w:t xml:space="preserve"> N/A</w:t>
            </w:r>
          </w:p>
        </w:tc>
        <w:tc>
          <w:tcPr>
            <w:tcW w:w="1006" w:type="dxa"/>
            <w:tcBorders>
              <w:top w:val="single" w:sz="8" w:space="0" w:color="auto"/>
              <w:left w:val="single" w:sz="8" w:space="0" w:color="auto"/>
              <w:bottom w:val="double" w:sz="4" w:space="0" w:color="auto"/>
              <w:right w:val="single" w:sz="8" w:space="0" w:color="auto"/>
            </w:tcBorders>
            <w:tcMar>
              <w:top w:w="57" w:type="dxa"/>
              <w:left w:w="57" w:type="dxa"/>
              <w:bottom w:w="57" w:type="dxa"/>
              <w:right w:w="57" w:type="dxa"/>
            </w:tcMar>
          </w:tcPr>
          <w:p w14:paraId="596A9C85" w14:textId="10603FEA" w:rsidR="1D96130C" w:rsidRDefault="1D96130C" w:rsidP="00603157">
            <w:pPr>
              <w:spacing w:before="0" w:after="0"/>
              <w:rPr>
                <w:noProof/>
                <w:sz w:val="20"/>
                <w:szCs w:val="20"/>
              </w:rPr>
            </w:pPr>
            <w:r w:rsidRPr="1D96130C">
              <w:rPr>
                <w:noProof/>
                <w:sz w:val="20"/>
                <w:szCs w:val="20"/>
              </w:rPr>
              <w:t xml:space="preserve"> N/A</w:t>
            </w:r>
          </w:p>
        </w:tc>
        <w:tc>
          <w:tcPr>
            <w:tcW w:w="1157" w:type="dxa"/>
            <w:tcBorders>
              <w:top w:val="single" w:sz="8" w:space="0" w:color="auto"/>
              <w:left w:val="single" w:sz="8" w:space="0" w:color="auto"/>
              <w:bottom w:val="double" w:sz="4" w:space="0" w:color="auto"/>
              <w:right w:val="single" w:sz="8" w:space="0" w:color="auto"/>
            </w:tcBorders>
            <w:tcMar>
              <w:top w:w="57" w:type="dxa"/>
              <w:left w:w="57" w:type="dxa"/>
              <w:bottom w:w="57" w:type="dxa"/>
              <w:right w:w="57" w:type="dxa"/>
            </w:tcMar>
          </w:tcPr>
          <w:p w14:paraId="2C724D80" w14:textId="6C006AAB" w:rsidR="1D96130C" w:rsidRDefault="1D96130C" w:rsidP="00603157">
            <w:pPr>
              <w:spacing w:before="0" w:after="0"/>
              <w:rPr>
                <w:noProof/>
                <w:sz w:val="20"/>
                <w:szCs w:val="20"/>
              </w:rPr>
            </w:pPr>
            <w:r w:rsidRPr="1D96130C">
              <w:rPr>
                <w:noProof/>
                <w:sz w:val="20"/>
                <w:szCs w:val="20"/>
              </w:rPr>
              <w:t xml:space="preserve"> N/A</w:t>
            </w:r>
          </w:p>
        </w:tc>
        <w:tc>
          <w:tcPr>
            <w:tcW w:w="1000" w:type="dxa"/>
            <w:tcBorders>
              <w:top w:val="single" w:sz="8" w:space="0" w:color="auto"/>
              <w:left w:val="single" w:sz="8" w:space="0" w:color="auto"/>
              <w:bottom w:val="double" w:sz="4" w:space="0" w:color="auto"/>
              <w:right w:val="single" w:sz="8" w:space="0" w:color="auto"/>
            </w:tcBorders>
            <w:tcMar>
              <w:top w:w="57" w:type="dxa"/>
              <w:left w:w="57" w:type="dxa"/>
              <w:bottom w:w="57" w:type="dxa"/>
              <w:right w:w="57" w:type="dxa"/>
            </w:tcMar>
          </w:tcPr>
          <w:p w14:paraId="52C26CCF" w14:textId="5599D617" w:rsidR="1D96130C" w:rsidRDefault="1D96130C" w:rsidP="00603157">
            <w:pPr>
              <w:spacing w:before="0" w:after="0"/>
              <w:rPr>
                <w:noProof/>
                <w:sz w:val="20"/>
                <w:szCs w:val="20"/>
              </w:rPr>
            </w:pPr>
            <w:r w:rsidRPr="1D96130C">
              <w:rPr>
                <w:noProof/>
                <w:sz w:val="20"/>
                <w:szCs w:val="20"/>
              </w:rPr>
              <w:t xml:space="preserve"> N/A</w:t>
            </w:r>
          </w:p>
        </w:tc>
        <w:tc>
          <w:tcPr>
            <w:tcW w:w="1296" w:type="dxa"/>
            <w:tcBorders>
              <w:top w:val="single" w:sz="8" w:space="0" w:color="auto"/>
              <w:left w:val="single" w:sz="8" w:space="0" w:color="auto"/>
              <w:bottom w:val="double" w:sz="4" w:space="0" w:color="auto"/>
              <w:right w:val="single" w:sz="8" w:space="0" w:color="auto"/>
            </w:tcBorders>
            <w:tcMar>
              <w:top w:w="57" w:type="dxa"/>
              <w:left w:w="57" w:type="dxa"/>
              <w:bottom w:w="57" w:type="dxa"/>
              <w:right w:w="57" w:type="dxa"/>
            </w:tcMar>
          </w:tcPr>
          <w:p w14:paraId="06A54034" w14:textId="7A924007" w:rsidR="1D96130C" w:rsidRDefault="1D96130C" w:rsidP="00603157">
            <w:pPr>
              <w:spacing w:before="0" w:after="0"/>
              <w:rPr>
                <w:noProof/>
                <w:sz w:val="20"/>
                <w:szCs w:val="20"/>
              </w:rPr>
            </w:pPr>
            <w:r w:rsidRPr="1D96130C">
              <w:rPr>
                <w:noProof/>
                <w:sz w:val="20"/>
                <w:szCs w:val="20"/>
              </w:rPr>
              <w:t xml:space="preserve"> N/A</w:t>
            </w:r>
          </w:p>
        </w:tc>
        <w:tc>
          <w:tcPr>
            <w:tcW w:w="1090" w:type="dxa"/>
            <w:tcBorders>
              <w:top w:val="single" w:sz="8" w:space="0" w:color="auto"/>
              <w:left w:val="single" w:sz="8" w:space="0" w:color="auto"/>
              <w:bottom w:val="double" w:sz="4" w:space="0" w:color="auto"/>
              <w:right w:val="double" w:sz="4" w:space="0" w:color="auto"/>
            </w:tcBorders>
            <w:tcMar>
              <w:top w:w="57" w:type="dxa"/>
              <w:left w:w="57" w:type="dxa"/>
              <w:bottom w:w="57" w:type="dxa"/>
              <w:right w:w="57" w:type="dxa"/>
            </w:tcMar>
          </w:tcPr>
          <w:p w14:paraId="4DE01A06" w14:textId="58250459" w:rsidR="1D96130C" w:rsidRDefault="1D96130C" w:rsidP="00603157">
            <w:pPr>
              <w:spacing w:before="0" w:after="0"/>
              <w:rPr>
                <w:noProof/>
                <w:sz w:val="20"/>
                <w:szCs w:val="20"/>
              </w:rPr>
            </w:pPr>
            <w:r w:rsidRPr="1D96130C">
              <w:rPr>
                <w:noProof/>
                <w:sz w:val="20"/>
                <w:szCs w:val="20"/>
              </w:rPr>
              <w:t>N/A</w:t>
            </w:r>
          </w:p>
        </w:tc>
      </w:tr>
    </w:tbl>
    <w:tbl>
      <w:tblPr>
        <w:tblW w:w="0" w:type="auto"/>
        <w:tblLayout w:type="fixed"/>
        <w:tblLook w:val="04A0" w:firstRow="1" w:lastRow="0" w:firstColumn="1" w:lastColumn="0" w:noHBand="0" w:noVBand="1"/>
      </w:tblPr>
      <w:tblGrid>
        <w:gridCol w:w="2366"/>
        <w:gridCol w:w="2449"/>
        <w:gridCol w:w="2890"/>
        <w:gridCol w:w="1894"/>
      </w:tblGrid>
      <w:tr w:rsidR="1D96130C" w14:paraId="2BBAB896" w14:textId="77777777" w:rsidTr="00603157">
        <w:trPr>
          <w:trHeight w:val="300"/>
          <w:tblHeader/>
        </w:trPr>
        <w:tc>
          <w:tcPr>
            <w:tcW w:w="9599" w:type="dxa"/>
            <w:gridSpan w:val="4"/>
            <w:tcBorders>
              <w:top w:val="double" w:sz="4" w:space="0" w:color="auto"/>
              <w:left w:val="double" w:sz="4" w:space="0" w:color="auto"/>
              <w:bottom w:val="single" w:sz="8" w:space="0" w:color="auto"/>
              <w:right w:val="double" w:sz="4" w:space="0" w:color="auto"/>
            </w:tcBorders>
            <w:shd w:val="clear" w:color="auto" w:fill="C6D9F1" w:themeFill="text2" w:themeFillTint="33"/>
            <w:tcMar>
              <w:left w:w="108" w:type="dxa"/>
              <w:right w:w="108" w:type="dxa"/>
            </w:tcMar>
            <w:vAlign w:val="center"/>
          </w:tcPr>
          <w:p w14:paraId="3E538AF2" w14:textId="71C2D473" w:rsidR="1D96130C" w:rsidRDefault="1D96130C" w:rsidP="00603157">
            <w:pPr>
              <w:keepNext/>
              <w:keepLines/>
              <w:rPr>
                <w:rFonts w:eastAsia="Times New Roman"/>
                <w:b/>
                <w:bCs/>
                <w:noProof/>
                <w:color w:val="000000" w:themeColor="text1"/>
                <w:sz w:val="20"/>
                <w:szCs w:val="20"/>
              </w:rPr>
            </w:pPr>
            <w:r w:rsidRPr="1D96130C">
              <w:rPr>
                <w:rFonts w:eastAsia="Times New Roman"/>
                <w:b/>
                <w:bCs/>
                <w:noProof/>
                <w:color w:val="000000" w:themeColor="text1"/>
                <w:sz w:val="20"/>
                <w:szCs w:val="20"/>
              </w:rPr>
              <w:t>III. Application of the ‘one in, one out’ approach – Preferred option(s)</w:t>
            </w:r>
          </w:p>
        </w:tc>
      </w:tr>
      <w:tr w:rsidR="1D96130C" w14:paraId="215640E0" w14:textId="77777777" w:rsidTr="1D96130C">
        <w:trPr>
          <w:trHeight w:val="300"/>
        </w:trPr>
        <w:tc>
          <w:tcPr>
            <w:tcW w:w="2366" w:type="dxa"/>
            <w:tcBorders>
              <w:top w:val="single" w:sz="8" w:space="0" w:color="auto"/>
              <w:left w:val="double" w:sz="4" w:space="0" w:color="auto"/>
              <w:bottom w:val="single" w:sz="8" w:space="0" w:color="auto"/>
              <w:right w:val="single" w:sz="8" w:space="0" w:color="auto"/>
            </w:tcBorders>
            <w:tcMar>
              <w:left w:w="108" w:type="dxa"/>
              <w:right w:w="108" w:type="dxa"/>
            </w:tcMar>
            <w:vAlign w:val="center"/>
          </w:tcPr>
          <w:p w14:paraId="16D41674" w14:textId="41C43C54" w:rsidR="1D96130C" w:rsidRDefault="1D96130C" w:rsidP="00603157">
            <w:pPr>
              <w:keepNext/>
              <w:keepLines/>
              <w:jc w:val="right"/>
              <w:rPr>
                <w:rFonts w:eastAsia="Times New Roman"/>
                <w:b/>
                <w:bCs/>
                <w:noProof/>
                <w:sz w:val="20"/>
                <w:szCs w:val="20"/>
              </w:rPr>
            </w:pPr>
            <w:r w:rsidRPr="1D96130C">
              <w:rPr>
                <w:rFonts w:eastAsia="Times New Roman"/>
                <w:b/>
                <w:bCs/>
                <w:noProof/>
                <w:sz w:val="20"/>
                <w:szCs w:val="20"/>
              </w:rPr>
              <w:t>[M€]</w:t>
            </w:r>
          </w:p>
        </w:tc>
        <w:tc>
          <w:tcPr>
            <w:tcW w:w="2449" w:type="dxa"/>
            <w:tcBorders>
              <w:top w:val="nil"/>
              <w:left w:val="single" w:sz="8" w:space="0" w:color="auto"/>
              <w:bottom w:val="single" w:sz="8" w:space="0" w:color="auto"/>
              <w:right w:val="single" w:sz="8" w:space="0" w:color="auto"/>
            </w:tcBorders>
            <w:tcMar>
              <w:left w:w="108" w:type="dxa"/>
              <w:right w:w="108" w:type="dxa"/>
            </w:tcMar>
            <w:vAlign w:val="center"/>
          </w:tcPr>
          <w:p w14:paraId="47DE005A" w14:textId="213E00F9" w:rsidR="1D96130C" w:rsidRDefault="1D96130C" w:rsidP="00603157">
            <w:pPr>
              <w:keepNext/>
              <w:keepLines/>
              <w:jc w:val="center"/>
              <w:rPr>
                <w:rFonts w:eastAsia="Times New Roman"/>
                <w:b/>
                <w:bCs/>
                <w:noProof/>
                <w:sz w:val="20"/>
                <w:szCs w:val="20"/>
              </w:rPr>
            </w:pPr>
            <w:r w:rsidRPr="1D96130C">
              <w:rPr>
                <w:rFonts w:eastAsia="Times New Roman"/>
                <w:b/>
                <w:bCs/>
                <w:noProof/>
                <w:sz w:val="20"/>
                <w:szCs w:val="20"/>
              </w:rPr>
              <w:t>One-off</w:t>
            </w:r>
          </w:p>
          <w:p w14:paraId="41088055" w14:textId="485CA9F7" w:rsidR="1D96130C" w:rsidRDefault="1D96130C" w:rsidP="00603157">
            <w:pPr>
              <w:keepNext/>
              <w:keepLines/>
              <w:jc w:val="center"/>
              <w:rPr>
                <w:rFonts w:eastAsia="Times New Roman"/>
                <w:noProof/>
                <w:sz w:val="20"/>
                <w:szCs w:val="20"/>
              </w:rPr>
            </w:pPr>
            <w:r w:rsidRPr="1D96130C">
              <w:rPr>
                <w:rFonts w:eastAsia="Times New Roman"/>
                <w:noProof/>
                <w:sz w:val="20"/>
                <w:szCs w:val="20"/>
              </w:rPr>
              <w:t>(annualised total net present value over the relevant period)</w:t>
            </w:r>
          </w:p>
        </w:tc>
        <w:tc>
          <w:tcPr>
            <w:tcW w:w="2890" w:type="dxa"/>
            <w:tcBorders>
              <w:top w:val="nil"/>
              <w:left w:val="single" w:sz="8" w:space="0" w:color="auto"/>
              <w:bottom w:val="single" w:sz="8" w:space="0" w:color="auto"/>
              <w:right w:val="double" w:sz="4" w:space="0" w:color="auto"/>
            </w:tcBorders>
            <w:tcMar>
              <w:left w:w="108" w:type="dxa"/>
              <w:right w:w="108" w:type="dxa"/>
            </w:tcMar>
            <w:vAlign w:val="center"/>
          </w:tcPr>
          <w:p w14:paraId="18383A1B" w14:textId="2310A613" w:rsidR="1D96130C" w:rsidRDefault="1D96130C" w:rsidP="00603157">
            <w:pPr>
              <w:keepNext/>
              <w:keepLines/>
              <w:jc w:val="center"/>
              <w:rPr>
                <w:rFonts w:eastAsia="Times New Roman"/>
                <w:b/>
                <w:bCs/>
                <w:noProof/>
                <w:sz w:val="20"/>
                <w:szCs w:val="20"/>
              </w:rPr>
            </w:pPr>
            <w:r w:rsidRPr="1D96130C">
              <w:rPr>
                <w:rFonts w:eastAsia="Times New Roman"/>
                <w:b/>
                <w:bCs/>
                <w:noProof/>
                <w:sz w:val="20"/>
                <w:szCs w:val="20"/>
              </w:rPr>
              <w:t>Recurrent</w:t>
            </w:r>
          </w:p>
          <w:p w14:paraId="7893EFFC" w14:textId="08FEE2F4" w:rsidR="1D96130C" w:rsidRDefault="1D96130C" w:rsidP="00603157">
            <w:pPr>
              <w:keepNext/>
              <w:keepLines/>
              <w:jc w:val="center"/>
              <w:rPr>
                <w:rFonts w:eastAsia="Times New Roman"/>
                <w:noProof/>
                <w:sz w:val="20"/>
                <w:szCs w:val="20"/>
              </w:rPr>
            </w:pPr>
            <w:r w:rsidRPr="1D96130C">
              <w:rPr>
                <w:rFonts w:eastAsia="Times New Roman"/>
                <w:noProof/>
                <w:sz w:val="20"/>
                <w:szCs w:val="20"/>
              </w:rPr>
              <w:t>(nominal values per year)</w:t>
            </w:r>
          </w:p>
          <w:p w14:paraId="6EA80431" w14:textId="1913E589" w:rsidR="1D96130C" w:rsidRDefault="1D96130C" w:rsidP="00603157">
            <w:pPr>
              <w:keepNext/>
              <w:keepLines/>
              <w:jc w:val="center"/>
              <w:rPr>
                <w:rFonts w:eastAsia="Times New Roman"/>
                <w:b/>
                <w:bCs/>
                <w:noProof/>
                <w:sz w:val="20"/>
                <w:szCs w:val="20"/>
              </w:rPr>
            </w:pPr>
            <w:r w:rsidRPr="1D96130C">
              <w:rPr>
                <w:rFonts w:eastAsia="Times New Roman"/>
                <w:b/>
                <w:bCs/>
                <w:noProof/>
                <w:sz w:val="20"/>
                <w:szCs w:val="20"/>
              </w:rPr>
              <w:t xml:space="preserve"> </w:t>
            </w:r>
          </w:p>
        </w:tc>
        <w:tc>
          <w:tcPr>
            <w:tcW w:w="1894" w:type="dxa"/>
            <w:tcBorders>
              <w:top w:val="nil"/>
              <w:left w:val="double" w:sz="4" w:space="0" w:color="auto"/>
              <w:bottom w:val="single" w:sz="8" w:space="0" w:color="auto"/>
              <w:right w:val="double" w:sz="4" w:space="0" w:color="auto"/>
            </w:tcBorders>
            <w:tcMar>
              <w:left w:w="108" w:type="dxa"/>
              <w:right w:w="108" w:type="dxa"/>
            </w:tcMar>
          </w:tcPr>
          <w:p w14:paraId="288228FE" w14:textId="4BC67ED4" w:rsidR="1D96130C" w:rsidRDefault="1D96130C" w:rsidP="00603157">
            <w:pPr>
              <w:keepNext/>
              <w:keepLines/>
              <w:jc w:val="center"/>
              <w:rPr>
                <w:rFonts w:eastAsia="Times New Roman"/>
                <w:b/>
                <w:bCs/>
                <w:noProof/>
                <w:sz w:val="20"/>
                <w:szCs w:val="20"/>
              </w:rPr>
            </w:pPr>
            <w:r w:rsidRPr="1D96130C">
              <w:rPr>
                <w:rFonts w:eastAsia="Times New Roman"/>
                <w:b/>
                <w:bCs/>
                <w:noProof/>
                <w:sz w:val="20"/>
                <w:szCs w:val="20"/>
              </w:rPr>
              <w:t>Total</w:t>
            </w:r>
          </w:p>
        </w:tc>
      </w:tr>
      <w:tr w:rsidR="1D96130C" w14:paraId="2CD7B34D" w14:textId="77777777" w:rsidTr="1D96130C">
        <w:trPr>
          <w:trHeight w:val="300"/>
        </w:trPr>
        <w:tc>
          <w:tcPr>
            <w:tcW w:w="9599" w:type="dxa"/>
            <w:gridSpan w:val="4"/>
            <w:tcBorders>
              <w:top w:val="single" w:sz="8" w:space="0" w:color="auto"/>
              <w:left w:val="double" w:sz="4" w:space="0" w:color="auto"/>
              <w:bottom w:val="single" w:sz="8" w:space="0" w:color="auto"/>
              <w:right w:val="double" w:sz="4" w:space="0" w:color="auto"/>
            </w:tcBorders>
            <w:tcMar>
              <w:left w:w="108" w:type="dxa"/>
              <w:right w:w="108" w:type="dxa"/>
            </w:tcMar>
            <w:vAlign w:val="center"/>
          </w:tcPr>
          <w:p w14:paraId="5F321EDF" w14:textId="7AA62C7A" w:rsidR="1D96130C" w:rsidRDefault="1D96130C" w:rsidP="00603157">
            <w:pPr>
              <w:jc w:val="left"/>
              <w:rPr>
                <w:rFonts w:eastAsia="Times New Roman"/>
                <w:b/>
                <w:bCs/>
                <w:noProof/>
                <w:sz w:val="20"/>
                <w:szCs w:val="20"/>
              </w:rPr>
            </w:pPr>
            <w:r w:rsidRPr="1D96130C">
              <w:rPr>
                <w:rFonts w:eastAsia="Times New Roman"/>
                <w:b/>
                <w:bCs/>
                <w:noProof/>
                <w:sz w:val="20"/>
                <w:szCs w:val="20"/>
              </w:rPr>
              <w:t>Businesses</w:t>
            </w:r>
          </w:p>
        </w:tc>
      </w:tr>
      <w:tr w:rsidR="1D96130C" w14:paraId="2FEB0945" w14:textId="77777777" w:rsidTr="1D96130C">
        <w:trPr>
          <w:trHeight w:val="300"/>
        </w:trPr>
        <w:tc>
          <w:tcPr>
            <w:tcW w:w="2366" w:type="dxa"/>
            <w:tcBorders>
              <w:top w:val="single" w:sz="8" w:space="0" w:color="auto"/>
              <w:left w:val="double" w:sz="4" w:space="0" w:color="auto"/>
              <w:bottom w:val="single" w:sz="8" w:space="0" w:color="auto"/>
              <w:right w:val="single" w:sz="8" w:space="0" w:color="auto"/>
            </w:tcBorders>
            <w:tcMar>
              <w:left w:w="108" w:type="dxa"/>
              <w:right w:w="108" w:type="dxa"/>
            </w:tcMar>
            <w:vAlign w:val="center"/>
          </w:tcPr>
          <w:p w14:paraId="2F32DBB2" w14:textId="339156B5" w:rsidR="1D96130C" w:rsidRDefault="1D96130C" w:rsidP="00603157">
            <w:pPr>
              <w:ind w:left="284"/>
              <w:jc w:val="left"/>
              <w:rPr>
                <w:rFonts w:eastAsia="Times New Roman"/>
                <w:noProof/>
                <w:sz w:val="20"/>
                <w:szCs w:val="20"/>
              </w:rPr>
            </w:pPr>
            <w:r w:rsidRPr="1D96130C">
              <w:rPr>
                <w:rFonts w:eastAsia="Times New Roman"/>
                <w:noProof/>
                <w:sz w:val="20"/>
                <w:szCs w:val="20"/>
              </w:rPr>
              <w:t>New administrative burdens (INs)</w:t>
            </w:r>
          </w:p>
        </w:tc>
        <w:tc>
          <w:tcPr>
            <w:tcW w:w="2449" w:type="dxa"/>
            <w:tcBorders>
              <w:top w:val="nil"/>
              <w:left w:val="single" w:sz="8" w:space="0" w:color="auto"/>
              <w:bottom w:val="single" w:sz="8" w:space="0" w:color="auto"/>
              <w:right w:val="single" w:sz="8" w:space="0" w:color="auto"/>
            </w:tcBorders>
            <w:tcMar>
              <w:left w:w="108" w:type="dxa"/>
              <w:right w:w="108" w:type="dxa"/>
            </w:tcMar>
            <w:vAlign w:val="center"/>
          </w:tcPr>
          <w:p w14:paraId="4C6B1E48" w14:textId="6D5A3F58" w:rsidR="1D96130C" w:rsidRDefault="1D96130C" w:rsidP="00603157">
            <w:pPr>
              <w:rPr>
                <w:rFonts w:eastAsia="Times New Roman"/>
                <w:noProof/>
                <w:sz w:val="20"/>
                <w:szCs w:val="20"/>
              </w:rPr>
            </w:pPr>
            <w:r w:rsidRPr="1D96130C">
              <w:rPr>
                <w:rFonts w:eastAsia="Times New Roman"/>
                <w:noProof/>
                <w:sz w:val="20"/>
                <w:szCs w:val="20"/>
              </w:rPr>
              <w:t>N/A</w:t>
            </w:r>
          </w:p>
        </w:tc>
        <w:tc>
          <w:tcPr>
            <w:tcW w:w="2890" w:type="dxa"/>
            <w:tcBorders>
              <w:top w:val="nil"/>
              <w:left w:val="single" w:sz="8" w:space="0" w:color="auto"/>
              <w:bottom w:val="single" w:sz="8" w:space="0" w:color="auto"/>
              <w:right w:val="double" w:sz="4" w:space="0" w:color="auto"/>
            </w:tcBorders>
            <w:tcMar>
              <w:left w:w="108" w:type="dxa"/>
              <w:right w:w="108" w:type="dxa"/>
            </w:tcMar>
            <w:vAlign w:val="center"/>
          </w:tcPr>
          <w:p w14:paraId="208FD0D5" w14:textId="3787C7CC" w:rsidR="1D96130C" w:rsidRDefault="1D96130C" w:rsidP="00603157">
            <w:pPr>
              <w:rPr>
                <w:rFonts w:eastAsia="Times New Roman"/>
                <w:noProof/>
                <w:sz w:val="20"/>
                <w:szCs w:val="20"/>
              </w:rPr>
            </w:pPr>
            <w:r w:rsidRPr="1D96130C">
              <w:rPr>
                <w:rFonts w:eastAsia="Times New Roman"/>
                <w:noProof/>
                <w:sz w:val="20"/>
                <w:szCs w:val="20"/>
              </w:rPr>
              <w:t>N/A</w:t>
            </w:r>
          </w:p>
        </w:tc>
        <w:tc>
          <w:tcPr>
            <w:tcW w:w="1894" w:type="dxa"/>
            <w:tcBorders>
              <w:top w:val="nil"/>
              <w:left w:val="double" w:sz="4" w:space="0" w:color="auto"/>
              <w:bottom w:val="single" w:sz="8" w:space="0" w:color="auto"/>
              <w:right w:val="double" w:sz="4" w:space="0" w:color="auto"/>
            </w:tcBorders>
            <w:tcMar>
              <w:left w:w="108" w:type="dxa"/>
              <w:right w:w="108" w:type="dxa"/>
            </w:tcMar>
            <w:vAlign w:val="center"/>
          </w:tcPr>
          <w:p w14:paraId="61E03BB8" w14:textId="5E957C3B" w:rsidR="1D96130C" w:rsidRDefault="1D96130C" w:rsidP="00603157">
            <w:pPr>
              <w:jc w:val="center"/>
              <w:rPr>
                <w:rFonts w:eastAsia="Times New Roman"/>
                <w:noProof/>
                <w:sz w:val="20"/>
                <w:szCs w:val="20"/>
              </w:rPr>
            </w:pPr>
            <w:r w:rsidRPr="1D96130C">
              <w:rPr>
                <w:rFonts w:eastAsia="Times New Roman"/>
                <w:noProof/>
                <w:sz w:val="20"/>
                <w:szCs w:val="20"/>
              </w:rPr>
              <w:t xml:space="preserve">N/A </w:t>
            </w:r>
          </w:p>
        </w:tc>
      </w:tr>
      <w:tr w:rsidR="1D96130C" w14:paraId="4B3C6F90" w14:textId="77777777" w:rsidTr="1D96130C">
        <w:trPr>
          <w:trHeight w:val="300"/>
        </w:trPr>
        <w:tc>
          <w:tcPr>
            <w:tcW w:w="2366" w:type="dxa"/>
            <w:tcBorders>
              <w:top w:val="single" w:sz="8" w:space="0" w:color="auto"/>
              <w:left w:val="double" w:sz="4" w:space="0" w:color="auto"/>
              <w:bottom w:val="single" w:sz="8" w:space="0" w:color="auto"/>
              <w:right w:val="single" w:sz="8" w:space="0" w:color="auto"/>
            </w:tcBorders>
            <w:tcMar>
              <w:left w:w="108" w:type="dxa"/>
              <w:right w:w="108" w:type="dxa"/>
            </w:tcMar>
            <w:vAlign w:val="center"/>
          </w:tcPr>
          <w:p w14:paraId="4458254A" w14:textId="7EC60ACB" w:rsidR="1D96130C" w:rsidRDefault="1D96130C" w:rsidP="00603157">
            <w:pPr>
              <w:ind w:left="284"/>
              <w:jc w:val="left"/>
              <w:rPr>
                <w:rFonts w:eastAsia="Times New Roman"/>
                <w:noProof/>
                <w:sz w:val="20"/>
                <w:szCs w:val="20"/>
              </w:rPr>
            </w:pPr>
            <w:r w:rsidRPr="1D96130C">
              <w:rPr>
                <w:rFonts w:eastAsia="Times New Roman"/>
                <w:noProof/>
                <w:sz w:val="20"/>
                <w:szCs w:val="20"/>
              </w:rPr>
              <w:t>Removed administrative burdens (OUTs)</w:t>
            </w:r>
          </w:p>
        </w:tc>
        <w:tc>
          <w:tcPr>
            <w:tcW w:w="244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65954B" w14:textId="51ECC099" w:rsidR="1D96130C" w:rsidRDefault="1D96130C" w:rsidP="00603157">
            <w:pPr>
              <w:rPr>
                <w:rFonts w:eastAsia="Times New Roman"/>
                <w:noProof/>
                <w:sz w:val="20"/>
                <w:szCs w:val="20"/>
              </w:rPr>
            </w:pPr>
            <w:r w:rsidRPr="1D96130C">
              <w:rPr>
                <w:rFonts w:eastAsia="Times New Roman"/>
                <w:noProof/>
                <w:sz w:val="20"/>
                <w:szCs w:val="20"/>
              </w:rPr>
              <w:t>Option C would significantly reduce administrative costs by integrating access points and introducing a common rulebook, simplifying the funding process and creating a more efficient, business-friendly environment.</w:t>
            </w:r>
          </w:p>
        </w:tc>
        <w:tc>
          <w:tcPr>
            <w:tcW w:w="2890" w:type="dxa"/>
            <w:tcBorders>
              <w:top w:val="single" w:sz="8" w:space="0" w:color="auto"/>
              <w:left w:val="single" w:sz="8" w:space="0" w:color="auto"/>
              <w:bottom w:val="single" w:sz="8" w:space="0" w:color="auto"/>
              <w:right w:val="double" w:sz="4" w:space="0" w:color="auto"/>
            </w:tcBorders>
            <w:tcMar>
              <w:left w:w="108" w:type="dxa"/>
              <w:right w:w="108" w:type="dxa"/>
            </w:tcMar>
            <w:vAlign w:val="center"/>
          </w:tcPr>
          <w:p w14:paraId="3F4ABF04" w14:textId="3EF13347" w:rsidR="1D96130C" w:rsidRDefault="1D96130C" w:rsidP="00603157">
            <w:pPr>
              <w:rPr>
                <w:rFonts w:eastAsia="Times New Roman"/>
                <w:noProof/>
                <w:sz w:val="20"/>
                <w:szCs w:val="20"/>
              </w:rPr>
            </w:pPr>
            <w:r w:rsidRPr="1D96130C">
              <w:rPr>
                <w:rFonts w:eastAsia="Times New Roman"/>
                <w:noProof/>
                <w:sz w:val="20"/>
                <w:szCs w:val="20"/>
              </w:rPr>
              <w:t>The simplified system will reduce recurring administrative costs for businesses by shortening grant proposal preparation time. This will save up to 10% compared to the baseline, equal to EUR 4,500–28,800 per proposal.</w:t>
            </w:r>
          </w:p>
        </w:tc>
        <w:tc>
          <w:tcPr>
            <w:tcW w:w="1894" w:type="dxa"/>
            <w:tcBorders>
              <w:top w:val="single" w:sz="8" w:space="0" w:color="auto"/>
              <w:left w:val="double" w:sz="4" w:space="0" w:color="auto"/>
              <w:bottom w:val="single" w:sz="8" w:space="0" w:color="auto"/>
              <w:right w:val="double" w:sz="4" w:space="0" w:color="auto"/>
            </w:tcBorders>
            <w:tcMar>
              <w:left w:w="108" w:type="dxa"/>
              <w:right w:w="108" w:type="dxa"/>
            </w:tcMar>
            <w:vAlign w:val="center"/>
          </w:tcPr>
          <w:p w14:paraId="31EA1233" w14:textId="677771A8" w:rsidR="1D96130C" w:rsidRDefault="1D96130C" w:rsidP="00603157">
            <w:pPr>
              <w:jc w:val="center"/>
              <w:rPr>
                <w:rFonts w:eastAsia="Times New Roman"/>
                <w:noProof/>
                <w:sz w:val="20"/>
                <w:szCs w:val="20"/>
              </w:rPr>
            </w:pPr>
            <w:r w:rsidRPr="1D96130C">
              <w:rPr>
                <w:rFonts w:eastAsia="Times New Roman"/>
                <w:noProof/>
                <w:sz w:val="20"/>
                <w:szCs w:val="20"/>
              </w:rPr>
              <w:t>A potentially significant reduction of administrative costs through a common rulebook, including a 10% reduction of recurring costs.</w:t>
            </w:r>
          </w:p>
        </w:tc>
      </w:tr>
      <w:tr w:rsidR="1D96130C" w14:paraId="75C39A22" w14:textId="77777777" w:rsidTr="1D96130C">
        <w:trPr>
          <w:trHeight w:val="300"/>
        </w:trPr>
        <w:tc>
          <w:tcPr>
            <w:tcW w:w="2366" w:type="dxa"/>
            <w:tcBorders>
              <w:top w:val="single" w:sz="8" w:space="0" w:color="auto"/>
              <w:left w:val="double" w:sz="4" w:space="0" w:color="auto"/>
              <w:bottom w:val="single" w:sz="8" w:space="0" w:color="auto"/>
              <w:right w:val="single" w:sz="8" w:space="0" w:color="auto"/>
            </w:tcBorders>
            <w:tcMar>
              <w:left w:w="108" w:type="dxa"/>
              <w:right w:w="108" w:type="dxa"/>
            </w:tcMar>
            <w:vAlign w:val="center"/>
          </w:tcPr>
          <w:p w14:paraId="1B575437" w14:textId="71196A2B" w:rsidR="1D96130C" w:rsidRDefault="1D96130C" w:rsidP="00603157">
            <w:pPr>
              <w:ind w:left="284"/>
              <w:jc w:val="left"/>
              <w:rPr>
                <w:rFonts w:eastAsia="Times New Roman"/>
                <w:b/>
                <w:bCs/>
                <w:i/>
                <w:iCs/>
                <w:noProof/>
                <w:sz w:val="20"/>
                <w:szCs w:val="20"/>
              </w:rPr>
            </w:pPr>
            <w:r w:rsidRPr="1D96130C">
              <w:rPr>
                <w:rFonts w:eastAsia="Times New Roman"/>
                <w:b/>
                <w:bCs/>
                <w:i/>
                <w:iCs/>
                <w:noProof/>
                <w:sz w:val="20"/>
                <w:szCs w:val="20"/>
              </w:rPr>
              <w:t>Net administrative burdens*</w:t>
            </w:r>
          </w:p>
        </w:tc>
        <w:tc>
          <w:tcPr>
            <w:tcW w:w="244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F854F4" w14:textId="69421B03" w:rsidR="1D96130C" w:rsidRDefault="1D96130C" w:rsidP="00603157">
            <w:pPr>
              <w:jc w:val="center"/>
              <w:rPr>
                <w:rFonts w:eastAsia="Times New Roman"/>
                <w:noProof/>
                <w:sz w:val="20"/>
                <w:szCs w:val="20"/>
              </w:rPr>
            </w:pPr>
            <w:r w:rsidRPr="1D96130C">
              <w:rPr>
                <w:rFonts w:eastAsia="Times New Roman"/>
                <w:noProof/>
                <w:sz w:val="20"/>
                <w:szCs w:val="20"/>
              </w:rPr>
              <w:t xml:space="preserve"> Negative burden, potentially significant reduction.</w:t>
            </w:r>
          </w:p>
        </w:tc>
        <w:tc>
          <w:tcPr>
            <w:tcW w:w="2890" w:type="dxa"/>
            <w:tcBorders>
              <w:top w:val="single" w:sz="8" w:space="0" w:color="auto"/>
              <w:left w:val="single" w:sz="8" w:space="0" w:color="auto"/>
              <w:bottom w:val="single" w:sz="8" w:space="0" w:color="auto"/>
              <w:right w:val="double" w:sz="4" w:space="0" w:color="auto"/>
            </w:tcBorders>
            <w:tcMar>
              <w:left w:w="108" w:type="dxa"/>
              <w:right w:w="108" w:type="dxa"/>
            </w:tcMar>
            <w:vAlign w:val="center"/>
          </w:tcPr>
          <w:p w14:paraId="305AB7EA" w14:textId="2079439F" w:rsidR="1D96130C" w:rsidRDefault="1D96130C" w:rsidP="00603157">
            <w:pPr>
              <w:jc w:val="center"/>
              <w:rPr>
                <w:rFonts w:eastAsia="Times New Roman"/>
                <w:noProof/>
                <w:sz w:val="20"/>
                <w:szCs w:val="20"/>
              </w:rPr>
            </w:pPr>
            <w:r w:rsidRPr="1D96130C">
              <w:rPr>
                <w:rFonts w:eastAsia="Times New Roman"/>
                <w:noProof/>
                <w:sz w:val="20"/>
                <w:szCs w:val="20"/>
              </w:rPr>
              <w:t xml:space="preserve"> Negative burden, 10% reduction of recurring administrative costs.</w:t>
            </w:r>
          </w:p>
        </w:tc>
        <w:tc>
          <w:tcPr>
            <w:tcW w:w="1894" w:type="dxa"/>
            <w:tcBorders>
              <w:top w:val="single" w:sz="8" w:space="0" w:color="auto"/>
              <w:left w:val="double" w:sz="4" w:space="0" w:color="auto"/>
              <w:bottom w:val="single" w:sz="8" w:space="0" w:color="auto"/>
              <w:right w:val="double" w:sz="4" w:space="0" w:color="auto"/>
            </w:tcBorders>
            <w:tcMar>
              <w:left w:w="108" w:type="dxa"/>
              <w:right w:w="108" w:type="dxa"/>
            </w:tcMar>
            <w:vAlign w:val="center"/>
          </w:tcPr>
          <w:p w14:paraId="23C7B812" w14:textId="2E703AFA" w:rsidR="1D96130C" w:rsidRDefault="1D96130C" w:rsidP="00603157">
            <w:pPr>
              <w:jc w:val="center"/>
              <w:rPr>
                <w:rFonts w:eastAsia="Times New Roman"/>
                <w:noProof/>
                <w:sz w:val="20"/>
                <w:szCs w:val="20"/>
              </w:rPr>
            </w:pPr>
            <w:r w:rsidRPr="1D96130C">
              <w:rPr>
                <w:rFonts w:eastAsia="Times New Roman"/>
                <w:noProof/>
                <w:sz w:val="20"/>
                <w:szCs w:val="20"/>
              </w:rPr>
              <w:t xml:space="preserve"> Negative burden, 10% reduction of recurring administrative costs combined with a significant one-off reduction.</w:t>
            </w:r>
          </w:p>
        </w:tc>
      </w:tr>
      <w:tr w:rsidR="1D96130C" w14:paraId="2072773D" w14:textId="77777777" w:rsidTr="1D96130C">
        <w:trPr>
          <w:trHeight w:val="555"/>
        </w:trPr>
        <w:tc>
          <w:tcPr>
            <w:tcW w:w="2366" w:type="dxa"/>
            <w:tcBorders>
              <w:top w:val="single" w:sz="8" w:space="0" w:color="auto"/>
              <w:left w:val="double" w:sz="4" w:space="0" w:color="auto"/>
              <w:bottom w:val="double" w:sz="4" w:space="0" w:color="auto"/>
              <w:right w:val="single" w:sz="8" w:space="0" w:color="auto"/>
            </w:tcBorders>
            <w:tcMar>
              <w:left w:w="108" w:type="dxa"/>
              <w:right w:w="108" w:type="dxa"/>
            </w:tcMar>
            <w:vAlign w:val="center"/>
          </w:tcPr>
          <w:p w14:paraId="6B84E925" w14:textId="30158E45" w:rsidR="1D96130C" w:rsidRDefault="1D96130C" w:rsidP="00603157">
            <w:pPr>
              <w:ind w:left="284"/>
              <w:jc w:val="left"/>
              <w:rPr>
                <w:rFonts w:eastAsia="Times New Roman"/>
                <w:noProof/>
                <w:sz w:val="20"/>
                <w:szCs w:val="20"/>
              </w:rPr>
            </w:pPr>
            <w:r w:rsidRPr="1D96130C">
              <w:rPr>
                <w:rFonts w:eastAsia="Times New Roman"/>
                <w:noProof/>
                <w:sz w:val="20"/>
                <w:szCs w:val="20"/>
              </w:rPr>
              <w:t>Adjustment costs**</w:t>
            </w:r>
          </w:p>
        </w:tc>
        <w:tc>
          <w:tcPr>
            <w:tcW w:w="2449" w:type="dxa"/>
            <w:tcBorders>
              <w:top w:val="single" w:sz="8" w:space="0" w:color="auto"/>
              <w:left w:val="single" w:sz="8" w:space="0" w:color="auto"/>
              <w:bottom w:val="double" w:sz="4" w:space="0" w:color="auto"/>
              <w:right w:val="single" w:sz="8" w:space="0" w:color="auto"/>
            </w:tcBorders>
            <w:tcMar>
              <w:left w:w="108" w:type="dxa"/>
              <w:right w:w="108" w:type="dxa"/>
            </w:tcMar>
            <w:vAlign w:val="center"/>
          </w:tcPr>
          <w:p w14:paraId="7B352BA9" w14:textId="1006DB35" w:rsidR="1D96130C" w:rsidRDefault="1D96130C" w:rsidP="00603157">
            <w:pPr>
              <w:rPr>
                <w:rFonts w:eastAsia="Times New Roman"/>
                <w:noProof/>
                <w:sz w:val="20"/>
                <w:szCs w:val="20"/>
              </w:rPr>
            </w:pPr>
            <w:r w:rsidRPr="1D96130C">
              <w:rPr>
                <w:rFonts w:eastAsia="Times New Roman"/>
                <w:noProof/>
                <w:sz w:val="20"/>
                <w:szCs w:val="20"/>
              </w:rPr>
              <w:t>Adjustment costs would be high for applicants and beneficiaries and would require a significant adaptation by organisations accustomed to the current structure. However, adjustment costs are one-off costs.</w:t>
            </w:r>
          </w:p>
          <w:p w14:paraId="4E51632A" w14:textId="0393834B" w:rsidR="1D96130C" w:rsidRDefault="1D96130C" w:rsidP="00603157">
            <w:pPr>
              <w:rPr>
                <w:rFonts w:eastAsia="Times New Roman"/>
                <w:noProof/>
                <w:sz w:val="20"/>
                <w:szCs w:val="20"/>
              </w:rPr>
            </w:pPr>
            <w:r w:rsidRPr="1D96130C">
              <w:rPr>
                <w:rFonts w:eastAsia="Times New Roman"/>
                <w:noProof/>
                <w:sz w:val="20"/>
                <w:szCs w:val="20"/>
              </w:rPr>
              <w:t>It has the highest impact among the options, as it changes the status quo. No quantified data is available currently.</w:t>
            </w:r>
          </w:p>
        </w:tc>
        <w:tc>
          <w:tcPr>
            <w:tcW w:w="2890" w:type="dxa"/>
            <w:tcBorders>
              <w:top w:val="single" w:sz="8" w:space="0" w:color="auto"/>
              <w:left w:val="single" w:sz="8" w:space="0" w:color="auto"/>
              <w:bottom w:val="double" w:sz="4" w:space="0" w:color="auto"/>
              <w:right w:val="double" w:sz="4" w:space="0" w:color="auto"/>
            </w:tcBorders>
            <w:tcMar>
              <w:left w:w="108" w:type="dxa"/>
              <w:right w:w="108" w:type="dxa"/>
            </w:tcMar>
            <w:vAlign w:val="center"/>
          </w:tcPr>
          <w:p w14:paraId="50816B03" w14:textId="2D3C3AEC" w:rsidR="1D96130C" w:rsidRDefault="1D96130C" w:rsidP="00603157">
            <w:pPr>
              <w:jc w:val="center"/>
              <w:rPr>
                <w:rFonts w:eastAsia="Times New Roman"/>
                <w:noProof/>
                <w:sz w:val="20"/>
                <w:szCs w:val="20"/>
              </w:rPr>
            </w:pPr>
            <w:r w:rsidRPr="1D96130C">
              <w:rPr>
                <w:rFonts w:eastAsia="Times New Roman"/>
                <w:noProof/>
                <w:sz w:val="20"/>
                <w:szCs w:val="20"/>
              </w:rPr>
              <w:t xml:space="preserve"> N/A</w:t>
            </w:r>
          </w:p>
        </w:tc>
        <w:tc>
          <w:tcPr>
            <w:tcW w:w="1894" w:type="dxa"/>
            <w:tcBorders>
              <w:top w:val="single" w:sz="8" w:space="0" w:color="auto"/>
              <w:left w:val="double" w:sz="4" w:space="0" w:color="auto"/>
              <w:bottom w:val="double" w:sz="4" w:space="0" w:color="auto"/>
              <w:right w:val="double" w:sz="4" w:space="0" w:color="auto"/>
            </w:tcBorders>
            <w:tcMar>
              <w:left w:w="108" w:type="dxa"/>
              <w:right w:w="108" w:type="dxa"/>
            </w:tcMar>
            <w:vAlign w:val="center"/>
          </w:tcPr>
          <w:p w14:paraId="71C89CFE" w14:textId="40B1CF40" w:rsidR="1D96130C" w:rsidRDefault="1D96130C" w:rsidP="00603157">
            <w:pPr>
              <w:jc w:val="center"/>
              <w:rPr>
                <w:rFonts w:eastAsia="Times New Roman"/>
                <w:noProof/>
                <w:sz w:val="20"/>
                <w:szCs w:val="20"/>
              </w:rPr>
            </w:pPr>
            <w:r w:rsidRPr="1D96130C">
              <w:rPr>
                <w:rFonts w:eastAsia="Times New Roman"/>
                <w:noProof/>
                <w:sz w:val="20"/>
                <w:szCs w:val="20"/>
              </w:rPr>
              <w:t>Initially high adjustment costs as a result of a need for applicants to significantly adapt to the new structure. However, those costs are offset with the highest impact of the option.</w:t>
            </w:r>
          </w:p>
        </w:tc>
      </w:tr>
      <w:tr w:rsidR="1D96130C" w14:paraId="092A09BA" w14:textId="77777777" w:rsidTr="1D96130C">
        <w:trPr>
          <w:trHeight w:val="300"/>
        </w:trPr>
        <w:tc>
          <w:tcPr>
            <w:tcW w:w="9599" w:type="dxa"/>
            <w:gridSpan w:val="4"/>
            <w:tcBorders>
              <w:top w:val="double" w:sz="4" w:space="0" w:color="auto"/>
              <w:left w:val="double" w:sz="4" w:space="0" w:color="auto"/>
              <w:bottom w:val="single" w:sz="8" w:space="0" w:color="auto"/>
              <w:right w:val="double" w:sz="4" w:space="0" w:color="auto"/>
            </w:tcBorders>
            <w:tcMar>
              <w:left w:w="108" w:type="dxa"/>
              <w:right w:w="108" w:type="dxa"/>
            </w:tcMar>
            <w:vAlign w:val="center"/>
          </w:tcPr>
          <w:p w14:paraId="1EFEAD50" w14:textId="35DC7189" w:rsidR="1D96130C" w:rsidRDefault="1D96130C" w:rsidP="00603157">
            <w:pPr>
              <w:jc w:val="left"/>
              <w:rPr>
                <w:rFonts w:eastAsia="Times New Roman"/>
                <w:b/>
                <w:bCs/>
                <w:noProof/>
                <w:sz w:val="20"/>
                <w:szCs w:val="20"/>
              </w:rPr>
            </w:pPr>
            <w:r w:rsidRPr="1D96130C">
              <w:rPr>
                <w:rFonts w:eastAsia="Times New Roman"/>
                <w:b/>
                <w:bCs/>
                <w:noProof/>
                <w:sz w:val="20"/>
                <w:szCs w:val="20"/>
              </w:rPr>
              <w:t>Citizens</w:t>
            </w:r>
          </w:p>
        </w:tc>
      </w:tr>
      <w:tr w:rsidR="1D96130C" w14:paraId="2022F213" w14:textId="77777777" w:rsidTr="1D96130C">
        <w:trPr>
          <w:trHeight w:val="300"/>
        </w:trPr>
        <w:tc>
          <w:tcPr>
            <w:tcW w:w="2366" w:type="dxa"/>
            <w:tcBorders>
              <w:top w:val="single" w:sz="8" w:space="0" w:color="auto"/>
              <w:left w:val="double" w:sz="4" w:space="0" w:color="auto"/>
              <w:bottom w:val="single" w:sz="8" w:space="0" w:color="auto"/>
              <w:right w:val="single" w:sz="8" w:space="0" w:color="auto"/>
            </w:tcBorders>
            <w:tcMar>
              <w:left w:w="108" w:type="dxa"/>
              <w:right w:w="108" w:type="dxa"/>
            </w:tcMar>
            <w:vAlign w:val="center"/>
          </w:tcPr>
          <w:p w14:paraId="262DED56" w14:textId="3D08F6BA" w:rsidR="1D96130C" w:rsidRDefault="1D96130C" w:rsidP="00603157">
            <w:pPr>
              <w:ind w:left="284"/>
              <w:jc w:val="left"/>
              <w:rPr>
                <w:rFonts w:eastAsia="Times New Roman"/>
                <w:noProof/>
                <w:sz w:val="20"/>
                <w:szCs w:val="20"/>
              </w:rPr>
            </w:pPr>
            <w:r w:rsidRPr="1D96130C">
              <w:rPr>
                <w:rFonts w:eastAsia="Times New Roman"/>
                <w:noProof/>
                <w:sz w:val="20"/>
                <w:szCs w:val="20"/>
              </w:rPr>
              <w:t>New administrative burdens (INs)</w:t>
            </w:r>
          </w:p>
        </w:tc>
        <w:tc>
          <w:tcPr>
            <w:tcW w:w="2449" w:type="dxa"/>
            <w:tcBorders>
              <w:top w:val="nil"/>
              <w:left w:val="single" w:sz="8" w:space="0" w:color="auto"/>
              <w:bottom w:val="single" w:sz="8" w:space="0" w:color="auto"/>
              <w:right w:val="single" w:sz="8" w:space="0" w:color="auto"/>
            </w:tcBorders>
            <w:tcMar>
              <w:left w:w="108" w:type="dxa"/>
              <w:right w:w="108" w:type="dxa"/>
            </w:tcMar>
            <w:vAlign w:val="center"/>
          </w:tcPr>
          <w:p w14:paraId="50E6E948" w14:textId="68B2D817" w:rsidR="1D96130C" w:rsidRDefault="1D96130C" w:rsidP="00603157">
            <w:pPr>
              <w:rPr>
                <w:rFonts w:eastAsia="Times New Roman"/>
                <w:noProof/>
                <w:sz w:val="20"/>
                <w:szCs w:val="20"/>
              </w:rPr>
            </w:pPr>
            <w:r w:rsidRPr="1D96130C">
              <w:rPr>
                <w:rFonts w:eastAsia="Times New Roman"/>
                <w:noProof/>
                <w:sz w:val="20"/>
                <w:szCs w:val="20"/>
              </w:rPr>
              <w:t>N/A</w:t>
            </w:r>
          </w:p>
        </w:tc>
        <w:tc>
          <w:tcPr>
            <w:tcW w:w="2890" w:type="dxa"/>
            <w:tcBorders>
              <w:top w:val="nil"/>
              <w:left w:val="single" w:sz="8" w:space="0" w:color="auto"/>
              <w:bottom w:val="single" w:sz="8" w:space="0" w:color="auto"/>
              <w:right w:val="double" w:sz="4" w:space="0" w:color="auto"/>
            </w:tcBorders>
            <w:tcMar>
              <w:left w:w="108" w:type="dxa"/>
              <w:right w:w="108" w:type="dxa"/>
            </w:tcMar>
            <w:vAlign w:val="center"/>
          </w:tcPr>
          <w:p w14:paraId="69FF7C3A" w14:textId="74FCCBD2" w:rsidR="1D96130C" w:rsidRDefault="1D96130C" w:rsidP="00603157">
            <w:pPr>
              <w:rPr>
                <w:rFonts w:eastAsia="Times New Roman"/>
                <w:noProof/>
                <w:sz w:val="20"/>
                <w:szCs w:val="20"/>
              </w:rPr>
            </w:pPr>
            <w:r w:rsidRPr="1D96130C">
              <w:rPr>
                <w:rFonts w:eastAsia="Times New Roman"/>
                <w:noProof/>
                <w:sz w:val="20"/>
                <w:szCs w:val="20"/>
              </w:rPr>
              <w:t xml:space="preserve"> N/A</w:t>
            </w:r>
          </w:p>
        </w:tc>
        <w:tc>
          <w:tcPr>
            <w:tcW w:w="1894" w:type="dxa"/>
            <w:tcBorders>
              <w:top w:val="nil"/>
              <w:left w:val="double" w:sz="4" w:space="0" w:color="auto"/>
              <w:bottom w:val="single" w:sz="8" w:space="0" w:color="auto"/>
              <w:right w:val="double" w:sz="4" w:space="0" w:color="auto"/>
            </w:tcBorders>
            <w:tcMar>
              <w:left w:w="108" w:type="dxa"/>
              <w:right w:w="108" w:type="dxa"/>
            </w:tcMar>
            <w:vAlign w:val="center"/>
          </w:tcPr>
          <w:p w14:paraId="0CF9CADB" w14:textId="6B68AC41" w:rsidR="1D96130C" w:rsidRDefault="1D96130C" w:rsidP="00603157">
            <w:pPr>
              <w:jc w:val="center"/>
              <w:rPr>
                <w:rFonts w:eastAsia="Times New Roman"/>
                <w:noProof/>
                <w:sz w:val="20"/>
                <w:szCs w:val="20"/>
              </w:rPr>
            </w:pPr>
            <w:r w:rsidRPr="1D96130C">
              <w:rPr>
                <w:rFonts w:eastAsia="Times New Roman"/>
                <w:noProof/>
                <w:sz w:val="20"/>
                <w:szCs w:val="20"/>
              </w:rPr>
              <w:t xml:space="preserve"> N/A</w:t>
            </w:r>
          </w:p>
        </w:tc>
      </w:tr>
      <w:tr w:rsidR="1D96130C" w14:paraId="4B672EC5" w14:textId="77777777" w:rsidTr="1D96130C">
        <w:trPr>
          <w:trHeight w:val="300"/>
        </w:trPr>
        <w:tc>
          <w:tcPr>
            <w:tcW w:w="2366" w:type="dxa"/>
            <w:tcBorders>
              <w:top w:val="single" w:sz="8" w:space="0" w:color="auto"/>
              <w:left w:val="double" w:sz="4" w:space="0" w:color="auto"/>
              <w:bottom w:val="single" w:sz="8" w:space="0" w:color="auto"/>
              <w:right w:val="single" w:sz="8" w:space="0" w:color="auto"/>
            </w:tcBorders>
            <w:tcMar>
              <w:left w:w="108" w:type="dxa"/>
              <w:right w:w="108" w:type="dxa"/>
            </w:tcMar>
            <w:vAlign w:val="center"/>
          </w:tcPr>
          <w:p w14:paraId="69D8C12A" w14:textId="04FC1A63" w:rsidR="1D96130C" w:rsidRDefault="1D96130C" w:rsidP="00603157">
            <w:pPr>
              <w:ind w:left="284"/>
              <w:jc w:val="left"/>
              <w:rPr>
                <w:rFonts w:eastAsia="Times New Roman"/>
                <w:noProof/>
                <w:sz w:val="20"/>
                <w:szCs w:val="20"/>
              </w:rPr>
            </w:pPr>
            <w:r w:rsidRPr="1D96130C">
              <w:rPr>
                <w:rFonts w:eastAsia="Times New Roman"/>
                <w:noProof/>
                <w:sz w:val="20"/>
                <w:szCs w:val="20"/>
              </w:rPr>
              <w:t>Removed administrative burdens (OUTs)</w:t>
            </w:r>
          </w:p>
        </w:tc>
        <w:tc>
          <w:tcPr>
            <w:tcW w:w="244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632849" w14:textId="54FBA893" w:rsidR="1D96130C" w:rsidRDefault="1D96130C" w:rsidP="00603157">
            <w:pPr>
              <w:rPr>
                <w:rFonts w:eastAsia="Times New Roman"/>
                <w:noProof/>
                <w:sz w:val="20"/>
                <w:szCs w:val="20"/>
              </w:rPr>
            </w:pPr>
            <w:r w:rsidRPr="1D96130C">
              <w:rPr>
                <w:rFonts w:eastAsia="Times New Roman"/>
                <w:noProof/>
                <w:sz w:val="20"/>
                <w:szCs w:val="20"/>
              </w:rPr>
              <w:t xml:space="preserve"> N/A</w:t>
            </w:r>
          </w:p>
        </w:tc>
        <w:tc>
          <w:tcPr>
            <w:tcW w:w="2890" w:type="dxa"/>
            <w:tcBorders>
              <w:top w:val="single" w:sz="8" w:space="0" w:color="auto"/>
              <w:left w:val="single" w:sz="8" w:space="0" w:color="auto"/>
              <w:bottom w:val="single" w:sz="8" w:space="0" w:color="auto"/>
              <w:right w:val="double" w:sz="4" w:space="0" w:color="auto"/>
            </w:tcBorders>
            <w:tcMar>
              <w:left w:w="108" w:type="dxa"/>
              <w:right w:w="108" w:type="dxa"/>
            </w:tcMar>
            <w:vAlign w:val="center"/>
          </w:tcPr>
          <w:p w14:paraId="5899F4ED" w14:textId="58F2C60D" w:rsidR="1D96130C" w:rsidRDefault="1D96130C" w:rsidP="00603157">
            <w:pPr>
              <w:rPr>
                <w:rFonts w:eastAsia="Times New Roman"/>
                <w:noProof/>
                <w:sz w:val="20"/>
                <w:szCs w:val="20"/>
              </w:rPr>
            </w:pPr>
            <w:r w:rsidRPr="1D96130C">
              <w:rPr>
                <w:rFonts w:eastAsia="Times New Roman"/>
                <w:noProof/>
                <w:sz w:val="20"/>
                <w:szCs w:val="20"/>
              </w:rPr>
              <w:t>Some administrative burdens for researchers will be reduced over time, due to the simplifying funding process.</w:t>
            </w:r>
          </w:p>
        </w:tc>
        <w:tc>
          <w:tcPr>
            <w:tcW w:w="1894" w:type="dxa"/>
            <w:tcBorders>
              <w:top w:val="single" w:sz="8" w:space="0" w:color="auto"/>
              <w:left w:val="double" w:sz="4" w:space="0" w:color="auto"/>
              <w:bottom w:val="single" w:sz="8" w:space="0" w:color="auto"/>
              <w:right w:val="double" w:sz="4" w:space="0" w:color="auto"/>
            </w:tcBorders>
            <w:tcMar>
              <w:left w:w="108" w:type="dxa"/>
              <w:right w:w="108" w:type="dxa"/>
            </w:tcMar>
            <w:vAlign w:val="center"/>
          </w:tcPr>
          <w:p w14:paraId="6A682D37" w14:textId="5923243B" w:rsidR="1D96130C" w:rsidRDefault="1D96130C" w:rsidP="00603157">
            <w:pPr>
              <w:jc w:val="center"/>
              <w:rPr>
                <w:rFonts w:eastAsia="Times New Roman"/>
                <w:noProof/>
                <w:sz w:val="20"/>
                <w:szCs w:val="20"/>
              </w:rPr>
            </w:pPr>
            <w:r w:rsidRPr="1D96130C">
              <w:rPr>
                <w:rFonts w:eastAsia="Times New Roman"/>
                <w:noProof/>
                <w:sz w:val="20"/>
                <w:szCs w:val="20"/>
              </w:rPr>
              <w:t xml:space="preserve">Administrative burdens would be reduced as a result of a simplified funding process. </w:t>
            </w:r>
          </w:p>
        </w:tc>
      </w:tr>
      <w:tr w:rsidR="1D96130C" w14:paraId="19108CE5" w14:textId="77777777" w:rsidTr="1D96130C">
        <w:trPr>
          <w:trHeight w:val="300"/>
        </w:trPr>
        <w:tc>
          <w:tcPr>
            <w:tcW w:w="2366" w:type="dxa"/>
            <w:tcBorders>
              <w:top w:val="single" w:sz="8" w:space="0" w:color="auto"/>
              <w:left w:val="double" w:sz="4" w:space="0" w:color="auto"/>
              <w:bottom w:val="single" w:sz="8" w:space="0" w:color="auto"/>
              <w:right w:val="single" w:sz="8" w:space="0" w:color="auto"/>
            </w:tcBorders>
            <w:tcMar>
              <w:left w:w="108" w:type="dxa"/>
              <w:right w:w="108" w:type="dxa"/>
            </w:tcMar>
            <w:vAlign w:val="center"/>
          </w:tcPr>
          <w:p w14:paraId="5F1E3A43" w14:textId="225C30D4" w:rsidR="1D96130C" w:rsidRDefault="1D96130C" w:rsidP="00603157">
            <w:pPr>
              <w:ind w:left="284"/>
              <w:jc w:val="left"/>
              <w:rPr>
                <w:rFonts w:eastAsia="Times New Roman"/>
                <w:b/>
                <w:bCs/>
                <w:i/>
                <w:iCs/>
                <w:noProof/>
                <w:sz w:val="20"/>
                <w:szCs w:val="20"/>
              </w:rPr>
            </w:pPr>
            <w:r w:rsidRPr="1D96130C">
              <w:rPr>
                <w:rFonts w:eastAsia="Times New Roman"/>
                <w:b/>
                <w:bCs/>
                <w:i/>
                <w:iCs/>
                <w:noProof/>
                <w:sz w:val="20"/>
                <w:szCs w:val="20"/>
              </w:rPr>
              <w:t>Net administrative burdens*</w:t>
            </w:r>
          </w:p>
        </w:tc>
        <w:tc>
          <w:tcPr>
            <w:tcW w:w="244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9F64DF" w14:textId="100F39A9" w:rsidR="1D96130C" w:rsidRDefault="1D96130C" w:rsidP="00603157">
            <w:pPr>
              <w:rPr>
                <w:rFonts w:eastAsia="Times New Roman"/>
                <w:noProof/>
                <w:sz w:val="20"/>
                <w:szCs w:val="20"/>
              </w:rPr>
            </w:pPr>
            <w:r w:rsidRPr="1D96130C">
              <w:rPr>
                <w:rFonts w:eastAsia="Times New Roman"/>
                <w:noProof/>
                <w:sz w:val="20"/>
                <w:szCs w:val="20"/>
              </w:rPr>
              <w:t xml:space="preserve"> N/A</w:t>
            </w:r>
          </w:p>
        </w:tc>
        <w:tc>
          <w:tcPr>
            <w:tcW w:w="2890" w:type="dxa"/>
            <w:tcBorders>
              <w:top w:val="single" w:sz="8" w:space="0" w:color="auto"/>
              <w:left w:val="single" w:sz="8" w:space="0" w:color="auto"/>
              <w:bottom w:val="single" w:sz="8" w:space="0" w:color="auto"/>
              <w:right w:val="double" w:sz="4" w:space="0" w:color="auto"/>
            </w:tcBorders>
            <w:tcMar>
              <w:left w:w="108" w:type="dxa"/>
              <w:right w:w="108" w:type="dxa"/>
            </w:tcMar>
            <w:vAlign w:val="center"/>
          </w:tcPr>
          <w:p w14:paraId="453327AE" w14:textId="5833A77F" w:rsidR="1D96130C" w:rsidRDefault="1D96130C" w:rsidP="00603157">
            <w:pPr>
              <w:rPr>
                <w:rFonts w:eastAsia="Times New Roman"/>
                <w:noProof/>
                <w:sz w:val="20"/>
                <w:szCs w:val="20"/>
              </w:rPr>
            </w:pPr>
            <w:r w:rsidRPr="1D96130C">
              <w:rPr>
                <w:rFonts w:eastAsia="Times New Roman"/>
                <w:noProof/>
                <w:sz w:val="20"/>
                <w:szCs w:val="20"/>
              </w:rPr>
              <w:t xml:space="preserve"> Negative as burdens would be removed over time due to a simpler funding process.</w:t>
            </w:r>
          </w:p>
        </w:tc>
        <w:tc>
          <w:tcPr>
            <w:tcW w:w="1894" w:type="dxa"/>
            <w:tcBorders>
              <w:top w:val="single" w:sz="8" w:space="0" w:color="auto"/>
              <w:left w:val="double" w:sz="4" w:space="0" w:color="auto"/>
              <w:bottom w:val="single" w:sz="8" w:space="0" w:color="auto"/>
              <w:right w:val="double" w:sz="4" w:space="0" w:color="auto"/>
            </w:tcBorders>
            <w:tcMar>
              <w:left w:w="108" w:type="dxa"/>
              <w:right w:w="108" w:type="dxa"/>
            </w:tcMar>
            <w:vAlign w:val="center"/>
          </w:tcPr>
          <w:p w14:paraId="6C1A2C9D" w14:textId="2D6E3D4B" w:rsidR="1D96130C" w:rsidRDefault="1D96130C" w:rsidP="00603157">
            <w:pPr>
              <w:jc w:val="center"/>
              <w:rPr>
                <w:rFonts w:eastAsia="Times New Roman"/>
                <w:noProof/>
                <w:sz w:val="20"/>
                <w:szCs w:val="20"/>
              </w:rPr>
            </w:pPr>
            <w:r w:rsidRPr="1D96130C">
              <w:rPr>
                <w:rFonts w:eastAsia="Times New Roman"/>
                <w:noProof/>
                <w:sz w:val="20"/>
                <w:szCs w:val="20"/>
              </w:rPr>
              <w:t xml:space="preserve"> Negative, administrative burdens would be reduced as a result of a simplified funding process.</w:t>
            </w:r>
          </w:p>
        </w:tc>
      </w:tr>
      <w:tr w:rsidR="1D96130C" w14:paraId="1CBC799E" w14:textId="77777777" w:rsidTr="1D96130C">
        <w:trPr>
          <w:trHeight w:val="555"/>
        </w:trPr>
        <w:tc>
          <w:tcPr>
            <w:tcW w:w="2366" w:type="dxa"/>
            <w:tcBorders>
              <w:top w:val="single" w:sz="8" w:space="0" w:color="auto"/>
              <w:left w:val="double" w:sz="4" w:space="0" w:color="auto"/>
              <w:bottom w:val="double" w:sz="4" w:space="0" w:color="auto"/>
              <w:right w:val="single" w:sz="8" w:space="0" w:color="auto"/>
            </w:tcBorders>
            <w:tcMar>
              <w:left w:w="108" w:type="dxa"/>
              <w:right w:w="108" w:type="dxa"/>
            </w:tcMar>
            <w:vAlign w:val="center"/>
          </w:tcPr>
          <w:p w14:paraId="07865B33" w14:textId="6ABA06E0" w:rsidR="1D96130C" w:rsidRDefault="1D96130C" w:rsidP="00603157">
            <w:pPr>
              <w:ind w:left="284"/>
              <w:jc w:val="left"/>
              <w:rPr>
                <w:rFonts w:eastAsia="Times New Roman"/>
                <w:noProof/>
                <w:sz w:val="20"/>
                <w:szCs w:val="20"/>
              </w:rPr>
            </w:pPr>
            <w:r w:rsidRPr="1D96130C">
              <w:rPr>
                <w:rFonts w:eastAsia="Times New Roman"/>
                <w:noProof/>
                <w:sz w:val="20"/>
                <w:szCs w:val="20"/>
              </w:rPr>
              <w:t>Adjustment costs**</w:t>
            </w:r>
          </w:p>
        </w:tc>
        <w:tc>
          <w:tcPr>
            <w:tcW w:w="2449" w:type="dxa"/>
            <w:tcBorders>
              <w:top w:val="single" w:sz="8" w:space="0" w:color="auto"/>
              <w:left w:val="single" w:sz="8" w:space="0" w:color="auto"/>
              <w:bottom w:val="double" w:sz="4" w:space="0" w:color="auto"/>
              <w:right w:val="single" w:sz="8" w:space="0" w:color="auto"/>
            </w:tcBorders>
            <w:tcMar>
              <w:left w:w="108" w:type="dxa"/>
              <w:right w:w="108" w:type="dxa"/>
            </w:tcMar>
            <w:vAlign w:val="center"/>
          </w:tcPr>
          <w:p w14:paraId="59A72D06" w14:textId="22A85BBE" w:rsidR="1D96130C" w:rsidRDefault="1D96130C" w:rsidP="00603157">
            <w:pPr>
              <w:rPr>
                <w:rFonts w:eastAsia="Times New Roman"/>
                <w:noProof/>
                <w:sz w:val="20"/>
                <w:szCs w:val="20"/>
              </w:rPr>
            </w:pPr>
            <w:r w:rsidRPr="1D96130C">
              <w:rPr>
                <w:rFonts w:eastAsia="Times New Roman"/>
                <w:noProof/>
                <w:sz w:val="20"/>
                <w:szCs w:val="20"/>
              </w:rPr>
              <w:t>Adjustment costs might be higher for researchers that are not supported by university administrative departments in the preparation of proposals and progress reporting.</w:t>
            </w:r>
          </w:p>
        </w:tc>
        <w:tc>
          <w:tcPr>
            <w:tcW w:w="2890" w:type="dxa"/>
            <w:tcBorders>
              <w:top w:val="single" w:sz="8" w:space="0" w:color="auto"/>
              <w:left w:val="single" w:sz="8" w:space="0" w:color="auto"/>
              <w:bottom w:val="double" w:sz="4" w:space="0" w:color="auto"/>
              <w:right w:val="double" w:sz="4" w:space="0" w:color="auto"/>
            </w:tcBorders>
            <w:tcMar>
              <w:left w:w="108" w:type="dxa"/>
              <w:right w:w="108" w:type="dxa"/>
            </w:tcMar>
            <w:vAlign w:val="center"/>
          </w:tcPr>
          <w:p w14:paraId="4590A294" w14:textId="71D4A54C" w:rsidR="1D96130C" w:rsidRDefault="1D96130C" w:rsidP="00603157">
            <w:pPr>
              <w:jc w:val="center"/>
              <w:rPr>
                <w:rFonts w:eastAsia="Times New Roman"/>
                <w:noProof/>
                <w:sz w:val="20"/>
                <w:szCs w:val="20"/>
              </w:rPr>
            </w:pPr>
            <w:r w:rsidRPr="1D96130C">
              <w:rPr>
                <w:rFonts w:eastAsia="Times New Roman"/>
                <w:noProof/>
                <w:sz w:val="20"/>
                <w:szCs w:val="20"/>
              </w:rPr>
              <w:t xml:space="preserve">N/A </w:t>
            </w:r>
          </w:p>
        </w:tc>
        <w:tc>
          <w:tcPr>
            <w:tcW w:w="1894" w:type="dxa"/>
            <w:tcBorders>
              <w:top w:val="single" w:sz="8" w:space="0" w:color="auto"/>
              <w:left w:val="double" w:sz="4" w:space="0" w:color="auto"/>
              <w:bottom w:val="double" w:sz="4" w:space="0" w:color="auto"/>
              <w:right w:val="double" w:sz="4" w:space="0" w:color="auto"/>
            </w:tcBorders>
            <w:tcMar>
              <w:left w:w="108" w:type="dxa"/>
              <w:right w:w="108" w:type="dxa"/>
            </w:tcMar>
            <w:vAlign w:val="center"/>
          </w:tcPr>
          <w:p w14:paraId="02426AC6" w14:textId="512F9EAE" w:rsidR="1D96130C" w:rsidRDefault="1D96130C" w:rsidP="00603157">
            <w:pPr>
              <w:jc w:val="center"/>
              <w:rPr>
                <w:rFonts w:eastAsia="Times New Roman"/>
                <w:noProof/>
                <w:sz w:val="20"/>
                <w:szCs w:val="20"/>
              </w:rPr>
            </w:pPr>
            <w:r w:rsidRPr="1D96130C">
              <w:rPr>
                <w:rFonts w:eastAsia="Times New Roman"/>
                <w:noProof/>
                <w:sz w:val="20"/>
                <w:szCs w:val="20"/>
              </w:rPr>
              <w:t xml:space="preserve"> Adjustment costs might be higher for researchers if they are not supported by university administrative departments.</w:t>
            </w:r>
          </w:p>
        </w:tc>
      </w:tr>
      <w:tr w:rsidR="1D96130C" w14:paraId="441AE583" w14:textId="77777777" w:rsidTr="1D96130C">
        <w:trPr>
          <w:trHeight w:val="465"/>
        </w:trPr>
        <w:tc>
          <w:tcPr>
            <w:tcW w:w="2366" w:type="dxa"/>
            <w:tcBorders>
              <w:top w:val="double" w:sz="4" w:space="0" w:color="auto"/>
              <w:left w:val="double" w:sz="4" w:space="0" w:color="auto"/>
              <w:bottom w:val="double" w:sz="4" w:space="0" w:color="auto"/>
              <w:right w:val="single" w:sz="8" w:space="0" w:color="auto"/>
            </w:tcBorders>
            <w:tcMar>
              <w:left w:w="108" w:type="dxa"/>
              <w:right w:w="108" w:type="dxa"/>
            </w:tcMar>
            <w:vAlign w:val="center"/>
          </w:tcPr>
          <w:p w14:paraId="1B2BCEFE" w14:textId="3FB6B382" w:rsidR="1D96130C" w:rsidRDefault="1D96130C" w:rsidP="00603157">
            <w:pPr>
              <w:ind w:left="35"/>
              <w:jc w:val="left"/>
              <w:rPr>
                <w:rFonts w:eastAsia="Times New Roman"/>
                <w:b/>
                <w:bCs/>
                <w:noProof/>
                <w:sz w:val="20"/>
                <w:szCs w:val="20"/>
              </w:rPr>
            </w:pPr>
            <w:r w:rsidRPr="1D96130C">
              <w:rPr>
                <w:rFonts w:eastAsia="Times New Roman"/>
                <w:b/>
                <w:bCs/>
                <w:noProof/>
                <w:sz w:val="20"/>
                <w:szCs w:val="20"/>
              </w:rPr>
              <w:t>Total administrative burdens***</w:t>
            </w:r>
          </w:p>
        </w:tc>
        <w:tc>
          <w:tcPr>
            <w:tcW w:w="2449" w:type="dxa"/>
            <w:tcBorders>
              <w:top w:val="double" w:sz="4" w:space="0" w:color="auto"/>
              <w:left w:val="single" w:sz="8" w:space="0" w:color="auto"/>
              <w:bottom w:val="double" w:sz="4" w:space="0" w:color="auto"/>
              <w:right w:val="single" w:sz="8" w:space="0" w:color="auto"/>
            </w:tcBorders>
            <w:tcMar>
              <w:left w:w="108" w:type="dxa"/>
              <w:right w:w="108" w:type="dxa"/>
            </w:tcMar>
            <w:vAlign w:val="center"/>
          </w:tcPr>
          <w:p w14:paraId="4C2D24EC" w14:textId="467AB9E9" w:rsidR="1D96130C" w:rsidRDefault="1D96130C" w:rsidP="00603157">
            <w:pPr>
              <w:jc w:val="center"/>
              <w:rPr>
                <w:rFonts w:eastAsia="Times New Roman"/>
                <w:b/>
                <w:bCs/>
                <w:noProof/>
                <w:sz w:val="20"/>
                <w:szCs w:val="20"/>
              </w:rPr>
            </w:pPr>
            <w:r w:rsidRPr="1D96130C">
              <w:rPr>
                <w:rFonts w:eastAsia="Times New Roman"/>
                <w:b/>
                <w:bCs/>
                <w:i/>
                <w:iCs/>
                <w:noProof/>
                <w:sz w:val="20"/>
                <w:szCs w:val="20"/>
              </w:rPr>
              <w:t xml:space="preserve"> </w:t>
            </w:r>
            <w:r w:rsidRPr="1D96130C">
              <w:rPr>
                <w:rFonts w:eastAsia="Times New Roman"/>
                <w:b/>
                <w:bCs/>
                <w:noProof/>
                <w:sz w:val="20"/>
                <w:szCs w:val="20"/>
              </w:rPr>
              <w:t>The total one-off administrative burden would be slightly positive, as the stakeholders would need to adapt to new processes at the start.</w:t>
            </w:r>
          </w:p>
        </w:tc>
        <w:tc>
          <w:tcPr>
            <w:tcW w:w="2890" w:type="dxa"/>
            <w:tcBorders>
              <w:top w:val="double" w:sz="4" w:space="0" w:color="auto"/>
              <w:left w:val="single" w:sz="8" w:space="0" w:color="auto"/>
              <w:bottom w:val="double" w:sz="4" w:space="0" w:color="auto"/>
              <w:right w:val="double" w:sz="4" w:space="0" w:color="auto"/>
            </w:tcBorders>
            <w:tcMar>
              <w:left w:w="108" w:type="dxa"/>
              <w:right w:w="108" w:type="dxa"/>
            </w:tcMar>
            <w:vAlign w:val="center"/>
          </w:tcPr>
          <w:p w14:paraId="589A1FFC" w14:textId="64973946" w:rsidR="1D96130C" w:rsidRDefault="1D96130C" w:rsidP="00603157">
            <w:pPr>
              <w:jc w:val="center"/>
              <w:rPr>
                <w:rFonts w:eastAsia="Times New Roman"/>
                <w:b/>
                <w:bCs/>
                <w:noProof/>
                <w:sz w:val="20"/>
                <w:szCs w:val="20"/>
              </w:rPr>
            </w:pPr>
            <w:r w:rsidRPr="1D96130C">
              <w:rPr>
                <w:rFonts w:eastAsia="Times New Roman"/>
                <w:b/>
                <w:bCs/>
                <w:noProof/>
                <w:sz w:val="20"/>
                <w:szCs w:val="20"/>
              </w:rPr>
              <w:t>The total recurring administrative burden would be significantly lowered (negative), due to a simplified funding and application process, which would save up to 10% of the current administrative costs.</w:t>
            </w:r>
          </w:p>
        </w:tc>
        <w:tc>
          <w:tcPr>
            <w:tcW w:w="1894" w:type="dxa"/>
            <w:tcBorders>
              <w:top w:val="double" w:sz="4" w:space="0" w:color="auto"/>
              <w:left w:val="double" w:sz="4" w:space="0" w:color="auto"/>
              <w:bottom w:val="double" w:sz="4" w:space="0" w:color="auto"/>
              <w:right w:val="double" w:sz="4" w:space="0" w:color="auto"/>
            </w:tcBorders>
            <w:tcMar>
              <w:left w:w="108" w:type="dxa"/>
              <w:right w:w="108" w:type="dxa"/>
            </w:tcMar>
            <w:vAlign w:val="center"/>
          </w:tcPr>
          <w:p w14:paraId="2146A963" w14:textId="111B5626" w:rsidR="1D96130C" w:rsidRDefault="1D96130C" w:rsidP="00603157">
            <w:pPr>
              <w:jc w:val="center"/>
              <w:rPr>
                <w:rFonts w:eastAsia="Times New Roman"/>
                <w:b/>
                <w:bCs/>
                <w:noProof/>
                <w:sz w:val="20"/>
                <w:szCs w:val="20"/>
              </w:rPr>
            </w:pPr>
            <w:r w:rsidRPr="1D96130C">
              <w:rPr>
                <w:rFonts w:eastAsia="Times New Roman"/>
                <w:b/>
                <w:bCs/>
                <w:noProof/>
                <w:sz w:val="20"/>
                <w:szCs w:val="20"/>
              </w:rPr>
              <w:t>The total administrative burden would be significantly lowered (negative), as the one-off increase linked to stakeholders’ adjustment would be lower than benefit of the reduction of recurring burdens.</w:t>
            </w:r>
          </w:p>
        </w:tc>
      </w:tr>
    </w:tbl>
    <w:p w14:paraId="073D4E5F" w14:textId="653889C7" w:rsidR="0AA200F7" w:rsidRDefault="0AA200F7" w:rsidP="00603157">
      <w:pPr>
        <w:ind w:left="-207"/>
        <w:rPr>
          <w:rFonts w:eastAsia="Times New Roman"/>
          <w:noProof/>
          <w:sz w:val="22"/>
          <w:szCs w:val="22"/>
          <w:lang w:val="en-IE"/>
        </w:rPr>
      </w:pPr>
    </w:p>
    <w:p w14:paraId="3F43088F" w14:textId="5331F76C" w:rsidR="0AA200F7" w:rsidRDefault="0AA200F7" w:rsidP="00603157">
      <w:pPr>
        <w:ind w:left="-567"/>
        <w:rPr>
          <w:rFonts w:eastAsia="Times New Roman"/>
          <w:i/>
          <w:iCs/>
          <w:noProof/>
          <w:sz w:val="20"/>
          <w:szCs w:val="20"/>
          <w:lang w:val="en-IE"/>
        </w:rPr>
      </w:pPr>
      <w:r w:rsidRPr="2A1AD167">
        <w:rPr>
          <w:rFonts w:eastAsia="Times New Roman"/>
          <w:i/>
          <w:iCs/>
          <w:noProof/>
          <w:sz w:val="20"/>
          <w:szCs w:val="20"/>
          <w:lang w:val="en-IE"/>
        </w:rPr>
        <w:t xml:space="preserve">(*) Net administrative burdens = INs – OUTs; </w:t>
      </w:r>
    </w:p>
    <w:p w14:paraId="259866F4" w14:textId="3477F3BE" w:rsidR="0AA200F7" w:rsidRDefault="0AA200F7" w:rsidP="00603157">
      <w:pPr>
        <w:ind w:left="-567"/>
        <w:rPr>
          <w:rFonts w:eastAsia="Times New Roman"/>
          <w:i/>
          <w:iCs/>
          <w:noProof/>
          <w:sz w:val="20"/>
          <w:szCs w:val="20"/>
          <w:lang w:val="en-IE"/>
        </w:rPr>
      </w:pPr>
      <w:r w:rsidRPr="2A1AD167">
        <w:rPr>
          <w:rFonts w:eastAsia="Times New Roman"/>
          <w:i/>
          <w:iCs/>
          <w:noProof/>
          <w:sz w:val="20"/>
          <w:szCs w:val="20"/>
          <w:lang w:val="en-IE"/>
        </w:rPr>
        <w:t xml:space="preserve">(**) Adjustment costs falling under the scope of the OIOO approach are the same as reported in Table 2 above. Non-annualised values; </w:t>
      </w:r>
    </w:p>
    <w:p w14:paraId="49A6AC02" w14:textId="41154386" w:rsidR="00A00F24" w:rsidRPr="00E81438" w:rsidRDefault="0AA200F7" w:rsidP="00603157">
      <w:pPr>
        <w:ind w:left="-567"/>
        <w:rPr>
          <w:rFonts w:eastAsia="Times New Roman"/>
          <w:i/>
          <w:iCs/>
          <w:noProof/>
          <w:sz w:val="20"/>
          <w:szCs w:val="20"/>
          <w:lang w:val="en-IE"/>
        </w:rPr>
      </w:pPr>
      <w:r w:rsidRPr="2A1AD167">
        <w:rPr>
          <w:rFonts w:eastAsia="Times New Roman"/>
          <w:i/>
          <w:iCs/>
          <w:noProof/>
          <w:sz w:val="20"/>
          <w:szCs w:val="20"/>
          <w:lang w:val="en-IE"/>
        </w:rPr>
        <w:t>(***) Total administrative burdens = Net administrative burdens for businesses + net administrative burdens for citizens.</w:t>
      </w:r>
      <w:r w:rsidR="00A00F24">
        <w:rPr>
          <w:rFonts w:eastAsia="Times New Roman"/>
          <w:b/>
          <w:bCs/>
          <w:smallCaps/>
          <w:noProof/>
          <w:sz w:val="32"/>
          <w:szCs w:val="32"/>
          <w:lang w:val="en-IE"/>
        </w:rPr>
        <w:br w:type="page"/>
      </w:r>
    </w:p>
    <w:p w14:paraId="0136B3E8" w14:textId="37ED0309" w:rsidR="0AA200F7" w:rsidRDefault="3786196C" w:rsidP="00603157">
      <w:pPr>
        <w:pStyle w:val="Heading2"/>
        <w:numPr>
          <w:ilvl w:val="0"/>
          <w:numId w:val="0"/>
        </w:numPr>
        <w:ind w:left="1200"/>
        <w:rPr>
          <w:b w:val="0"/>
          <w:smallCaps/>
          <w:noProof/>
          <w:sz w:val="32"/>
          <w:szCs w:val="32"/>
          <w:lang w:val="en-IE"/>
        </w:rPr>
      </w:pPr>
      <w:bookmarkStart w:id="279" w:name="_Toc203043660"/>
      <w:r w:rsidRPr="6CD386C1">
        <w:rPr>
          <w:noProof/>
          <w:lang w:val="en-IE"/>
        </w:rPr>
        <w:t>Annex</w:t>
      </w:r>
      <w:r w:rsidR="004F3A12">
        <w:rPr>
          <w:noProof/>
          <w:lang w:val="en-IE"/>
        </w:rPr>
        <w:t xml:space="preserve"> </w:t>
      </w:r>
      <w:r w:rsidR="27FF7FE8" w:rsidRPr="6CD386C1">
        <w:rPr>
          <w:noProof/>
          <w:lang w:val="en-IE"/>
        </w:rPr>
        <w:t>4</w:t>
      </w:r>
      <w:r w:rsidR="000B4CC3">
        <w:rPr>
          <w:noProof/>
          <w:lang w:val="en-IE"/>
        </w:rPr>
        <w:t>:</w:t>
      </w:r>
      <w:r w:rsidRPr="6CD386C1">
        <w:rPr>
          <w:noProof/>
          <w:lang w:val="en-IE"/>
        </w:rPr>
        <w:t xml:space="preserve"> </w:t>
      </w:r>
      <w:r w:rsidR="008D4F9C">
        <w:rPr>
          <w:noProof/>
          <w:lang w:val="en-IE"/>
        </w:rPr>
        <w:t>Analytical Methods</w:t>
      </w:r>
      <w:bookmarkEnd w:id="279"/>
    </w:p>
    <w:p w14:paraId="1F19307D" w14:textId="7D67914A" w:rsidR="0AA200F7" w:rsidRPr="00E43C36" w:rsidRDefault="0AA200F7" w:rsidP="204CA1C3">
      <w:pPr>
        <w:rPr>
          <w:rFonts w:eastAsia="Times New Roman"/>
          <w:b/>
          <w:bCs/>
          <w:noProof/>
          <w:lang w:val="en-IE"/>
        </w:rPr>
      </w:pPr>
      <w:r w:rsidRPr="00E43C36">
        <w:rPr>
          <w:rFonts w:eastAsia="Times New Roman"/>
          <w:b/>
          <w:bCs/>
          <w:noProof/>
          <w:lang w:val="en-IE"/>
        </w:rPr>
        <w:t xml:space="preserve"> </w:t>
      </w:r>
      <w:r w:rsidR="7457D3A6" w:rsidRPr="00E43C36">
        <w:rPr>
          <w:rFonts w:eastAsia="Times New Roman"/>
          <w:b/>
          <w:bCs/>
          <w:noProof/>
          <w:lang w:val="en-IE"/>
        </w:rPr>
        <w:t>RHOMOLO model</w:t>
      </w:r>
    </w:p>
    <w:p w14:paraId="1A53B77E" w14:textId="77777777" w:rsidR="00D1567B" w:rsidRPr="00B03DD3" w:rsidRDefault="00D1567B" w:rsidP="00603157">
      <w:pPr>
        <w:spacing w:before="0" w:after="160"/>
        <w:rPr>
          <w:rFonts w:eastAsia="Calibri"/>
          <w:noProof/>
        </w:rPr>
      </w:pPr>
      <w:r w:rsidRPr="00B03DD3">
        <w:rPr>
          <w:rFonts w:eastAsia="Calibri"/>
          <w:noProof/>
        </w:rPr>
        <w:t>The modelling analysis based on three scenarios for the future of the Competitiveness Fund is carried out with the RHOMOLO model (Barbero et al., 2024).</w:t>
      </w:r>
    </w:p>
    <w:p w14:paraId="18B31E6A" w14:textId="77777777" w:rsidR="00D1567B" w:rsidRPr="00B03DD3" w:rsidRDefault="00D1567B" w:rsidP="00603157">
      <w:pPr>
        <w:spacing w:before="0" w:after="160"/>
        <w:rPr>
          <w:rFonts w:eastAsia="Calibri"/>
          <w:noProof/>
        </w:rPr>
      </w:pPr>
      <w:r w:rsidRPr="150225E4">
        <w:rPr>
          <w:rFonts w:eastAsia="Calibri"/>
          <w:noProof/>
        </w:rPr>
        <w:t>Option A</w:t>
      </w:r>
      <w:r w:rsidRPr="00B03DD3">
        <w:rPr>
          <w:rFonts w:eastAsia="Calibri"/>
          <w:noProof/>
        </w:rPr>
        <w:t xml:space="preserve"> is assumed to be a continuation of the programmes as they have been implemented in the current programming period (status quo). In the complete absence of any information regarding the budget assigned to the Funds for the next programming period, and regarding the geographical and sectoral distribution of the investments (nor on the nature of the investments themselves), the analysis presented here builds on the most recent impact assessment of InvestEU carried out with the RHOMOLO model (European Commission, 2024; Asdrubali et al., 2024). </w:t>
      </w:r>
    </w:p>
    <w:p w14:paraId="2AA2807B" w14:textId="0B456150" w:rsidR="00D1567B" w:rsidRPr="00B03DD3" w:rsidRDefault="00D1567B" w:rsidP="00603157">
      <w:pPr>
        <w:spacing w:before="0" w:after="160"/>
        <w:rPr>
          <w:rFonts w:eastAsia="Calibri"/>
          <w:noProof/>
        </w:rPr>
      </w:pPr>
      <w:r w:rsidRPr="00B03DD3">
        <w:rPr>
          <w:rFonts w:eastAsia="Calibri"/>
          <w:noProof/>
        </w:rPr>
        <w:t xml:space="preserve">Therefore, the policy interventions are introduced into the model by reducing the user cost of capital in order to stimulate private investment. This leads to a temporary accumulation of the private capital stock. Five supply-side shocks are also introduced to simulate the structural impact of investment. The financial flows used to finance the operations are also introduced to mimic the repayment of the loans in each region. </w:t>
      </w:r>
    </w:p>
    <w:p w14:paraId="3727BC76" w14:textId="678BB45F" w:rsidR="00D1567B" w:rsidRPr="00B03DD3" w:rsidRDefault="00D1567B" w:rsidP="00603157">
      <w:pPr>
        <w:spacing w:before="0" w:after="160"/>
        <w:rPr>
          <w:rFonts w:eastAsia="Calibri"/>
          <w:noProof/>
        </w:rPr>
      </w:pPr>
      <w:r w:rsidRPr="00B03DD3">
        <w:rPr>
          <w:rFonts w:eastAsia="Calibri"/>
          <w:noProof/>
        </w:rPr>
        <w:t xml:space="preserve">The InvestEU programme is characterised by a private investment multiplier of 14 (every euro of EU guarantee generates 14 additional euro of private investment in the economy). Assuming such a high multiplier for a </w:t>
      </w:r>
      <w:r w:rsidRPr="2FE449BA">
        <w:rPr>
          <w:rFonts w:eastAsia="Calibri"/>
          <w:noProof/>
        </w:rPr>
        <w:t>s</w:t>
      </w:r>
      <w:r w:rsidRPr="00B03DD3">
        <w:rPr>
          <w:rFonts w:eastAsia="Calibri"/>
          <w:noProof/>
        </w:rPr>
        <w:t xml:space="preserve">cenario mimicking the </w:t>
      </w:r>
      <w:r w:rsidRPr="00294B66">
        <w:rPr>
          <w:rFonts w:eastAsia="Calibri"/>
          <w:noProof/>
        </w:rPr>
        <w:t xml:space="preserve">impact of </w:t>
      </w:r>
      <w:r w:rsidRPr="00F370FB">
        <w:rPr>
          <w:rFonts w:eastAsia="Calibri"/>
          <w:noProof/>
        </w:rPr>
        <w:t>1</w:t>
      </w:r>
      <w:r w:rsidR="00294B66" w:rsidRPr="00F370FB">
        <w:rPr>
          <w:rFonts w:eastAsia="Calibri"/>
          <w:noProof/>
        </w:rPr>
        <w:t>4</w:t>
      </w:r>
      <w:r w:rsidRPr="00F370FB">
        <w:rPr>
          <w:rFonts w:eastAsia="Calibri"/>
          <w:noProof/>
        </w:rPr>
        <w:t xml:space="preserve"> different funds</w:t>
      </w:r>
      <w:r w:rsidRPr="00294B66">
        <w:rPr>
          <w:rFonts w:eastAsia="Calibri"/>
          <w:noProof/>
        </w:rPr>
        <w:t xml:space="preserve"> would</w:t>
      </w:r>
      <w:r w:rsidRPr="00B03DD3">
        <w:rPr>
          <w:rFonts w:eastAsia="Calibri"/>
          <w:noProof/>
        </w:rPr>
        <w:t xml:space="preserve"> be unrealistic, so a lower multiplier of 4 is assumed in </w:t>
      </w:r>
      <w:r w:rsidRPr="6B70718B">
        <w:rPr>
          <w:rFonts w:eastAsia="Calibri"/>
          <w:noProof/>
        </w:rPr>
        <w:t>Option A.</w:t>
      </w:r>
      <w:r w:rsidRPr="00B03DD3">
        <w:rPr>
          <w:rFonts w:eastAsia="Calibri"/>
          <w:noProof/>
        </w:rPr>
        <w:t xml:space="preserve"> The funds are deployed over eight </w:t>
      </w:r>
      <w:r w:rsidR="00814220" w:rsidRPr="00B03DD3">
        <w:rPr>
          <w:rFonts w:eastAsia="Calibri"/>
          <w:noProof/>
        </w:rPr>
        <w:t>years,</w:t>
      </w:r>
      <w:r w:rsidRPr="00B03DD3">
        <w:rPr>
          <w:rFonts w:eastAsia="Calibri"/>
          <w:noProof/>
        </w:rPr>
        <w:t xml:space="preserve"> and we assume that the bulk of the funds are deployed between years 5, 6 and 7. The simulation period is 20 years in order to capture the legacy (long-term) effects of both the supply-side effects of the policy and the increase in the private capital stock due to the investments made as a result of the policy.</w:t>
      </w:r>
    </w:p>
    <w:p w14:paraId="0A75C32D" w14:textId="77777777" w:rsidR="00D1567B" w:rsidRPr="00B03DD3" w:rsidRDefault="00D1567B" w:rsidP="00603157">
      <w:pPr>
        <w:spacing w:before="0" w:after="160"/>
        <w:rPr>
          <w:rFonts w:eastAsia="Calibri"/>
          <w:noProof/>
        </w:rPr>
      </w:pPr>
      <w:r w:rsidRPr="00B03DD3">
        <w:rPr>
          <w:rFonts w:eastAsia="Calibri"/>
          <w:noProof/>
        </w:rPr>
        <w:t xml:space="preserve">These specific choices are not critical to the results of the analysis, as it is the differences between the </w:t>
      </w:r>
      <w:r w:rsidRPr="58BF9D30">
        <w:rPr>
          <w:rFonts w:eastAsia="Calibri"/>
          <w:noProof/>
        </w:rPr>
        <w:t xml:space="preserve">Options </w:t>
      </w:r>
      <w:r w:rsidRPr="00B03DD3">
        <w:rPr>
          <w:rFonts w:eastAsia="Calibri"/>
          <w:noProof/>
        </w:rPr>
        <w:t xml:space="preserve">that matter, rather than the specific numerical assumptions of what is essentially a baseline against which the results of </w:t>
      </w:r>
      <w:r w:rsidRPr="60816240">
        <w:rPr>
          <w:rFonts w:eastAsia="Calibri"/>
          <w:noProof/>
        </w:rPr>
        <w:t>Option B and C</w:t>
      </w:r>
      <w:r w:rsidRPr="00B03DD3">
        <w:rPr>
          <w:rFonts w:eastAsia="Calibri"/>
          <w:noProof/>
        </w:rPr>
        <w:t xml:space="preserve"> are compared.</w:t>
      </w:r>
    </w:p>
    <w:p w14:paraId="62CD53B0" w14:textId="77777777" w:rsidR="00D1567B" w:rsidRPr="00B03DD3" w:rsidRDefault="00D1567B" w:rsidP="00603157">
      <w:pPr>
        <w:spacing w:before="0" w:after="160"/>
        <w:rPr>
          <w:rFonts w:eastAsia="Calibri"/>
          <w:noProof/>
        </w:rPr>
      </w:pPr>
      <w:r w:rsidRPr="00B03DD3">
        <w:rPr>
          <w:rFonts w:eastAsia="Calibri"/>
          <w:noProof/>
        </w:rPr>
        <w:t xml:space="preserve">This part of the modelling analysis does not differ between </w:t>
      </w:r>
      <w:r w:rsidRPr="60816240">
        <w:rPr>
          <w:rFonts w:eastAsia="Calibri"/>
          <w:noProof/>
        </w:rPr>
        <w:t xml:space="preserve">Options </w:t>
      </w:r>
      <w:r w:rsidRPr="00B03DD3">
        <w:rPr>
          <w:rFonts w:eastAsia="Calibri"/>
          <w:noProof/>
        </w:rPr>
        <w:t xml:space="preserve">and provides the basis for assessing the impact of the different assumptions behind the three </w:t>
      </w:r>
      <w:r w:rsidRPr="25A3F30B">
        <w:rPr>
          <w:rFonts w:eastAsia="Calibri"/>
          <w:noProof/>
        </w:rPr>
        <w:t>Options</w:t>
      </w:r>
      <w:r w:rsidRPr="00B03DD3">
        <w:rPr>
          <w:rFonts w:eastAsia="Calibri"/>
          <w:noProof/>
        </w:rPr>
        <w:t xml:space="preserve">. </w:t>
      </w:r>
    </w:p>
    <w:p w14:paraId="7A106592" w14:textId="557F5F83" w:rsidR="00D1567B" w:rsidRDefault="00D1567B" w:rsidP="00603157">
      <w:pPr>
        <w:spacing w:before="0" w:after="160"/>
        <w:rPr>
          <w:rFonts w:eastAsia="Calibri"/>
          <w:noProof/>
        </w:rPr>
      </w:pPr>
      <w:r w:rsidRPr="25A3F30B">
        <w:rPr>
          <w:rFonts w:eastAsia="Calibri"/>
          <w:noProof/>
        </w:rPr>
        <w:t xml:space="preserve">On this basis, in the modelling analysis carried out with the RHOMOLO model </w:t>
      </w:r>
      <w:r w:rsidRPr="32F77195">
        <w:rPr>
          <w:rFonts w:eastAsia="Calibri"/>
          <w:noProof/>
        </w:rPr>
        <w:t xml:space="preserve">it is </w:t>
      </w:r>
      <w:r w:rsidRPr="24EEC53B">
        <w:rPr>
          <w:rFonts w:eastAsia="Calibri"/>
          <w:noProof/>
        </w:rPr>
        <w:t>assume</w:t>
      </w:r>
      <w:r w:rsidR="66DE126E" w:rsidRPr="24EEC53B">
        <w:rPr>
          <w:rFonts w:eastAsia="Calibri"/>
          <w:noProof/>
        </w:rPr>
        <w:t>d</w:t>
      </w:r>
      <w:r w:rsidRPr="25A3F30B">
        <w:rPr>
          <w:rFonts w:eastAsia="Calibri"/>
          <w:noProof/>
        </w:rPr>
        <w:t xml:space="preserve"> that in </w:t>
      </w:r>
      <w:r w:rsidRPr="32F77195">
        <w:rPr>
          <w:rFonts w:eastAsia="Calibri"/>
          <w:noProof/>
        </w:rPr>
        <w:t>Option B</w:t>
      </w:r>
      <w:r w:rsidRPr="25A3F30B">
        <w:rPr>
          <w:rFonts w:eastAsia="Calibri"/>
          <w:noProof/>
        </w:rPr>
        <w:t xml:space="preserve"> 25% more funds are invested thanks to a higher private investment multiplier (which increases from 4 in </w:t>
      </w:r>
      <w:r w:rsidRPr="32F77195">
        <w:rPr>
          <w:rFonts w:eastAsia="Calibri"/>
          <w:noProof/>
        </w:rPr>
        <w:t>Option A</w:t>
      </w:r>
      <w:r w:rsidRPr="25A3F30B">
        <w:rPr>
          <w:rFonts w:eastAsia="Calibri"/>
          <w:noProof/>
        </w:rPr>
        <w:t xml:space="preserve"> to 5, due to the reduced fragmentation brought by this </w:t>
      </w:r>
      <w:r w:rsidRPr="32F77195">
        <w:rPr>
          <w:rFonts w:eastAsia="Calibri"/>
          <w:noProof/>
        </w:rPr>
        <w:t>Option</w:t>
      </w:r>
      <w:r w:rsidRPr="25A3F30B">
        <w:rPr>
          <w:rFonts w:eastAsia="Calibri"/>
          <w:noProof/>
        </w:rPr>
        <w:t xml:space="preserve">) and that the interventions benefit from an increased supply-side effect of 5% compared to </w:t>
      </w:r>
      <w:r w:rsidRPr="179DE056">
        <w:rPr>
          <w:rFonts w:eastAsia="Calibri"/>
          <w:noProof/>
        </w:rPr>
        <w:t>Option A,</w:t>
      </w:r>
      <w:r w:rsidRPr="25A3F30B">
        <w:rPr>
          <w:rFonts w:eastAsia="Calibri"/>
          <w:noProof/>
        </w:rPr>
        <w:t xml:space="preserve"> as a result of the increased in simplification, which materialises gradually over the investment implementation period.</w:t>
      </w:r>
    </w:p>
    <w:p w14:paraId="62157BB0" w14:textId="77777777" w:rsidR="00D1567B" w:rsidRDefault="00D1567B" w:rsidP="00603157">
      <w:pPr>
        <w:spacing w:before="0" w:after="160"/>
        <w:rPr>
          <w:noProof/>
        </w:rPr>
      </w:pPr>
      <w:r w:rsidRPr="25A3F30B">
        <w:rPr>
          <w:rFonts w:eastAsia="Calibri"/>
          <w:noProof/>
        </w:rPr>
        <w:t xml:space="preserve">In </w:t>
      </w:r>
      <w:r w:rsidRPr="179DE056">
        <w:rPr>
          <w:rFonts w:eastAsia="Calibri"/>
          <w:noProof/>
        </w:rPr>
        <w:t>Option C,</w:t>
      </w:r>
      <w:r w:rsidRPr="25A3F30B">
        <w:rPr>
          <w:rFonts w:eastAsia="Calibri"/>
          <w:noProof/>
        </w:rPr>
        <w:t xml:space="preserve"> we assume that the private investment multiplier is 6 (essentially, the policy shock increases by 50% in monetary terms, again as fragmentation will be lower in this </w:t>
      </w:r>
      <w:r w:rsidRPr="179DE056">
        <w:rPr>
          <w:rFonts w:eastAsia="Calibri"/>
          <w:noProof/>
        </w:rPr>
        <w:t>Option</w:t>
      </w:r>
      <w:r w:rsidRPr="25A3F30B">
        <w:rPr>
          <w:rFonts w:eastAsia="Calibri"/>
          <w:noProof/>
        </w:rPr>
        <w:t xml:space="preserve">), that the interventions benefit from an increased supply-side effect of 10% compared to </w:t>
      </w:r>
      <w:r w:rsidRPr="179DE056">
        <w:rPr>
          <w:rFonts w:eastAsia="Calibri"/>
          <w:noProof/>
        </w:rPr>
        <w:t>Option A,</w:t>
      </w:r>
      <w:r w:rsidRPr="25A3F30B">
        <w:rPr>
          <w:rFonts w:eastAsia="Calibri"/>
          <w:noProof/>
        </w:rPr>
        <w:t xml:space="preserve"> which materialises gradually over the investment implementation period, and that the investments are mostly deployed in years 3 to 5 instead of 5 to 7 (as </w:t>
      </w:r>
      <w:r w:rsidRPr="77C4A60B">
        <w:rPr>
          <w:rFonts w:eastAsia="Calibri"/>
          <w:noProof/>
        </w:rPr>
        <w:t>in Option</w:t>
      </w:r>
      <w:r w:rsidRPr="179DE056">
        <w:rPr>
          <w:rFonts w:eastAsia="Calibri"/>
          <w:noProof/>
        </w:rPr>
        <w:t xml:space="preserve"> A</w:t>
      </w:r>
      <w:r w:rsidRPr="25A3F30B">
        <w:rPr>
          <w:rFonts w:eastAsia="Calibri"/>
          <w:noProof/>
        </w:rPr>
        <w:t xml:space="preserve"> and </w:t>
      </w:r>
      <w:r w:rsidRPr="179DE056">
        <w:rPr>
          <w:rFonts w:eastAsia="Calibri"/>
          <w:noProof/>
        </w:rPr>
        <w:t>B</w:t>
      </w:r>
      <w:r w:rsidRPr="25A3F30B">
        <w:rPr>
          <w:rFonts w:eastAsia="Calibri"/>
          <w:noProof/>
        </w:rPr>
        <w:t xml:space="preserve">)) to reflect the faster deployment of the interventions of the single Competitiveness Fund that could be expected in this </w:t>
      </w:r>
      <w:r w:rsidRPr="77C4A60B">
        <w:rPr>
          <w:rFonts w:eastAsia="Calibri"/>
          <w:noProof/>
        </w:rPr>
        <w:t>Option</w:t>
      </w:r>
      <w:r w:rsidRPr="25A3F30B">
        <w:rPr>
          <w:rFonts w:eastAsia="Calibri"/>
          <w:noProof/>
        </w:rPr>
        <w:t>.</w:t>
      </w:r>
    </w:p>
    <w:p w14:paraId="6D36ED45" w14:textId="77777777" w:rsidR="00D1567B" w:rsidRDefault="00D1567B" w:rsidP="00603157">
      <w:pPr>
        <w:spacing w:before="0" w:after="160"/>
        <w:rPr>
          <w:rFonts w:eastAsia="Calibri"/>
          <w:noProof/>
        </w:rPr>
      </w:pPr>
      <w:r w:rsidRPr="721705C5">
        <w:rPr>
          <w:rFonts w:eastAsia="Calibri"/>
          <w:noProof/>
        </w:rPr>
        <w:t xml:space="preserve">The modelling results presented here are expressed as differences from the values of selected macroeconomic variables obtained with </w:t>
      </w:r>
      <w:r w:rsidRPr="58BF9D30">
        <w:rPr>
          <w:rFonts w:eastAsia="Calibri"/>
          <w:noProof/>
        </w:rPr>
        <w:t>Option A,</w:t>
      </w:r>
      <w:r w:rsidRPr="721705C5">
        <w:rPr>
          <w:rFonts w:eastAsia="Calibri"/>
          <w:noProof/>
        </w:rPr>
        <w:t xml:space="preserve"> namely the cumulative 15-year GDP multiplier, employment, and EU exports to the rest of the world. The GDP multiplier is a figure that can be interpreted as the number of euros of GDP generated over a given period for each euro spent on the policy. For example, a 15-year multiplier of 3 means that 15 years after the start of the policy, GDP has increased by 3 euro for every euro invested in the policy. </w:t>
      </w:r>
      <w:r w:rsidRPr="58BF9D30">
        <w:rPr>
          <w:rFonts w:eastAsia="Calibri"/>
          <w:noProof/>
        </w:rPr>
        <w:t>As Option A</w:t>
      </w:r>
      <w:r w:rsidRPr="721705C5">
        <w:rPr>
          <w:rFonts w:eastAsia="Calibri"/>
          <w:noProof/>
        </w:rPr>
        <w:t xml:space="preserve"> represents the status quo, its specific GDP multiplier is not relevant and may correspond to the multiplier of one of the current EU policy programmes. </w:t>
      </w:r>
    </w:p>
    <w:p w14:paraId="6F396434" w14:textId="77777777" w:rsidR="00D1567B" w:rsidRDefault="00D1567B" w:rsidP="00603157">
      <w:pPr>
        <w:spacing w:before="0" w:after="160"/>
        <w:rPr>
          <w:noProof/>
        </w:rPr>
      </w:pPr>
      <w:r w:rsidRPr="721705C5">
        <w:rPr>
          <w:rFonts w:eastAsia="Calibri"/>
          <w:noProof/>
        </w:rPr>
        <w:t xml:space="preserve">The 15-year cumulative GDP multiplier of </w:t>
      </w:r>
      <w:r w:rsidRPr="0D81FB55">
        <w:rPr>
          <w:rFonts w:eastAsia="Calibri"/>
          <w:noProof/>
        </w:rPr>
        <w:t>Option B</w:t>
      </w:r>
      <w:r w:rsidRPr="721705C5">
        <w:rPr>
          <w:rFonts w:eastAsia="Calibri"/>
          <w:noProof/>
        </w:rPr>
        <w:t xml:space="preserve"> is 1.51% higher than that of </w:t>
      </w:r>
      <w:r w:rsidRPr="0D81FB55">
        <w:rPr>
          <w:rFonts w:eastAsia="Calibri"/>
          <w:noProof/>
        </w:rPr>
        <w:t>Option A.</w:t>
      </w:r>
      <w:r w:rsidRPr="721705C5">
        <w:rPr>
          <w:rFonts w:eastAsia="Calibri"/>
          <w:noProof/>
        </w:rPr>
        <w:t xml:space="preserve"> The multiplier is 1.46% higher due to the 5% additional supply-side effects and 0.05% higher due to the higher volume of investment (higher private investment multiplier). The employment impact of </w:t>
      </w:r>
      <w:r w:rsidRPr="0D81FB55">
        <w:rPr>
          <w:rFonts w:eastAsia="Calibri"/>
          <w:noProof/>
        </w:rPr>
        <w:t>Option B</w:t>
      </w:r>
      <w:r w:rsidRPr="721705C5">
        <w:rPr>
          <w:rFonts w:eastAsia="Calibri"/>
          <w:noProof/>
        </w:rPr>
        <w:t xml:space="preserve"> in year 15 is 28% higher than in </w:t>
      </w:r>
      <w:r w:rsidRPr="7FA7C0F7">
        <w:rPr>
          <w:rFonts w:eastAsia="Calibri"/>
          <w:noProof/>
        </w:rPr>
        <w:t>Option</w:t>
      </w:r>
      <w:r w:rsidRPr="0D81FB55">
        <w:rPr>
          <w:rFonts w:eastAsia="Calibri"/>
          <w:noProof/>
        </w:rPr>
        <w:t xml:space="preserve"> A</w:t>
      </w:r>
      <w:r w:rsidRPr="721705C5">
        <w:rPr>
          <w:rFonts w:eastAsia="Calibri"/>
          <w:noProof/>
        </w:rPr>
        <w:t xml:space="preserve"> (the fact that the amount of funds is increased by 25% leads to a difference of +24.45% – the rest is due to the additional supply-side effects). The impact on EU exports to the rest of the world behaves similarly to the one on employment: it is 30.48% higher in </w:t>
      </w:r>
      <w:r w:rsidRPr="0D81FB55">
        <w:rPr>
          <w:rFonts w:eastAsia="Calibri"/>
          <w:noProof/>
        </w:rPr>
        <w:t>Option B</w:t>
      </w:r>
      <w:r w:rsidRPr="721705C5">
        <w:rPr>
          <w:rFonts w:eastAsia="Calibri"/>
          <w:noProof/>
        </w:rPr>
        <w:t xml:space="preserve"> compared to </w:t>
      </w:r>
      <w:r w:rsidRPr="0D81FB55">
        <w:rPr>
          <w:rFonts w:eastAsia="Calibri"/>
          <w:noProof/>
        </w:rPr>
        <w:t>Option A,</w:t>
      </w:r>
      <w:r w:rsidRPr="721705C5">
        <w:rPr>
          <w:rFonts w:eastAsia="Calibri"/>
          <w:noProof/>
        </w:rPr>
        <w:t xml:space="preserve"> with a difference of +25.56% solely due to the higher private investment multiplier.</w:t>
      </w:r>
    </w:p>
    <w:p w14:paraId="07C60DB7" w14:textId="77777777" w:rsidR="00D1567B" w:rsidRDefault="00D1567B" w:rsidP="00603157">
      <w:pPr>
        <w:spacing w:before="0" w:after="160"/>
        <w:rPr>
          <w:noProof/>
        </w:rPr>
      </w:pPr>
      <w:r w:rsidRPr="721705C5">
        <w:rPr>
          <w:rFonts w:eastAsia="Calibri"/>
          <w:noProof/>
        </w:rPr>
        <w:t xml:space="preserve">The 15-year cumulative GDP multiplier of </w:t>
      </w:r>
      <w:r w:rsidRPr="0D81FB55">
        <w:rPr>
          <w:rFonts w:eastAsia="Calibri"/>
          <w:noProof/>
        </w:rPr>
        <w:t xml:space="preserve">Option </w:t>
      </w:r>
      <w:r w:rsidRPr="6812BE78">
        <w:rPr>
          <w:rFonts w:eastAsia="Calibri"/>
          <w:noProof/>
        </w:rPr>
        <w:t>C</w:t>
      </w:r>
      <w:r w:rsidRPr="721705C5">
        <w:rPr>
          <w:rFonts w:eastAsia="Calibri"/>
          <w:noProof/>
        </w:rPr>
        <w:t xml:space="preserve"> is 15.74% higher than that of </w:t>
      </w:r>
      <w:r w:rsidRPr="6812BE78">
        <w:rPr>
          <w:rFonts w:eastAsia="Calibri"/>
          <w:noProof/>
        </w:rPr>
        <w:t>Option A.</w:t>
      </w:r>
      <w:r w:rsidRPr="721705C5">
        <w:rPr>
          <w:rFonts w:eastAsia="Calibri"/>
          <w:noProof/>
        </w:rPr>
        <w:t xml:space="preserve"> There are three differences between </w:t>
      </w:r>
      <w:r w:rsidRPr="6812BE78">
        <w:rPr>
          <w:rFonts w:eastAsia="Calibri"/>
          <w:noProof/>
        </w:rPr>
        <w:t>Option A</w:t>
      </w:r>
      <w:r w:rsidRPr="721705C5">
        <w:rPr>
          <w:rFonts w:eastAsia="Calibri"/>
          <w:noProof/>
        </w:rPr>
        <w:t xml:space="preserve"> and </w:t>
      </w:r>
      <w:r w:rsidRPr="6812BE78">
        <w:rPr>
          <w:rFonts w:eastAsia="Calibri"/>
          <w:noProof/>
        </w:rPr>
        <w:t>C,</w:t>
      </w:r>
      <w:r w:rsidRPr="721705C5">
        <w:rPr>
          <w:rFonts w:eastAsia="Calibri"/>
          <w:noProof/>
        </w:rPr>
        <w:t xml:space="preserve"> and the difference in the multiplier can be decomposed according to the three channels: the multiplier is 3.79% higher due to the 10% additional supply-side effects; it is 0.07% lower due to the larger volume of investment (higher private investment multiplier); and it is 12.02% higher due to the frontloading of investment. </w:t>
      </w:r>
    </w:p>
    <w:p w14:paraId="5408CB78" w14:textId="77777777" w:rsidR="00D1567B" w:rsidRDefault="00D1567B" w:rsidP="00603157">
      <w:pPr>
        <w:spacing w:before="0" w:after="160"/>
        <w:rPr>
          <w:noProof/>
        </w:rPr>
      </w:pPr>
      <w:r w:rsidRPr="721705C5">
        <w:rPr>
          <w:rFonts w:eastAsia="Calibri"/>
          <w:noProof/>
        </w:rPr>
        <w:t xml:space="preserve">The employment impact in </w:t>
      </w:r>
      <w:r w:rsidRPr="6812BE78">
        <w:rPr>
          <w:rFonts w:eastAsia="Calibri"/>
          <w:noProof/>
        </w:rPr>
        <w:t>Option C</w:t>
      </w:r>
      <w:r w:rsidRPr="721705C5">
        <w:rPr>
          <w:rFonts w:eastAsia="Calibri"/>
          <w:noProof/>
        </w:rPr>
        <w:t xml:space="preserve"> is 53.58% higher than in </w:t>
      </w:r>
      <w:r w:rsidRPr="6812BE78">
        <w:rPr>
          <w:rFonts w:eastAsia="Calibri"/>
          <w:noProof/>
        </w:rPr>
        <w:t>Option A,</w:t>
      </w:r>
      <w:r w:rsidRPr="721705C5">
        <w:rPr>
          <w:rFonts w:eastAsia="Calibri"/>
          <w:noProof/>
        </w:rPr>
        <w:t xml:space="preserve"> once again mainly due to the larger volume of investment. The higher private investment multiplier is responsible for a difference of +48.13% compared to </w:t>
      </w:r>
      <w:r w:rsidRPr="50200399">
        <w:rPr>
          <w:rFonts w:eastAsia="Calibri"/>
          <w:noProof/>
        </w:rPr>
        <w:t>Option A</w:t>
      </w:r>
      <w:r w:rsidRPr="6812BE78">
        <w:rPr>
          <w:rFonts w:eastAsia="Calibri"/>
          <w:noProof/>
        </w:rPr>
        <w:t>,</w:t>
      </w:r>
      <w:r w:rsidRPr="721705C5">
        <w:rPr>
          <w:rFonts w:eastAsia="Calibri"/>
          <w:noProof/>
        </w:rPr>
        <w:t xml:space="preserve"> and the additional supply-side effects for +5.45% (the different time profile has only a negligible negative impact on the difference of -0.72%, as the peak effect is reached earlier and the decay starts earlier.). As above, the impact on EU exports to the rest of the world is similar to that on employment. </w:t>
      </w:r>
      <w:r w:rsidRPr="50200399">
        <w:rPr>
          <w:rFonts w:eastAsia="Calibri"/>
          <w:noProof/>
        </w:rPr>
        <w:t>In Option C,</w:t>
      </w:r>
      <w:r w:rsidRPr="721705C5">
        <w:rPr>
          <w:rFonts w:eastAsia="Calibri"/>
          <w:noProof/>
        </w:rPr>
        <w:t xml:space="preserve"> the difference with </w:t>
      </w:r>
      <w:r w:rsidRPr="50200399">
        <w:rPr>
          <w:rFonts w:eastAsia="Calibri"/>
          <w:noProof/>
        </w:rPr>
        <w:t>Option A</w:t>
      </w:r>
      <w:r w:rsidRPr="721705C5">
        <w:rPr>
          <w:rFonts w:eastAsia="Calibri"/>
          <w:noProof/>
        </w:rPr>
        <w:t xml:space="preserve"> is equal to +57.53% (+50.43% due to the higher private investment multiplier; -1.02% due to the different time profile; and +7.10% due to the larger supply-side effects).</w:t>
      </w:r>
    </w:p>
    <w:p w14:paraId="3946A51C" w14:textId="77777777" w:rsidR="00603157" w:rsidRDefault="00D1567B" w:rsidP="00603157">
      <w:pPr>
        <w:spacing w:before="0" w:after="160"/>
        <w:rPr>
          <w:rFonts w:eastAsia="Calibri"/>
          <w:noProof/>
        </w:rPr>
      </w:pPr>
      <w:r w:rsidRPr="721705C5">
        <w:rPr>
          <w:rFonts w:eastAsia="Calibri"/>
          <w:noProof/>
        </w:rPr>
        <w:t>Thus, larger investment volumes have a negligible impact on the differences in cumulative GDP multipliers between the scenarios (while they would have an impact in the absolute GDP changes). On the other hand, larger supply-side effects consistently lead to higher GDP multipliers. Finally, frontloading of investments means that the GDP benefits of the interventions start to materialise earlier, leading to larger cumulative GDP gains over time. As for the impact on variables such as employment and EU exports to the rest of the world, larger volumes of investments lead to substantially higher impacts.</w:t>
      </w:r>
    </w:p>
    <w:p w14:paraId="773C51EA" w14:textId="77777777" w:rsidR="00D1567B" w:rsidRPr="00B03DD3" w:rsidRDefault="00D1567B" w:rsidP="00603157">
      <w:pPr>
        <w:spacing w:before="0" w:after="160"/>
        <w:rPr>
          <w:rFonts w:eastAsia="Calibri"/>
          <w:noProof/>
        </w:rPr>
      </w:pPr>
      <w:r w:rsidRPr="00B03DD3">
        <w:rPr>
          <w:rFonts w:eastAsia="Calibri"/>
          <w:noProof/>
        </w:rPr>
        <w:t xml:space="preserve">Figure 1 shows the % differences in the cumulative policy shock over the 8 years in which the investments are deployed. By the end of the deployment period (year 8), the amount of investment deployed in </w:t>
      </w:r>
      <w:r w:rsidRPr="58BF9D30">
        <w:rPr>
          <w:rFonts w:eastAsia="Calibri"/>
          <w:noProof/>
        </w:rPr>
        <w:t>Option B</w:t>
      </w:r>
      <w:r w:rsidRPr="00B03DD3">
        <w:rPr>
          <w:rFonts w:eastAsia="Calibri"/>
          <w:noProof/>
        </w:rPr>
        <w:t xml:space="preserve"> is 25% higher than in </w:t>
      </w:r>
      <w:r w:rsidRPr="58BF9D30">
        <w:rPr>
          <w:rFonts w:eastAsia="Calibri"/>
          <w:noProof/>
        </w:rPr>
        <w:t>Option A</w:t>
      </w:r>
      <w:r w:rsidRPr="00B03DD3">
        <w:rPr>
          <w:rFonts w:eastAsia="Calibri"/>
          <w:noProof/>
        </w:rPr>
        <w:t xml:space="preserve"> (private investment multiplier of 5 rather than 4), and the amount of investment deployed in </w:t>
      </w:r>
      <w:r w:rsidRPr="58BF9D30">
        <w:rPr>
          <w:rFonts w:eastAsia="Calibri"/>
          <w:noProof/>
        </w:rPr>
        <w:t>Option C</w:t>
      </w:r>
      <w:r w:rsidRPr="00B03DD3">
        <w:rPr>
          <w:rFonts w:eastAsia="Calibri"/>
          <w:noProof/>
        </w:rPr>
        <w:t xml:space="preserve"> is 50% higher than in </w:t>
      </w:r>
      <w:r w:rsidRPr="58BF9D30">
        <w:rPr>
          <w:rFonts w:eastAsia="Calibri"/>
          <w:noProof/>
        </w:rPr>
        <w:t>Option A</w:t>
      </w:r>
      <w:r w:rsidRPr="00B03DD3">
        <w:rPr>
          <w:rFonts w:eastAsia="Calibri"/>
          <w:noProof/>
        </w:rPr>
        <w:t xml:space="preserve"> (private investment multiplier of 6 rather than 4). </w:t>
      </w:r>
    </w:p>
    <w:p w14:paraId="601F7BF6" w14:textId="77777777" w:rsidR="00D1567B" w:rsidRPr="00B03DD3" w:rsidRDefault="00D1567B" w:rsidP="00603157">
      <w:pPr>
        <w:spacing w:before="0" w:after="160"/>
        <w:rPr>
          <w:rFonts w:eastAsia="Calibri"/>
          <w:noProof/>
        </w:rPr>
      </w:pPr>
      <w:r w:rsidRPr="00B03DD3">
        <w:rPr>
          <w:rFonts w:eastAsia="Calibri"/>
          <w:noProof/>
        </w:rPr>
        <w:t xml:space="preserve">The time profile of policy interventions is the same in </w:t>
      </w:r>
      <w:r w:rsidRPr="58BF9D30">
        <w:rPr>
          <w:rFonts w:eastAsia="Calibri"/>
          <w:noProof/>
        </w:rPr>
        <w:t>Option A and B</w:t>
      </w:r>
      <w:r w:rsidRPr="00B03DD3">
        <w:rPr>
          <w:rFonts w:eastAsia="Calibri"/>
          <w:noProof/>
        </w:rPr>
        <w:t xml:space="preserve">, so the blue line shows that in each year the cumulative shock in </w:t>
      </w:r>
      <w:r w:rsidRPr="58BF9D30">
        <w:rPr>
          <w:rFonts w:eastAsia="Calibri"/>
          <w:noProof/>
        </w:rPr>
        <w:t>Option B</w:t>
      </w:r>
      <w:r w:rsidRPr="00B03DD3">
        <w:rPr>
          <w:rFonts w:eastAsia="Calibri"/>
          <w:noProof/>
        </w:rPr>
        <w:t xml:space="preserve"> is 25% higher than in </w:t>
      </w:r>
      <w:r w:rsidRPr="58BF9D30">
        <w:rPr>
          <w:rFonts w:eastAsia="Calibri"/>
          <w:noProof/>
        </w:rPr>
        <w:t xml:space="preserve">Option A </w:t>
      </w:r>
      <w:r w:rsidRPr="00B03DD3">
        <w:rPr>
          <w:rFonts w:eastAsia="Calibri"/>
          <w:noProof/>
        </w:rPr>
        <w:t xml:space="preserve">(reflecting the investment multiplier of 5 in </w:t>
      </w:r>
      <w:r w:rsidRPr="58BF9D30">
        <w:rPr>
          <w:rFonts w:eastAsia="Calibri"/>
          <w:noProof/>
        </w:rPr>
        <w:t>Option B</w:t>
      </w:r>
      <w:r w:rsidRPr="00B03DD3">
        <w:rPr>
          <w:rFonts w:eastAsia="Calibri"/>
          <w:noProof/>
        </w:rPr>
        <w:t xml:space="preserve"> versus the investment multiplier of 4 in </w:t>
      </w:r>
      <w:r w:rsidRPr="58BF9D30">
        <w:rPr>
          <w:rFonts w:eastAsia="Calibri"/>
          <w:noProof/>
        </w:rPr>
        <w:t>Option A).</w:t>
      </w:r>
      <w:r w:rsidRPr="00B03DD3">
        <w:rPr>
          <w:rFonts w:eastAsia="Calibri"/>
          <w:noProof/>
        </w:rPr>
        <w:t xml:space="preserve"> In </w:t>
      </w:r>
      <w:r w:rsidRPr="58BF9D30">
        <w:rPr>
          <w:rFonts w:eastAsia="Calibri"/>
          <w:noProof/>
        </w:rPr>
        <w:t>Option C</w:t>
      </w:r>
      <w:r w:rsidRPr="00B03DD3">
        <w:rPr>
          <w:rFonts w:eastAsia="Calibri"/>
          <w:noProof/>
        </w:rPr>
        <w:t xml:space="preserve"> (orange line), the frontloading of investments (most of which are deployed between years 3 and 5 rather than between 5 and 7) leads to a temporarily larger increase in the cumulative policy injection with respect to </w:t>
      </w:r>
      <w:r w:rsidRPr="58BF9D30">
        <w:rPr>
          <w:rFonts w:eastAsia="Calibri"/>
          <w:noProof/>
        </w:rPr>
        <w:t>Option A</w:t>
      </w:r>
      <w:r w:rsidRPr="00B03DD3">
        <w:rPr>
          <w:rFonts w:eastAsia="Calibri"/>
          <w:noProof/>
        </w:rPr>
        <w:t xml:space="preserve"> in years 4 to 6, which goes back to 50% at the end of the deployment period.</w:t>
      </w:r>
    </w:p>
    <w:p w14:paraId="32E3733F" w14:textId="77777777" w:rsidR="00D1567B" w:rsidRPr="00B03DD3" w:rsidRDefault="00D1567B" w:rsidP="00603157">
      <w:pPr>
        <w:spacing w:before="0" w:after="0"/>
        <w:rPr>
          <w:rFonts w:eastAsia="Calibri"/>
          <w:i/>
          <w:noProof/>
        </w:rPr>
      </w:pPr>
      <w:r w:rsidRPr="00B03DD3">
        <w:rPr>
          <w:rFonts w:eastAsia="Calibri"/>
          <w:i/>
          <w:noProof/>
        </w:rPr>
        <w:t xml:space="preserve">Figure 1: % difference in cumulative shock over time (blue line: </w:t>
      </w:r>
      <w:r w:rsidRPr="58BF9D30">
        <w:rPr>
          <w:rFonts w:eastAsia="Calibri"/>
          <w:i/>
          <w:iCs/>
          <w:noProof/>
        </w:rPr>
        <w:t>Option/</w:t>
      </w:r>
      <w:r w:rsidRPr="00B03DD3">
        <w:rPr>
          <w:rFonts w:eastAsia="Calibri"/>
          <w:i/>
          <w:noProof/>
        </w:rPr>
        <w:t xml:space="preserve">Scenario 2 versus </w:t>
      </w:r>
      <w:r w:rsidRPr="58BF9D30">
        <w:rPr>
          <w:rFonts w:eastAsia="Calibri"/>
          <w:i/>
          <w:iCs/>
          <w:noProof/>
        </w:rPr>
        <w:t>Option/</w:t>
      </w:r>
      <w:r w:rsidRPr="00B03DD3">
        <w:rPr>
          <w:rFonts w:eastAsia="Calibri"/>
          <w:i/>
          <w:noProof/>
        </w:rPr>
        <w:t xml:space="preserve">Scenario 1; orange line: </w:t>
      </w:r>
      <w:r w:rsidRPr="58BF9D30">
        <w:rPr>
          <w:rFonts w:eastAsia="Calibri"/>
          <w:i/>
          <w:iCs/>
          <w:noProof/>
        </w:rPr>
        <w:t>Option/</w:t>
      </w:r>
      <w:r w:rsidRPr="00B03DD3">
        <w:rPr>
          <w:rFonts w:eastAsia="Calibri"/>
          <w:i/>
          <w:noProof/>
        </w:rPr>
        <w:t xml:space="preserve">Scenario 2 versus </w:t>
      </w:r>
      <w:r w:rsidRPr="58BF9D30">
        <w:rPr>
          <w:rFonts w:eastAsia="Calibri"/>
          <w:i/>
          <w:iCs/>
          <w:noProof/>
        </w:rPr>
        <w:t>Option/</w:t>
      </w:r>
      <w:r w:rsidRPr="00B03DD3">
        <w:rPr>
          <w:rFonts w:eastAsia="Calibri"/>
          <w:i/>
          <w:noProof/>
        </w:rPr>
        <w:t>Scenario 1)</w:t>
      </w:r>
    </w:p>
    <w:p w14:paraId="6B3BE676" w14:textId="6E960085" w:rsidR="00D1567B" w:rsidRPr="00B03DD3" w:rsidRDefault="00194AB4" w:rsidP="00603157">
      <w:pPr>
        <w:spacing w:before="0" w:after="160"/>
        <w:rPr>
          <w:rFonts w:eastAsia="Calibri"/>
          <w:noProof/>
        </w:rPr>
      </w:pPr>
      <w:r>
        <w:rPr>
          <w:noProof/>
          <w:lang w:eastAsia="en-GB"/>
        </w:rPr>
        <w:drawing>
          <wp:inline distT="0" distB="0" distL="0" distR="0" wp14:anchorId="0B9EF378" wp14:editId="6BEEED86">
            <wp:extent cx="5731510" cy="2588895"/>
            <wp:effectExtent l="0" t="0" r="254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5C6ED86" w:rsidRPr="00B03DD3">
        <w:rPr>
          <w:rFonts w:eastAsia="Calibri"/>
          <w:noProof/>
        </w:rPr>
        <w:t>Source: own assumptions.</w:t>
      </w:r>
    </w:p>
    <w:p w14:paraId="740525EA" w14:textId="127FFA29" w:rsidR="00D1567B" w:rsidRPr="00B03DD3" w:rsidRDefault="00D1567B" w:rsidP="00603157">
      <w:pPr>
        <w:spacing w:before="0" w:after="160"/>
        <w:rPr>
          <w:rFonts w:eastAsia="Calibri"/>
          <w:noProof/>
        </w:rPr>
      </w:pPr>
      <w:r w:rsidRPr="00B03DD3">
        <w:rPr>
          <w:rFonts w:eastAsia="Calibri"/>
          <w:noProof/>
        </w:rPr>
        <w:t xml:space="preserve">Finally, the results are robust to sensitivity checks. For robustness purposes, alternative hypotheses for the </w:t>
      </w:r>
      <w:r w:rsidRPr="58BF9D30">
        <w:rPr>
          <w:rFonts w:eastAsia="Calibri"/>
          <w:noProof/>
        </w:rPr>
        <w:t>Options have been implemented.</w:t>
      </w:r>
      <w:r w:rsidRPr="00B03DD3">
        <w:rPr>
          <w:rFonts w:eastAsia="Calibri"/>
          <w:noProof/>
        </w:rPr>
        <w:t xml:space="preserve"> For example, assuming an additional supply-side effect of 7.5% instead of 5% in </w:t>
      </w:r>
      <w:r w:rsidRPr="58BF9D30">
        <w:rPr>
          <w:rFonts w:eastAsia="Calibri"/>
          <w:noProof/>
        </w:rPr>
        <w:t>Option B</w:t>
      </w:r>
      <w:r w:rsidRPr="00B03DD3">
        <w:rPr>
          <w:rFonts w:eastAsia="Calibri"/>
          <w:noProof/>
        </w:rPr>
        <w:t xml:space="preserve"> would lead to a difference in the 15-year cumulative GDP multiplier in </w:t>
      </w:r>
      <w:r w:rsidRPr="58BF9D30">
        <w:rPr>
          <w:rFonts w:eastAsia="Calibri"/>
          <w:noProof/>
        </w:rPr>
        <w:t>Option B</w:t>
      </w:r>
      <w:r w:rsidRPr="00B03DD3">
        <w:rPr>
          <w:rFonts w:eastAsia="Calibri"/>
          <w:noProof/>
        </w:rPr>
        <w:t xml:space="preserve"> relative to </w:t>
      </w:r>
      <w:r w:rsidRPr="58BF9D30">
        <w:rPr>
          <w:rFonts w:eastAsia="Calibri"/>
          <w:noProof/>
        </w:rPr>
        <w:t>Option A</w:t>
      </w:r>
      <w:r w:rsidRPr="00B03DD3">
        <w:rPr>
          <w:rFonts w:eastAsia="Calibri"/>
          <w:noProof/>
        </w:rPr>
        <w:t xml:space="preserve"> of 2.25% (instead of 1.51%). Similarly, assuming an additional supply-side effect of 15% instead of 10% in </w:t>
      </w:r>
      <w:r w:rsidRPr="58BF9D30">
        <w:rPr>
          <w:rFonts w:eastAsia="Calibri"/>
          <w:noProof/>
        </w:rPr>
        <w:t>Option C</w:t>
      </w:r>
      <w:r w:rsidRPr="00B03DD3">
        <w:rPr>
          <w:rFonts w:eastAsia="Calibri"/>
          <w:noProof/>
        </w:rPr>
        <w:t xml:space="preserve"> would lead to a difference in the 15-year cumulative GDP multiplier of 17.63% (instead of 15.74%).</w:t>
      </w:r>
    </w:p>
    <w:p w14:paraId="048C7554" w14:textId="77777777" w:rsidR="00D1567B" w:rsidRPr="00B03DD3" w:rsidRDefault="00D1567B" w:rsidP="00603157">
      <w:pPr>
        <w:spacing w:before="0" w:after="160"/>
        <w:rPr>
          <w:rFonts w:eastAsia="Calibri"/>
          <w:noProof/>
        </w:rPr>
      </w:pPr>
      <w:r w:rsidRPr="00B03DD3">
        <w:rPr>
          <w:rFonts w:eastAsia="Calibri"/>
          <w:noProof/>
        </w:rPr>
        <w:t xml:space="preserve">As for </w:t>
      </w:r>
      <w:r w:rsidRPr="58BF9D30">
        <w:rPr>
          <w:rFonts w:eastAsia="Calibri"/>
          <w:noProof/>
        </w:rPr>
        <w:t>Option C,</w:t>
      </w:r>
      <w:r w:rsidRPr="00B03DD3">
        <w:rPr>
          <w:rFonts w:eastAsia="Calibri"/>
          <w:noProof/>
        </w:rPr>
        <w:t xml:space="preserve"> assuming a private investment multiplier of 5 instead of 6 (higher than in </w:t>
      </w:r>
      <w:r w:rsidRPr="58BF9D30">
        <w:rPr>
          <w:rFonts w:eastAsia="Calibri"/>
          <w:noProof/>
        </w:rPr>
        <w:t>Option A</w:t>
      </w:r>
      <w:r w:rsidRPr="00B03DD3">
        <w:rPr>
          <w:rFonts w:eastAsia="Calibri"/>
          <w:noProof/>
        </w:rPr>
        <w:t xml:space="preserve"> but the same as in </w:t>
      </w:r>
      <w:r w:rsidRPr="58BF9D30">
        <w:rPr>
          <w:rFonts w:eastAsia="Calibri"/>
          <w:noProof/>
        </w:rPr>
        <w:t>Option B)</w:t>
      </w:r>
      <w:r w:rsidRPr="00B03DD3">
        <w:rPr>
          <w:rFonts w:eastAsia="Calibri"/>
          <w:noProof/>
        </w:rPr>
        <w:t xml:space="preserve"> would lead to a difference in the 15-year cumulative GDP multiplier of 15.71% (instead of 15.74%).</w:t>
      </w:r>
    </w:p>
    <w:p w14:paraId="1B7DB99C" w14:textId="77777777" w:rsidR="00D1567B" w:rsidRPr="00B03DD3" w:rsidRDefault="00D1567B" w:rsidP="00603157">
      <w:pPr>
        <w:spacing w:before="0" w:after="0"/>
        <w:rPr>
          <w:rFonts w:eastAsia="Calibri"/>
          <w:b/>
          <w:noProof/>
          <w:lang w:val="pt-PT"/>
        </w:rPr>
      </w:pPr>
      <w:r w:rsidRPr="00B03DD3">
        <w:rPr>
          <w:rFonts w:eastAsia="Calibri"/>
          <w:b/>
          <w:noProof/>
          <w:lang w:val="pt-PT"/>
        </w:rPr>
        <w:t>References</w:t>
      </w:r>
    </w:p>
    <w:p w14:paraId="44287DAB" w14:textId="77777777" w:rsidR="00D1567B" w:rsidRPr="00BB184A" w:rsidRDefault="00D1567B" w:rsidP="00603157">
      <w:pPr>
        <w:spacing w:before="0" w:after="0"/>
        <w:rPr>
          <w:rFonts w:eastAsia="Calibri"/>
          <w:noProof/>
          <w:lang w:val="pt-PT"/>
        </w:rPr>
      </w:pPr>
      <w:r w:rsidRPr="00457486">
        <w:rPr>
          <w:rFonts w:eastAsia="Calibri"/>
          <w:noProof/>
          <w:lang w:val="pt-PT"/>
        </w:rPr>
        <w:t xml:space="preserve">Asdrubali, P., Casas, P., Christou, T., García Rodríguez, A., Lazarou, N., Salotti, S., and Weiers, G. (2024). </w:t>
      </w:r>
      <w:r w:rsidRPr="00BB184A">
        <w:rPr>
          <w:rFonts w:eastAsia="Calibri"/>
          <w:noProof/>
          <w:lang w:val="pt-PT"/>
        </w:rPr>
        <w:t>The RHOMOLO-EIB interim evaluation of InvestEU. JRC139530.</w:t>
      </w:r>
    </w:p>
    <w:p w14:paraId="6069F385" w14:textId="77777777" w:rsidR="00D1567B" w:rsidRPr="00B03DD3" w:rsidRDefault="00D1567B" w:rsidP="00603157">
      <w:pPr>
        <w:spacing w:before="0" w:after="0"/>
        <w:rPr>
          <w:rFonts w:eastAsia="Calibri"/>
          <w:noProof/>
        </w:rPr>
      </w:pPr>
      <w:r w:rsidRPr="00457486">
        <w:rPr>
          <w:rFonts w:eastAsia="Calibri"/>
          <w:noProof/>
          <w:lang w:val="pt-PT"/>
        </w:rPr>
        <w:t xml:space="preserve">Barbero, J., Christou, T., Crucitti, F., García Rodríguez, A., Lazarou, N.J., Monfort, P., and Salotti, S. (2024). </w:t>
      </w:r>
      <w:r w:rsidRPr="00B03DD3">
        <w:rPr>
          <w:rFonts w:eastAsia="Calibri"/>
          <w:noProof/>
        </w:rPr>
        <w:t>A spatial macroeconomic analysis of the equity-efficiency trade-off of the European cohesion policy. Spatial Economic Analysis 19(3), 394-410.</w:t>
      </w:r>
    </w:p>
    <w:p w14:paraId="4E0E3CB0" w14:textId="386751C8" w:rsidR="2A1AD167" w:rsidRDefault="00D1567B" w:rsidP="00603157">
      <w:pPr>
        <w:spacing w:before="0" w:after="0"/>
        <w:rPr>
          <w:noProof/>
        </w:rPr>
      </w:pPr>
      <w:r w:rsidRPr="00B03DD3">
        <w:rPr>
          <w:rFonts w:eastAsia="Calibri"/>
          <w:noProof/>
        </w:rPr>
        <w:t>European Commission (2024). InvestEU interim evaluation. SWD(2024) 228 final, Brussels, 30.09.2024.</w:t>
      </w:r>
    </w:p>
    <w:p w14:paraId="2DD5F812" w14:textId="3C0C4607" w:rsidR="0AA200F7" w:rsidRDefault="0AA200F7" w:rsidP="00603157">
      <w:pPr>
        <w:spacing w:before="0" w:after="0"/>
        <w:rPr>
          <w:rFonts w:eastAsia="Times New Roman"/>
          <w:noProof/>
          <w:lang w:val="en-IE"/>
        </w:rPr>
      </w:pPr>
      <w:r w:rsidRPr="204CA1C3">
        <w:rPr>
          <w:rFonts w:eastAsia="Times New Roman"/>
          <w:noProof/>
          <w:lang w:val="en-IE"/>
        </w:rPr>
        <w:t xml:space="preserve"> </w:t>
      </w:r>
    </w:p>
    <w:p w14:paraId="67999222" w14:textId="3A1C4E94" w:rsidR="0AA200F7" w:rsidRPr="002B4A25" w:rsidRDefault="00734B7A" w:rsidP="204CA1C3">
      <w:pPr>
        <w:spacing w:before="0" w:after="0"/>
        <w:rPr>
          <w:rFonts w:eastAsia="Times New Roman"/>
          <w:b/>
          <w:bCs/>
          <w:noProof/>
          <w:lang w:val="en-IE"/>
        </w:rPr>
      </w:pPr>
      <w:r>
        <w:rPr>
          <w:rFonts w:eastAsia="Times New Roman"/>
          <w:b/>
          <w:bCs/>
          <w:noProof/>
          <w:lang w:val="en-IE"/>
        </w:rPr>
        <w:t>Cost benefit analysis</w:t>
      </w:r>
    </w:p>
    <w:p w14:paraId="41CD6FA5" w14:textId="38C79D91" w:rsidR="0AA200F7" w:rsidRPr="002B4A25" w:rsidRDefault="0AA200F7" w:rsidP="204CA1C3">
      <w:pPr>
        <w:spacing w:before="0" w:after="0"/>
        <w:rPr>
          <w:rFonts w:eastAsia="Times New Roman"/>
          <w:b/>
          <w:bCs/>
          <w:noProof/>
          <w:lang w:val="en-IE"/>
        </w:rPr>
      </w:pPr>
    </w:p>
    <w:p w14:paraId="39935CFD" w14:textId="28E8D5AA" w:rsidR="0AA200F7" w:rsidRPr="002B4A25" w:rsidRDefault="53C20EF4" w:rsidP="204CA1C3">
      <w:pPr>
        <w:spacing w:before="0" w:after="0"/>
        <w:rPr>
          <w:rFonts w:eastAsia="Times New Roman"/>
          <w:noProof/>
          <w:lang w:val="en-IE"/>
        </w:rPr>
      </w:pPr>
      <w:r w:rsidRPr="204CA1C3">
        <w:rPr>
          <w:rFonts w:eastAsia="Times New Roman"/>
          <w:noProof/>
          <w:lang w:val="en-IE"/>
        </w:rPr>
        <w:t>An external</w:t>
      </w:r>
      <w:r w:rsidR="6DD17500" w:rsidRPr="204CA1C3">
        <w:rPr>
          <w:rFonts w:eastAsia="Times New Roman"/>
          <w:noProof/>
          <w:lang w:val="en-IE"/>
        </w:rPr>
        <w:t xml:space="preserve"> </w:t>
      </w:r>
      <w:r w:rsidR="003A631A">
        <w:rPr>
          <w:rFonts w:eastAsia="Times New Roman"/>
          <w:noProof/>
          <w:lang w:val="en-IE"/>
        </w:rPr>
        <w:t>study</w:t>
      </w:r>
      <w:r w:rsidR="6DD17500" w:rsidRPr="204CA1C3">
        <w:rPr>
          <w:rFonts w:eastAsia="Times New Roman"/>
          <w:noProof/>
          <w:lang w:val="en-IE"/>
        </w:rPr>
        <w:t xml:space="preserve"> focusing on</w:t>
      </w:r>
      <w:r w:rsidRPr="204CA1C3">
        <w:rPr>
          <w:rFonts w:eastAsia="Times New Roman"/>
          <w:noProof/>
          <w:lang w:val="en-IE"/>
        </w:rPr>
        <w:t xml:space="preserve"> cost/benefit analysis and comparison of the options was carried out</w:t>
      </w:r>
      <w:r w:rsidR="0A6953B0" w:rsidRPr="204CA1C3">
        <w:rPr>
          <w:rFonts w:eastAsia="Times New Roman"/>
          <w:noProof/>
          <w:lang w:val="en-IE"/>
        </w:rPr>
        <w:t xml:space="preserve"> </w:t>
      </w:r>
      <w:r w:rsidRPr="204CA1C3">
        <w:rPr>
          <w:rFonts w:eastAsia="Times New Roman"/>
          <w:noProof/>
          <w:lang w:val="en-IE"/>
        </w:rPr>
        <w:t xml:space="preserve">by a consortium led by the </w:t>
      </w:r>
      <w:r w:rsidR="1E46EEAB" w:rsidRPr="204CA1C3">
        <w:rPr>
          <w:rFonts w:eastAsia="Times New Roman"/>
          <w:noProof/>
          <w:lang w:val="en-IE"/>
        </w:rPr>
        <w:t>Centre for Strategy &amp; Evaluation Services (CSES)</w:t>
      </w:r>
      <w:r w:rsidR="0EFCB8D3" w:rsidRPr="204CA1C3">
        <w:rPr>
          <w:rFonts w:eastAsia="Times New Roman"/>
          <w:noProof/>
          <w:lang w:val="en-IE"/>
        </w:rPr>
        <w:t xml:space="preserve">. The </w:t>
      </w:r>
      <w:r w:rsidR="00E977E8" w:rsidRPr="204CA1C3">
        <w:rPr>
          <w:rFonts w:eastAsia="Times New Roman"/>
          <w:noProof/>
          <w:lang w:val="en-IE"/>
        </w:rPr>
        <w:t>analysis</w:t>
      </w:r>
      <w:r w:rsidR="0EFCB8D3" w:rsidRPr="204CA1C3">
        <w:rPr>
          <w:rFonts w:eastAsia="Times New Roman"/>
          <w:noProof/>
          <w:lang w:val="en-IE"/>
        </w:rPr>
        <w:t xml:space="preserve"> </w:t>
      </w:r>
      <w:r w:rsidR="1E46EEAB" w:rsidRPr="204CA1C3">
        <w:rPr>
          <w:rFonts w:eastAsia="Times New Roman"/>
          <w:noProof/>
          <w:lang w:val="en-IE"/>
        </w:rPr>
        <w:t>was based on existing literature</w:t>
      </w:r>
      <w:r w:rsidR="025BD258" w:rsidRPr="204CA1C3">
        <w:rPr>
          <w:rFonts w:eastAsia="Times New Roman"/>
          <w:noProof/>
          <w:lang w:val="en-IE"/>
        </w:rPr>
        <w:t xml:space="preserve"> as well as </w:t>
      </w:r>
      <w:r w:rsidR="1E46EEAB" w:rsidRPr="204CA1C3">
        <w:rPr>
          <w:rFonts w:eastAsia="Times New Roman"/>
          <w:noProof/>
          <w:lang w:val="en-IE"/>
        </w:rPr>
        <w:t xml:space="preserve">public evaluations of existing and previous EU programmes. </w:t>
      </w:r>
      <w:r w:rsidR="2E8A6B80" w:rsidRPr="204CA1C3">
        <w:rPr>
          <w:rFonts w:eastAsia="Times New Roman"/>
          <w:noProof/>
          <w:lang w:val="en-IE"/>
        </w:rPr>
        <w:t>Th</w:t>
      </w:r>
      <w:r w:rsidR="00426327" w:rsidRPr="204CA1C3">
        <w:rPr>
          <w:rFonts w:eastAsia="Times New Roman"/>
          <w:noProof/>
          <w:lang w:val="en-IE"/>
        </w:rPr>
        <w:t>e external evaluation also provided analysis of public consultation results, included in this Impact Assessment in Annex</w:t>
      </w:r>
      <w:r w:rsidR="6156EF79" w:rsidRPr="204CA1C3">
        <w:rPr>
          <w:rFonts w:eastAsia="Times New Roman"/>
          <w:noProof/>
          <w:lang w:val="en-IE"/>
        </w:rPr>
        <w:t xml:space="preserve"> 2</w:t>
      </w:r>
      <w:r w:rsidR="61F315DD" w:rsidRPr="204CA1C3">
        <w:rPr>
          <w:rFonts w:eastAsia="Times New Roman"/>
          <w:noProof/>
          <w:lang w:val="en-IE"/>
        </w:rPr>
        <w:t>,</w:t>
      </w:r>
      <w:r w:rsidR="6156EF79" w:rsidRPr="204CA1C3">
        <w:rPr>
          <w:rFonts w:eastAsia="Times New Roman"/>
          <w:noProof/>
          <w:lang w:val="en-IE"/>
        </w:rPr>
        <w:t xml:space="preserve"> based on systematic mapping and topic modelling using Large Language Models and interactive dashboards and Power BI.</w:t>
      </w:r>
    </w:p>
    <w:p w14:paraId="7AFF5336" w14:textId="3D357299" w:rsidR="0AA200F7" w:rsidRPr="002B4A25" w:rsidRDefault="0AA200F7" w:rsidP="204CA1C3">
      <w:pPr>
        <w:spacing w:before="0" w:after="0"/>
        <w:rPr>
          <w:rFonts w:eastAsia="Times New Roman"/>
          <w:noProof/>
          <w:lang w:val="en-IE"/>
        </w:rPr>
      </w:pPr>
    </w:p>
    <w:p w14:paraId="795E1D4C" w14:textId="0D1B540F" w:rsidR="0AA200F7" w:rsidRPr="00D727ED" w:rsidRDefault="470A61F7" w:rsidP="00D727ED">
      <w:pPr>
        <w:spacing w:before="0" w:after="0"/>
        <w:rPr>
          <w:rFonts w:eastAsia="Times New Roman"/>
          <w:noProof/>
        </w:rPr>
      </w:pPr>
      <w:r w:rsidRPr="00DA5149">
        <w:rPr>
          <w:rFonts w:eastAsia="Times New Roman"/>
          <w:noProof/>
        </w:rPr>
        <w:t>Despite substantial efforts to make full use of existing evaluation findings, some limitations</w:t>
      </w:r>
      <w:r w:rsidRPr="00D727ED">
        <w:rPr>
          <w:rFonts w:eastAsia="Times New Roman"/>
          <w:noProof/>
        </w:rPr>
        <w:t xml:space="preserve"> constrain</w:t>
      </w:r>
      <w:r w:rsidR="6F107E11" w:rsidRPr="204CA1C3">
        <w:rPr>
          <w:rFonts w:eastAsia="Times New Roman"/>
          <w:noProof/>
        </w:rPr>
        <w:t>ed</w:t>
      </w:r>
      <w:r w:rsidRPr="00D727ED">
        <w:rPr>
          <w:rFonts w:eastAsia="Times New Roman"/>
          <w:noProof/>
        </w:rPr>
        <w:t xml:space="preserve"> the completeness and consistency of the evidence base and </w:t>
      </w:r>
      <w:r w:rsidR="103F7777" w:rsidRPr="00D727ED">
        <w:rPr>
          <w:rFonts w:eastAsia="Times New Roman"/>
          <w:noProof/>
        </w:rPr>
        <w:t xml:space="preserve">the </w:t>
      </w:r>
      <w:r w:rsidRPr="00D727ED">
        <w:rPr>
          <w:rFonts w:eastAsia="Times New Roman"/>
          <w:noProof/>
        </w:rPr>
        <w:t>concl</w:t>
      </w:r>
      <w:r w:rsidR="4B51CEE2" w:rsidRPr="00D727ED">
        <w:rPr>
          <w:rFonts w:eastAsia="Times New Roman"/>
          <w:noProof/>
        </w:rPr>
        <w:t>u</w:t>
      </w:r>
      <w:r w:rsidRPr="00D727ED">
        <w:rPr>
          <w:rFonts w:eastAsia="Times New Roman"/>
          <w:noProof/>
        </w:rPr>
        <w:t>sions. Thes</w:t>
      </w:r>
      <w:r w:rsidR="50A77B1D" w:rsidRPr="00D727ED">
        <w:rPr>
          <w:rFonts w:eastAsia="Times New Roman"/>
          <w:noProof/>
        </w:rPr>
        <w:t>e limitations</w:t>
      </w:r>
      <w:r w:rsidRPr="00D727ED">
        <w:rPr>
          <w:rFonts w:eastAsia="Times New Roman"/>
          <w:noProof/>
        </w:rPr>
        <w:t xml:space="preserve"> can be grouped into </w:t>
      </w:r>
      <w:r w:rsidR="6988FE0D" w:rsidRPr="204CA1C3">
        <w:rPr>
          <w:rFonts w:eastAsia="Times New Roman"/>
          <w:noProof/>
        </w:rPr>
        <w:t>the following</w:t>
      </w:r>
      <w:r w:rsidRPr="00D727ED">
        <w:rPr>
          <w:rFonts w:eastAsia="Times New Roman"/>
          <w:noProof/>
        </w:rPr>
        <w:t xml:space="preserve"> categories:</w:t>
      </w:r>
    </w:p>
    <w:p w14:paraId="3A16880B" w14:textId="17442553" w:rsidR="0AA200F7" w:rsidRPr="00F0281E" w:rsidRDefault="470A61F7" w:rsidP="204CA1C3">
      <w:pPr>
        <w:pStyle w:val="ListParagraph"/>
        <w:numPr>
          <w:ilvl w:val="1"/>
          <w:numId w:val="2"/>
        </w:numPr>
        <w:spacing w:before="0" w:after="0"/>
        <w:rPr>
          <w:rFonts w:eastAsia="Times New Roman"/>
          <w:noProof/>
        </w:rPr>
      </w:pPr>
      <w:r w:rsidRPr="00F0281E">
        <w:rPr>
          <w:rFonts w:eastAsia="Times New Roman"/>
          <w:noProof/>
        </w:rPr>
        <w:t>The comparability of findings across programmes was limited. This stems from two core issues:</w:t>
      </w:r>
      <w:r w:rsidR="52DA07B7" w:rsidRPr="00F0281E">
        <w:rPr>
          <w:rFonts w:eastAsia="Times New Roman"/>
          <w:noProof/>
        </w:rPr>
        <w:t xml:space="preserve"> </w:t>
      </w:r>
      <w:r w:rsidR="4F9BD5DE" w:rsidRPr="00F0281E">
        <w:rPr>
          <w:rFonts w:eastAsia="Times New Roman"/>
          <w:noProof/>
        </w:rPr>
        <w:t>u</w:t>
      </w:r>
      <w:r w:rsidRPr="00F0281E">
        <w:rPr>
          <w:rFonts w:eastAsia="Times New Roman"/>
          <w:noProof/>
        </w:rPr>
        <w:t>neven availability of evaluation documents across the programmes</w:t>
      </w:r>
      <w:r w:rsidR="1EC1D8B8" w:rsidRPr="00F0281E">
        <w:rPr>
          <w:rFonts w:eastAsia="Times New Roman"/>
          <w:noProof/>
        </w:rPr>
        <w:t xml:space="preserve"> and </w:t>
      </w:r>
      <w:r w:rsidR="0006353B" w:rsidRPr="00F0281E">
        <w:rPr>
          <w:rFonts w:eastAsia="Times New Roman"/>
          <w:noProof/>
        </w:rPr>
        <w:t xml:space="preserve">varying level </w:t>
      </w:r>
      <w:r w:rsidR="004430BA" w:rsidRPr="00F0281E">
        <w:rPr>
          <w:rFonts w:eastAsia="Times New Roman"/>
          <w:noProof/>
        </w:rPr>
        <w:t>of depth of analysis across the different programmes</w:t>
      </w:r>
      <w:r w:rsidRPr="00F0281E">
        <w:rPr>
          <w:rFonts w:eastAsia="Times New Roman"/>
          <w:noProof/>
        </w:rPr>
        <w:t xml:space="preserve">.  To address data gaps, supplementary sources were consulted.  </w:t>
      </w:r>
    </w:p>
    <w:p w14:paraId="33B0EEF0" w14:textId="761FF564" w:rsidR="0AA200F7" w:rsidRPr="00F0281E" w:rsidRDefault="470A61F7" w:rsidP="204CA1C3">
      <w:pPr>
        <w:pStyle w:val="ListParagraph"/>
        <w:numPr>
          <w:ilvl w:val="1"/>
          <w:numId w:val="2"/>
        </w:numPr>
        <w:spacing w:before="0" w:after="0"/>
        <w:rPr>
          <w:rFonts w:eastAsia="Times New Roman"/>
          <w:noProof/>
        </w:rPr>
      </w:pPr>
      <w:r w:rsidRPr="00F0281E">
        <w:rPr>
          <w:rFonts w:eastAsia="Times New Roman"/>
          <w:noProof/>
        </w:rPr>
        <w:t>The analysis relie</w:t>
      </w:r>
      <w:r w:rsidR="087F15B2" w:rsidRPr="00F0281E">
        <w:rPr>
          <w:rFonts w:eastAsia="Times New Roman"/>
          <w:noProof/>
        </w:rPr>
        <w:t>d</w:t>
      </w:r>
      <w:r w:rsidRPr="00F0281E">
        <w:rPr>
          <w:rFonts w:eastAsia="Times New Roman"/>
          <w:noProof/>
        </w:rPr>
        <w:t xml:space="preserve"> predominantly on qualitative comparisons</w:t>
      </w:r>
      <w:r w:rsidR="58071B5B" w:rsidRPr="00F0281E">
        <w:rPr>
          <w:rFonts w:eastAsia="Times New Roman"/>
          <w:noProof/>
        </w:rPr>
        <w:t>, while quantitative analysis relie</w:t>
      </w:r>
      <w:r w:rsidR="7BFA2C7B" w:rsidRPr="00F0281E">
        <w:rPr>
          <w:rFonts w:eastAsia="Times New Roman"/>
          <w:noProof/>
        </w:rPr>
        <w:t>d</w:t>
      </w:r>
      <w:r w:rsidR="58071B5B" w:rsidRPr="00F0281E">
        <w:rPr>
          <w:rFonts w:eastAsia="Times New Roman"/>
          <w:noProof/>
        </w:rPr>
        <w:t xml:space="preserve"> on several assumptions</w:t>
      </w:r>
      <w:r w:rsidRPr="00F0281E">
        <w:rPr>
          <w:rFonts w:eastAsia="Times New Roman"/>
          <w:noProof/>
        </w:rPr>
        <w:t>. Given the nature of the policy options under consideration, which differ</w:t>
      </w:r>
      <w:r w:rsidR="67753BAA" w:rsidRPr="00F0281E">
        <w:rPr>
          <w:rFonts w:eastAsia="Times New Roman"/>
          <w:noProof/>
        </w:rPr>
        <w:t>ed</w:t>
      </w:r>
      <w:r w:rsidRPr="00F0281E">
        <w:rPr>
          <w:rFonts w:eastAsia="Times New Roman"/>
          <w:noProof/>
        </w:rPr>
        <w:t xml:space="preserve"> primarily in governance structure and coordination mechanisms, a mostly qualitative approach was a necessary choice.  To mitigate this issue, where feasible, a quantitative assessment of administrative costs was conducted for applicants, beneficiaries, and the EU public sector.</w:t>
      </w:r>
    </w:p>
    <w:p w14:paraId="570CAED0" w14:textId="7FF60E9C" w:rsidR="0AA200F7" w:rsidRPr="00F0281E" w:rsidRDefault="4087F020" w:rsidP="204CA1C3">
      <w:pPr>
        <w:pStyle w:val="ListParagraph"/>
        <w:numPr>
          <w:ilvl w:val="1"/>
          <w:numId w:val="2"/>
        </w:numPr>
        <w:spacing w:before="0" w:after="0"/>
        <w:rPr>
          <w:rFonts w:eastAsia="Times New Roman"/>
          <w:noProof/>
        </w:rPr>
      </w:pPr>
      <w:r w:rsidRPr="00F0281E">
        <w:rPr>
          <w:rFonts w:eastAsia="Times New Roman"/>
          <w:noProof/>
        </w:rPr>
        <w:t>I</w:t>
      </w:r>
      <w:r w:rsidR="470A61F7" w:rsidRPr="00F0281E">
        <w:rPr>
          <w:rFonts w:eastAsia="Times New Roman"/>
          <w:noProof/>
        </w:rPr>
        <w:t>nformation on procedures and management structures of the different options</w:t>
      </w:r>
      <w:r w:rsidR="05630118" w:rsidRPr="00F0281E">
        <w:rPr>
          <w:rFonts w:eastAsia="Times New Roman"/>
          <w:noProof/>
        </w:rPr>
        <w:t xml:space="preserve"> was not fully developed when the IA was drafted</w:t>
      </w:r>
      <w:r w:rsidR="470A61F7" w:rsidRPr="00F0281E">
        <w:rPr>
          <w:rFonts w:eastAsia="Times New Roman"/>
          <w:noProof/>
        </w:rPr>
        <w:t>. Many impacts depend on details of the regulatory framework, procedures, and implementation structures.</w:t>
      </w:r>
    </w:p>
    <w:p w14:paraId="0C17611F" w14:textId="2C58AFC1" w:rsidR="3B9F4918" w:rsidRPr="00D727ED" w:rsidRDefault="2F0394C8" w:rsidP="3B9F4918">
      <w:pPr>
        <w:pStyle w:val="ListParagraph"/>
        <w:numPr>
          <w:ilvl w:val="1"/>
          <w:numId w:val="2"/>
        </w:numPr>
        <w:spacing w:before="0" w:after="0"/>
        <w:rPr>
          <w:rFonts w:eastAsia="Times New Roman"/>
          <w:noProof/>
        </w:rPr>
      </w:pPr>
      <w:r w:rsidRPr="1034110F">
        <w:rPr>
          <w:rFonts w:eastAsia="Times New Roman"/>
          <w:noProof/>
        </w:rPr>
        <w:t xml:space="preserve">The results from the public consultation cannot be generalised as </w:t>
      </w:r>
      <w:r w:rsidR="1B5B498D" w:rsidRPr="1034110F">
        <w:rPr>
          <w:rFonts w:eastAsia="Times New Roman"/>
          <w:noProof/>
        </w:rPr>
        <w:t xml:space="preserve">they </w:t>
      </w:r>
      <w:r w:rsidRPr="1034110F">
        <w:rPr>
          <w:rFonts w:eastAsia="Times New Roman"/>
          <w:noProof/>
        </w:rPr>
        <w:t xml:space="preserve">refer to a </w:t>
      </w:r>
      <w:r w:rsidR="004F3A12" w:rsidRPr="1034110F">
        <w:rPr>
          <w:rFonts w:eastAsia="Times New Roman"/>
          <w:noProof/>
        </w:rPr>
        <w:t>limited sample (2 000 respondents ca.)</w:t>
      </w:r>
    </w:p>
    <w:p w14:paraId="0CBB2F30" w14:textId="7C24BDF3" w:rsidR="0AA200F7" w:rsidRPr="00F0281E" w:rsidRDefault="00EAA2EC" w:rsidP="00D727ED">
      <w:pPr>
        <w:spacing w:line="264" w:lineRule="auto"/>
        <w:rPr>
          <w:rFonts w:eastAsia="Times New Roman"/>
          <w:noProof/>
        </w:rPr>
      </w:pPr>
      <w:r w:rsidRPr="00F0281E">
        <w:rPr>
          <w:rFonts w:eastAsia="Times New Roman"/>
          <w:noProof/>
        </w:rPr>
        <w:t>W</w:t>
      </w:r>
      <w:r w:rsidR="470A61F7" w:rsidRPr="00F0281E">
        <w:rPr>
          <w:rFonts w:eastAsia="Times New Roman"/>
          <w:noProof/>
        </w:rPr>
        <w:t>hile these limitations restrict</w:t>
      </w:r>
      <w:r w:rsidR="156A4CCC" w:rsidRPr="00F0281E">
        <w:rPr>
          <w:rFonts w:eastAsia="Times New Roman"/>
          <w:noProof/>
        </w:rPr>
        <w:t>ed</w:t>
      </w:r>
      <w:r w:rsidR="470A61F7" w:rsidRPr="00F0281E">
        <w:rPr>
          <w:rFonts w:eastAsia="Times New Roman"/>
          <w:noProof/>
        </w:rPr>
        <w:t xml:space="preserve"> the level of quantitative precision that can be achieved, they d</w:t>
      </w:r>
      <w:r w:rsidR="378D3A4D" w:rsidRPr="00F0281E">
        <w:rPr>
          <w:rFonts w:eastAsia="Times New Roman"/>
          <w:noProof/>
        </w:rPr>
        <w:t>id</w:t>
      </w:r>
      <w:r w:rsidR="470A61F7" w:rsidRPr="00F0281E">
        <w:rPr>
          <w:rFonts w:eastAsia="Times New Roman"/>
          <w:noProof/>
        </w:rPr>
        <w:t xml:space="preserve"> not undermine the general orientation or internal consistency of the conclusions reached.</w:t>
      </w:r>
    </w:p>
    <w:p w14:paraId="1067322C" w14:textId="6802C8A3" w:rsidR="0AA200F7" w:rsidRPr="002B4A25" w:rsidRDefault="00A00F24" w:rsidP="00603157">
      <w:pPr>
        <w:pStyle w:val="Heading2"/>
        <w:numPr>
          <w:ilvl w:val="0"/>
          <w:numId w:val="0"/>
        </w:numPr>
        <w:ind w:left="1200"/>
        <w:rPr>
          <w:b w:val="0"/>
          <w:smallCaps/>
          <w:noProof/>
          <w:sz w:val="32"/>
          <w:szCs w:val="32"/>
        </w:rPr>
      </w:pPr>
      <w:r w:rsidRPr="204CA1C3">
        <w:rPr>
          <w:smallCaps/>
          <w:noProof/>
          <w:sz w:val="32"/>
          <w:szCs w:val="32"/>
          <w:lang w:val="en-IE"/>
        </w:rPr>
        <w:br w:type="page"/>
      </w:r>
      <w:bookmarkStart w:id="280" w:name="_Toc203043661"/>
      <w:r w:rsidR="0AA200F7" w:rsidRPr="204CA1C3">
        <w:rPr>
          <w:noProof/>
          <w:lang w:val="en-IE"/>
        </w:rPr>
        <w:t xml:space="preserve">Annex </w:t>
      </w:r>
      <w:r w:rsidR="009501DA" w:rsidRPr="204CA1C3">
        <w:rPr>
          <w:noProof/>
          <w:lang w:val="en-IE"/>
        </w:rPr>
        <w:t>5</w:t>
      </w:r>
      <w:r w:rsidR="0AA200F7" w:rsidRPr="204CA1C3">
        <w:rPr>
          <w:noProof/>
          <w:lang w:val="en-IE"/>
        </w:rPr>
        <w:t>: Competitiveness check</w:t>
      </w:r>
      <w:bookmarkEnd w:id="280"/>
    </w:p>
    <w:p w14:paraId="7B0E0504" w14:textId="01C757F4" w:rsidR="004F37C8" w:rsidRPr="004F37C8" w:rsidRDefault="001058F0" w:rsidP="00603157">
      <w:pPr>
        <w:rPr>
          <w:rFonts w:eastAsia="Times New Roman"/>
          <w:b/>
          <w:bCs/>
          <w:noProof/>
          <w:lang w:val="en-US"/>
        </w:rPr>
      </w:pPr>
      <w:r w:rsidRPr="00BB184A">
        <w:rPr>
          <w:rFonts w:eastAsia="Times New Roman"/>
          <w:noProof/>
          <w:lang w:val="en-US"/>
        </w:rPr>
        <w:t xml:space="preserve">1. </w:t>
      </w:r>
      <w:r w:rsidR="004F37C8" w:rsidRPr="00BB184A">
        <w:rPr>
          <w:rFonts w:eastAsia="Times New Roman"/>
          <w:noProof/>
          <w:lang w:val="en-US"/>
        </w:rPr>
        <w:t>O</w:t>
      </w:r>
      <w:r w:rsidR="00654312">
        <w:rPr>
          <w:rFonts w:eastAsia="Times New Roman"/>
          <w:noProof/>
          <w:lang w:val="en-US"/>
        </w:rPr>
        <w:t>verview of impacts on competitiveness of the preferred option</w:t>
      </w:r>
      <w:r w:rsidR="004F37C8" w:rsidRPr="00BB184A">
        <w:rPr>
          <w:rFonts w:eastAsia="Times New Roman"/>
          <w:noProof/>
          <w:lang w:val="en-US"/>
        </w:rPr>
        <w:t> </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5"/>
        <w:gridCol w:w="2550"/>
        <w:gridCol w:w="4833"/>
      </w:tblGrid>
      <w:tr w:rsidR="004F37C8" w:rsidRPr="001058F0" w14:paraId="2A25355F" w14:textId="77777777" w:rsidTr="00603157">
        <w:trPr>
          <w:trHeight w:val="300"/>
        </w:trPr>
        <w:tc>
          <w:tcPr>
            <w:tcW w:w="1965" w:type="dxa"/>
            <w:tcBorders>
              <w:top w:val="single" w:sz="6" w:space="0" w:color="auto"/>
              <w:left w:val="single" w:sz="6" w:space="0" w:color="auto"/>
              <w:bottom w:val="single" w:sz="6" w:space="0" w:color="auto"/>
              <w:right w:val="single" w:sz="6" w:space="0" w:color="auto"/>
            </w:tcBorders>
            <w:hideMark/>
          </w:tcPr>
          <w:p w14:paraId="25714CF0" w14:textId="37A00DDD" w:rsidR="004F37C8" w:rsidRPr="00BB184A" w:rsidRDefault="004F37C8" w:rsidP="00603157">
            <w:pPr>
              <w:rPr>
                <w:rFonts w:eastAsia="Times New Roman"/>
                <w:noProof/>
                <w:lang w:val="en-US"/>
              </w:rPr>
            </w:pPr>
            <w:r w:rsidRPr="00BB184A">
              <w:rPr>
                <w:rFonts w:eastAsia="Times New Roman"/>
                <w:noProof/>
                <w:lang w:val="en-US"/>
              </w:rPr>
              <w:t>Dimensions</w:t>
            </w:r>
            <w:r w:rsidR="00FF392A">
              <w:rPr>
                <w:rFonts w:eastAsia="Times New Roman"/>
                <w:noProof/>
                <w:lang w:val="en-US"/>
              </w:rPr>
              <w:t> </w:t>
            </w:r>
            <w:r w:rsidRPr="00BB184A">
              <w:rPr>
                <w:rFonts w:eastAsia="Times New Roman"/>
                <w:noProof/>
                <w:lang w:val="en-US"/>
              </w:rPr>
              <w:t>of</w:t>
            </w:r>
            <w:r w:rsidR="00FF392A">
              <w:rPr>
                <w:rFonts w:eastAsia="Times New Roman"/>
                <w:noProof/>
                <w:lang w:val="en-US"/>
              </w:rPr>
              <w:t xml:space="preserve"> </w:t>
            </w:r>
            <w:r w:rsidRPr="00BB184A">
              <w:rPr>
                <w:rFonts w:eastAsia="Times New Roman"/>
                <w:noProof/>
                <w:lang w:val="en-US"/>
              </w:rPr>
              <w:t>Competitiveness </w:t>
            </w:r>
          </w:p>
        </w:tc>
        <w:tc>
          <w:tcPr>
            <w:tcW w:w="2550" w:type="dxa"/>
            <w:tcBorders>
              <w:top w:val="single" w:sz="6" w:space="0" w:color="auto"/>
              <w:left w:val="single" w:sz="6" w:space="0" w:color="auto"/>
              <w:bottom w:val="single" w:sz="6" w:space="0" w:color="auto"/>
              <w:right w:val="single" w:sz="6" w:space="0" w:color="auto"/>
            </w:tcBorders>
            <w:hideMark/>
          </w:tcPr>
          <w:p w14:paraId="06A150EF" w14:textId="1240B3C0" w:rsidR="004F37C8" w:rsidRPr="00BB184A" w:rsidRDefault="004F37C8" w:rsidP="00603157">
            <w:pPr>
              <w:rPr>
                <w:rFonts w:eastAsia="Times New Roman"/>
                <w:noProof/>
                <w:lang w:val="en-US"/>
              </w:rPr>
            </w:pPr>
            <w:r w:rsidRPr="00BB184A">
              <w:rPr>
                <w:rFonts w:eastAsia="Times New Roman"/>
                <w:noProof/>
                <w:lang w:val="en-US"/>
              </w:rPr>
              <w:t>Impact of the initiative </w:t>
            </w:r>
            <w:r w:rsidRPr="00BB184A">
              <w:rPr>
                <w:rFonts w:eastAsia="Times New Roman"/>
                <w:noProof/>
                <w:lang w:val="en-US"/>
              </w:rPr>
              <w:br/>
              <w:t>(++ / + / 0 / - / -- / n.a.) </w:t>
            </w:r>
          </w:p>
        </w:tc>
        <w:tc>
          <w:tcPr>
            <w:tcW w:w="4833" w:type="dxa"/>
            <w:tcBorders>
              <w:top w:val="single" w:sz="6" w:space="0" w:color="auto"/>
              <w:left w:val="single" w:sz="6" w:space="0" w:color="auto"/>
              <w:bottom w:val="single" w:sz="6" w:space="0" w:color="auto"/>
              <w:right w:val="single" w:sz="6" w:space="0" w:color="auto"/>
            </w:tcBorders>
            <w:hideMark/>
          </w:tcPr>
          <w:p w14:paraId="75AA87B6" w14:textId="77777777" w:rsidR="004F37C8" w:rsidRPr="00BB184A" w:rsidRDefault="004F37C8" w:rsidP="00603157">
            <w:pPr>
              <w:rPr>
                <w:rFonts w:eastAsia="Times New Roman"/>
                <w:noProof/>
                <w:lang w:val="en-US"/>
              </w:rPr>
            </w:pPr>
            <w:r w:rsidRPr="00BB184A">
              <w:rPr>
                <w:rFonts w:eastAsia="Times New Roman"/>
                <w:noProof/>
                <w:lang w:val="en-US"/>
              </w:rPr>
              <w:t>References to sub-sections of the main report or annexes </w:t>
            </w:r>
          </w:p>
        </w:tc>
      </w:tr>
      <w:tr w:rsidR="004F37C8" w:rsidRPr="001058F0" w14:paraId="6E084427" w14:textId="77777777" w:rsidTr="00603157">
        <w:trPr>
          <w:trHeight w:val="300"/>
        </w:trPr>
        <w:tc>
          <w:tcPr>
            <w:tcW w:w="1965" w:type="dxa"/>
            <w:tcBorders>
              <w:top w:val="single" w:sz="6" w:space="0" w:color="auto"/>
              <w:left w:val="single" w:sz="6" w:space="0" w:color="auto"/>
              <w:bottom w:val="single" w:sz="6" w:space="0" w:color="auto"/>
              <w:right w:val="single" w:sz="6" w:space="0" w:color="auto"/>
            </w:tcBorders>
            <w:hideMark/>
          </w:tcPr>
          <w:p w14:paraId="707D58D9" w14:textId="77777777" w:rsidR="004F37C8" w:rsidRPr="00BB184A" w:rsidRDefault="004F37C8" w:rsidP="00603157">
            <w:pPr>
              <w:rPr>
                <w:rFonts w:eastAsia="Times New Roman"/>
                <w:noProof/>
                <w:lang w:val="en-US"/>
              </w:rPr>
            </w:pPr>
            <w:r w:rsidRPr="00BB184A">
              <w:rPr>
                <w:rFonts w:eastAsia="Times New Roman"/>
                <w:noProof/>
                <w:lang w:val="en-US"/>
              </w:rPr>
              <w:t>Cost and price competitiveness </w:t>
            </w:r>
          </w:p>
        </w:tc>
        <w:tc>
          <w:tcPr>
            <w:tcW w:w="2550" w:type="dxa"/>
            <w:tcBorders>
              <w:top w:val="single" w:sz="6" w:space="0" w:color="auto"/>
              <w:left w:val="single" w:sz="6" w:space="0" w:color="auto"/>
              <w:bottom w:val="single" w:sz="6" w:space="0" w:color="auto"/>
              <w:right w:val="single" w:sz="6" w:space="0" w:color="auto"/>
            </w:tcBorders>
            <w:hideMark/>
          </w:tcPr>
          <w:p w14:paraId="13C666C9" w14:textId="2ED2B10A" w:rsidR="004F37C8" w:rsidRPr="00BB184A" w:rsidRDefault="004F37C8" w:rsidP="00603157">
            <w:pPr>
              <w:jc w:val="center"/>
              <w:rPr>
                <w:rFonts w:eastAsia="Times New Roman"/>
                <w:noProof/>
                <w:lang w:val="en-US"/>
              </w:rPr>
            </w:pPr>
            <w:r w:rsidRPr="00BB184A">
              <w:rPr>
                <w:rFonts w:eastAsia="Times New Roman"/>
                <w:noProof/>
                <w:lang w:val="en-US"/>
              </w:rPr>
              <w:t>+</w:t>
            </w:r>
          </w:p>
        </w:tc>
        <w:tc>
          <w:tcPr>
            <w:tcW w:w="4833" w:type="dxa"/>
            <w:tcBorders>
              <w:top w:val="single" w:sz="6" w:space="0" w:color="auto"/>
              <w:left w:val="single" w:sz="6" w:space="0" w:color="auto"/>
              <w:bottom w:val="single" w:sz="6" w:space="0" w:color="auto"/>
              <w:right w:val="single" w:sz="6" w:space="0" w:color="auto"/>
            </w:tcBorders>
            <w:hideMark/>
          </w:tcPr>
          <w:p w14:paraId="3D61DA80" w14:textId="62A452BE" w:rsidR="004F37C8" w:rsidRPr="00BB184A" w:rsidRDefault="004F37C8" w:rsidP="00603157">
            <w:pPr>
              <w:jc w:val="left"/>
              <w:rPr>
                <w:rFonts w:eastAsia="Times New Roman"/>
                <w:noProof/>
                <w:lang w:val="en-US"/>
              </w:rPr>
            </w:pPr>
            <w:r w:rsidRPr="00BB184A">
              <w:rPr>
                <w:rFonts w:eastAsia="Times New Roman"/>
                <w:noProof/>
                <w:lang w:val="en-US"/>
              </w:rPr>
              <w:t>Impact Assessment:</w:t>
            </w:r>
            <w:r w:rsidRPr="00BB184A">
              <w:rPr>
                <w:rFonts w:eastAsia="Times New Roman"/>
                <w:noProof/>
                <w:lang w:val="en-US"/>
              </w:rPr>
              <w:br/>
              <w:t>Section 6.3.3 </w:t>
            </w:r>
            <w:r w:rsidRPr="00BB184A">
              <w:rPr>
                <w:rFonts w:eastAsia="Times New Roman"/>
                <w:noProof/>
                <w:lang w:val="en-US"/>
              </w:rPr>
              <w:br/>
              <w:t>Section 7.2 </w:t>
            </w:r>
            <w:r w:rsidRPr="00BB184A">
              <w:rPr>
                <w:rFonts w:eastAsia="Times New Roman"/>
                <w:noProof/>
                <w:lang w:val="en-US"/>
              </w:rPr>
              <w:br/>
              <w:t>Assessment of Costs and Benefits </w:t>
            </w:r>
            <w:r w:rsidRPr="00BB184A">
              <w:rPr>
                <w:rFonts w:eastAsia="Times New Roman"/>
                <w:noProof/>
                <w:lang w:val="en-US"/>
              </w:rPr>
              <w:br/>
              <w:t>Section 4 .1.1 </w:t>
            </w:r>
          </w:p>
        </w:tc>
      </w:tr>
      <w:tr w:rsidR="004F37C8" w:rsidRPr="001058F0" w14:paraId="3F799658" w14:textId="77777777" w:rsidTr="00603157">
        <w:trPr>
          <w:trHeight w:val="300"/>
        </w:trPr>
        <w:tc>
          <w:tcPr>
            <w:tcW w:w="1965" w:type="dxa"/>
            <w:tcBorders>
              <w:top w:val="single" w:sz="6" w:space="0" w:color="auto"/>
              <w:left w:val="single" w:sz="6" w:space="0" w:color="auto"/>
              <w:bottom w:val="single" w:sz="6" w:space="0" w:color="auto"/>
              <w:right w:val="single" w:sz="6" w:space="0" w:color="auto"/>
            </w:tcBorders>
            <w:hideMark/>
          </w:tcPr>
          <w:p w14:paraId="4E2B7C56" w14:textId="77777777" w:rsidR="004F37C8" w:rsidRPr="00BB184A" w:rsidRDefault="004F37C8" w:rsidP="00603157">
            <w:pPr>
              <w:rPr>
                <w:rFonts w:eastAsia="Times New Roman"/>
                <w:noProof/>
                <w:lang w:val="en-US"/>
              </w:rPr>
            </w:pPr>
            <w:r w:rsidRPr="00BB184A">
              <w:rPr>
                <w:rFonts w:eastAsia="Times New Roman"/>
                <w:noProof/>
                <w:lang w:val="en-US"/>
              </w:rPr>
              <w:t>International competitiveness </w:t>
            </w:r>
          </w:p>
        </w:tc>
        <w:tc>
          <w:tcPr>
            <w:tcW w:w="2550" w:type="dxa"/>
            <w:tcBorders>
              <w:top w:val="single" w:sz="6" w:space="0" w:color="auto"/>
              <w:left w:val="single" w:sz="6" w:space="0" w:color="auto"/>
              <w:bottom w:val="single" w:sz="6" w:space="0" w:color="auto"/>
              <w:right w:val="single" w:sz="6" w:space="0" w:color="auto"/>
            </w:tcBorders>
            <w:hideMark/>
          </w:tcPr>
          <w:p w14:paraId="754DC5EE" w14:textId="63DE99CF" w:rsidR="004F37C8" w:rsidRPr="00BB184A" w:rsidRDefault="004F37C8" w:rsidP="00603157">
            <w:pPr>
              <w:jc w:val="center"/>
              <w:rPr>
                <w:rFonts w:eastAsia="Times New Roman"/>
                <w:noProof/>
                <w:lang w:val="en-US"/>
              </w:rPr>
            </w:pPr>
            <w:r w:rsidRPr="00BB184A">
              <w:rPr>
                <w:rFonts w:eastAsia="Times New Roman"/>
                <w:noProof/>
                <w:lang w:val="en-US"/>
              </w:rPr>
              <w:t>++</w:t>
            </w:r>
          </w:p>
        </w:tc>
        <w:tc>
          <w:tcPr>
            <w:tcW w:w="4833" w:type="dxa"/>
            <w:tcBorders>
              <w:top w:val="single" w:sz="6" w:space="0" w:color="auto"/>
              <w:left w:val="single" w:sz="6" w:space="0" w:color="auto"/>
              <w:bottom w:val="single" w:sz="6" w:space="0" w:color="auto"/>
              <w:right w:val="single" w:sz="6" w:space="0" w:color="auto"/>
            </w:tcBorders>
            <w:hideMark/>
          </w:tcPr>
          <w:p w14:paraId="43AF41BC" w14:textId="77777777" w:rsidR="004F37C8" w:rsidRPr="00BB184A" w:rsidRDefault="004F37C8" w:rsidP="00603157">
            <w:pPr>
              <w:jc w:val="left"/>
              <w:rPr>
                <w:rFonts w:eastAsia="Times New Roman"/>
                <w:noProof/>
                <w:lang w:val="en-US"/>
              </w:rPr>
            </w:pPr>
            <w:r w:rsidRPr="00BB184A">
              <w:rPr>
                <w:rFonts w:eastAsia="Times New Roman"/>
                <w:noProof/>
                <w:lang w:val="en-US"/>
              </w:rPr>
              <w:t>Impact Assessment: </w:t>
            </w:r>
          </w:p>
          <w:p w14:paraId="35798FF5" w14:textId="77777777" w:rsidR="004F37C8" w:rsidRPr="00BB184A" w:rsidRDefault="004F37C8" w:rsidP="00603157">
            <w:pPr>
              <w:jc w:val="left"/>
              <w:rPr>
                <w:rFonts w:eastAsia="Times New Roman"/>
                <w:noProof/>
                <w:lang w:val="en-US"/>
              </w:rPr>
            </w:pPr>
            <w:r w:rsidRPr="00BB184A">
              <w:rPr>
                <w:rFonts w:eastAsia="Times New Roman"/>
                <w:noProof/>
                <w:lang w:val="en-IE"/>
              </w:rPr>
              <w:t>Section 6.3.3</w:t>
            </w:r>
            <w:r w:rsidRPr="00BB184A">
              <w:rPr>
                <w:rFonts w:eastAsia="Times New Roman"/>
                <w:noProof/>
                <w:lang w:val="en-US"/>
              </w:rPr>
              <w:t> </w:t>
            </w:r>
          </w:p>
          <w:p w14:paraId="1394687F" w14:textId="77777777" w:rsidR="004F37C8" w:rsidRPr="00BB184A" w:rsidRDefault="004F37C8" w:rsidP="00603157">
            <w:pPr>
              <w:jc w:val="left"/>
              <w:rPr>
                <w:rFonts w:eastAsia="Times New Roman"/>
                <w:noProof/>
                <w:lang w:val="en-US"/>
              </w:rPr>
            </w:pPr>
            <w:r w:rsidRPr="00BB184A">
              <w:rPr>
                <w:rFonts w:eastAsia="Times New Roman"/>
                <w:noProof/>
                <w:lang w:val="en-US"/>
              </w:rPr>
              <w:t>Assessment of Costs and Benefits: </w:t>
            </w:r>
            <w:r w:rsidRPr="00BB184A">
              <w:rPr>
                <w:rFonts w:eastAsia="Times New Roman"/>
                <w:noProof/>
                <w:lang w:val="en-US"/>
              </w:rPr>
              <w:br/>
              <w:t>Section 5.2 </w:t>
            </w:r>
            <w:r w:rsidRPr="00BB184A">
              <w:rPr>
                <w:rFonts w:eastAsia="Times New Roman"/>
                <w:noProof/>
                <w:lang w:val="en-US"/>
              </w:rPr>
              <w:br/>
              <w:t>Section 6.3.4 </w:t>
            </w:r>
            <w:r w:rsidRPr="00BB184A">
              <w:rPr>
                <w:rFonts w:eastAsia="Times New Roman"/>
                <w:noProof/>
                <w:lang w:val="en-US"/>
              </w:rPr>
              <w:br/>
              <w:t>Section 4.1.1 </w:t>
            </w:r>
          </w:p>
        </w:tc>
      </w:tr>
      <w:tr w:rsidR="004F37C8" w:rsidRPr="001058F0" w14:paraId="49AF3F1F" w14:textId="77777777" w:rsidTr="00603157">
        <w:trPr>
          <w:trHeight w:val="300"/>
        </w:trPr>
        <w:tc>
          <w:tcPr>
            <w:tcW w:w="1965" w:type="dxa"/>
            <w:tcBorders>
              <w:top w:val="single" w:sz="6" w:space="0" w:color="auto"/>
              <w:left w:val="single" w:sz="6" w:space="0" w:color="auto"/>
              <w:bottom w:val="single" w:sz="6" w:space="0" w:color="auto"/>
              <w:right w:val="single" w:sz="6" w:space="0" w:color="auto"/>
            </w:tcBorders>
            <w:hideMark/>
          </w:tcPr>
          <w:p w14:paraId="36898F60" w14:textId="77777777" w:rsidR="004F37C8" w:rsidRPr="00BB184A" w:rsidRDefault="004F37C8" w:rsidP="00603157">
            <w:pPr>
              <w:rPr>
                <w:rFonts w:eastAsia="Times New Roman"/>
                <w:noProof/>
                <w:lang w:val="en-US"/>
              </w:rPr>
            </w:pPr>
            <w:r w:rsidRPr="00BB184A">
              <w:rPr>
                <w:rFonts w:eastAsia="Times New Roman"/>
                <w:noProof/>
                <w:lang w:val="en-US"/>
              </w:rPr>
              <w:t>Capacity to innovate </w:t>
            </w:r>
          </w:p>
        </w:tc>
        <w:tc>
          <w:tcPr>
            <w:tcW w:w="2550" w:type="dxa"/>
            <w:tcBorders>
              <w:top w:val="single" w:sz="6" w:space="0" w:color="auto"/>
              <w:left w:val="single" w:sz="6" w:space="0" w:color="auto"/>
              <w:bottom w:val="single" w:sz="6" w:space="0" w:color="auto"/>
              <w:right w:val="single" w:sz="6" w:space="0" w:color="auto"/>
            </w:tcBorders>
            <w:hideMark/>
          </w:tcPr>
          <w:p w14:paraId="564E34CF" w14:textId="6DBF777C" w:rsidR="004F37C8" w:rsidRPr="00BB184A" w:rsidRDefault="004F37C8" w:rsidP="00603157">
            <w:pPr>
              <w:jc w:val="center"/>
              <w:rPr>
                <w:rFonts w:eastAsia="Times New Roman"/>
                <w:noProof/>
                <w:lang w:val="en-US"/>
              </w:rPr>
            </w:pPr>
            <w:r w:rsidRPr="00BB184A">
              <w:rPr>
                <w:rFonts w:eastAsia="Times New Roman"/>
                <w:noProof/>
                <w:lang w:val="en-US"/>
              </w:rPr>
              <w:t>+</w:t>
            </w:r>
          </w:p>
        </w:tc>
        <w:tc>
          <w:tcPr>
            <w:tcW w:w="4833" w:type="dxa"/>
            <w:tcBorders>
              <w:top w:val="single" w:sz="6" w:space="0" w:color="auto"/>
              <w:left w:val="single" w:sz="6" w:space="0" w:color="auto"/>
              <w:bottom w:val="single" w:sz="6" w:space="0" w:color="auto"/>
              <w:right w:val="single" w:sz="6" w:space="0" w:color="auto"/>
            </w:tcBorders>
            <w:hideMark/>
          </w:tcPr>
          <w:p w14:paraId="114CC85C" w14:textId="77777777" w:rsidR="004F37C8" w:rsidRPr="00BB184A" w:rsidRDefault="004F37C8" w:rsidP="00603157">
            <w:pPr>
              <w:jc w:val="left"/>
              <w:rPr>
                <w:rFonts w:eastAsia="Times New Roman"/>
                <w:noProof/>
                <w:lang w:val="en-US"/>
              </w:rPr>
            </w:pPr>
            <w:r w:rsidRPr="00BB184A">
              <w:rPr>
                <w:rFonts w:eastAsia="Times New Roman"/>
                <w:noProof/>
                <w:lang w:val="en-US"/>
              </w:rPr>
              <w:t>Impact Assessment </w:t>
            </w:r>
            <w:r w:rsidRPr="00BB184A">
              <w:rPr>
                <w:rFonts w:eastAsia="Times New Roman"/>
                <w:noProof/>
                <w:lang w:val="en-US"/>
              </w:rPr>
              <w:br/>
              <w:t>Section 6.2.3.1 </w:t>
            </w:r>
            <w:r w:rsidRPr="00BB184A">
              <w:rPr>
                <w:rFonts w:eastAsia="Times New Roman"/>
                <w:noProof/>
                <w:lang w:val="en-US"/>
              </w:rPr>
              <w:br/>
              <w:t>Section 8.1 </w:t>
            </w:r>
          </w:p>
        </w:tc>
      </w:tr>
      <w:tr w:rsidR="004F37C8" w:rsidRPr="001058F0" w14:paraId="65C538C4" w14:textId="77777777" w:rsidTr="00603157">
        <w:trPr>
          <w:trHeight w:val="300"/>
        </w:trPr>
        <w:tc>
          <w:tcPr>
            <w:tcW w:w="1965" w:type="dxa"/>
            <w:tcBorders>
              <w:top w:val="single" w:sz="6" w:space="0" w:color="auto"/>
              <w:left w:val="single" w:sz="6" w:space="0" w:color="auto"/>
              <w:bottom w:val="single" w:sz="6" w:space="0" w:color="auto"/>
              <w:right w:val="single" w:sz="6" w:space="0" w:color="auto"/>
            </w:tcBorders>
            <w:hideMark/>
          </w:tcPr>
          <w:p w14:paraId="63156FF6" w14:textId="77777777" w:rsidR="004F37C8" w:rsidRPr="00BB184A" w:rsidRDefault="004F37C8" w:rsidP="00603157">
            <w:pPr>
              <w:rPr>
                <w:rFonts w:eastAsia="Times New Roman"/>
                <w:noProof/>
                <w:lang w:val="en-US"/>
              </w:rPr>
            </w:pPr>
            <w:r w:rsidRPr="00BB184A">
              <w:rPr>
                <w:rFonts w:eastAsia="Times New Roman"/>
                <w:noProof/>
                <w:lang w:val="en-US"/>
              </w:rPr>
              <w:t>SME competitiveness </w:t>
            </w:r>
          </w:p>
        </w:tc>
        <w:tc>
          <w:tcPr>
            <w:tcW w:w="2550" w:type="dxa"/>
            <w:tcBorders>
              <w:top w:val="single" w:sz="6" w:space="0" w:color="auto"/>
              <w:left w:val="single" w:sz="6" w:space="0" w:color="auto"/>
              <w:bottom w:val="single" w:sz="6" w:space="0" w:color="auto"/>
              <w:right w:val="single" w:sz="6" w:space="0" w:color="auto"/>
            </w:tcBorders>
            <w:hideMark/>
          </w:tcPr>
          <w:p w14:paraId="48751931" w14:textId="6557AF5B" w:rsidR="004F37C8" w:rsidRPr="00BB184A" w:rsidRDefault="004F37C8" w:rsidP="00603157">
            <w:pPr>
              <w:jc w:val="center"/>
              <w:rPr>
                <w:rFonts w:eastAsia="Times New Roman"/>
                <w:noProof/>
                <w:lang w:val="en-US"/>
              </w:rPr>
            </w:pPr>
            <w:r w:rsidRPr="00BB184A">
              <w:rPr>
                <w:rFonts w:eastAsia="Times New Roman"/>
                <w:noProof/>
                <w:lang w:val="en-US"/>
              </w:rPr>
              <w:t>++</w:t>
            </w:r>
          </w:p>
        </w:tc>
        <w:tc>
          <w:tcPr>
            <w:tcW w:w="4833" w:type="dxa"/>
            <w:tcBorders>
              <w:top w:val="single" w:sz="6" w:space="0" w:color="auto"/>
              <w:left w:val="single" w:sz="6" w:space="0" w:color="auto"/>
              <w:bottom w:val="single" w:sz="6" w:space="0" w:color="auto"/>
              <w:right w:val="single" w:sz="6" w:space="0" w:color="auto"/>
            </w:tcBorders>
            <w:hideMark/>
          </w:tcPr>
          <w:p w14:paraId="4F544B0F" w14:textId="77777777" w:rsidR="004F37C8" w:rsidRPr="00BB184A" w:rsidRDefault="004F37C8" w:rsidP="00603157">
            <w:pPr>
              <w:jc w:val="left"/>
              <w:rPr>
                <w:rFonts w:eastAsia="Times New Roman"/>
                <w:noProof/>
                <w:lang w:val="en-US"/>
              </w:rPr>
            </w:pPr>
            <w:r w:rsidRPr="00BB184A">
              <w:rPr>
                <w:rFonts w:eastAsia="Times New Roman"/>
                <w:noProof/>
                <w:lang w:val="en-US"/>
              </w:rPr>
              <w:t>Impact Assessment </w:t>
            </w:r>
            <w:r w:rsidRPr="00BB184A">
              <w:rPr>
                <w:rFonts w:eastAsia="Times New Roman"/>
                <w:noProof/>
                <w:lang w:val="en-US"/>
              </w:rPr>
              <w:br/>
              <w:t>Section 6.2.3 </w:t>
            </w:r>
          </w:p>
          <w:p w14:paraId="6FD06B9E" w14:textId="47E4B92C" w:rsidR="004F37C8" w:rsidRPr="00BB184A" w:rsidRDefault="004F37C8" w:rsidP="00603157">
            <w:pPr>
              <w:jc w:val="left"/>
              <w:rPr>
                <w:rFonts w:eastAsia="Times New Roman"/>
                <w:noProof/>
                <w:lang w:val="en-US"/>
              </w:rPr>
            </w:pPr>
            <w:r w:rsidRPr="00BB184A">
              <w:rPr>
                <w:rFonts w:eastAsia="Times New Roman"/>
                <w:noProof/>
                <w:lang w:val="en-US"/>
              </w:rPr>
              <w:t>Assessment of Costs and Benefits </w:t>
            </w:r>
            <w:r w:rsidRPr="00BB184A">
              <w:rPr>
                <w:rFonts w:eastAsia="Times New Roman"/>
                <w:noProof/>
                <w:lang w:val="en-US"/>
              </w:rPr>
              <w:br/>
              <w:t>Section 4.1.1</w:t>
            </w:r>
          </w:p>
          <w:p w14:paraId="29BD7F31" w14:textId="77777777" w:rsidR="004F37C8" w:rsidRPr="00BB184A" w:rsidRDefault="004F37C8" w:rsidP="00603157">
            <w:pPr>
              <w:jc w:val="left"/>
              <w:rPr>
                <w:rFonts w:eastAsia="Times New Roman"/>
                <w:noProof/>
                <w:lang w:val="en-US"/>
              </w:rPr>
            </w:pPr>
            <w:r w:rsidRPr="00BB184A">
              <w:rPr>
                <w:rFonts w:eastAsia="Times New Roman"/>
                <w:noProof/>
                <w:lang w:val="en-US"/>
              </w:rPr>
              <w:t>Section 5.6 </w:t>
            </w:r>
          </w:p>
        </w:tc>
      </w:tr>
    </w:tbl>
    <w:p w14:paraId="5A1F995C" w14:textId="6342B9FC" w:rsidR="004F37C8" w:rsidRPr="00BB184A" w:rsidRDefault="004F37C8" w:rsidP="00603157">
      <w:pPr>
        <w:rPr>
          <w:rFonts w:eastAsia="Times New Roman"/>
          <w:noProof/>
          <w:lang w:val="en-US"/>
        </w:rPr>
      </w:pPr>
      <w:r w:rsidRPr="00BB184A">
        <w:rPr>
          <w:rFonts w:eastAsia="Times New Roman"/>
          <w:noProof/>
          <w:lang w:val="en-US"/>
        </w:rPr>
        <w:t> </w:t>
      </w:r>
      <w:r w:rsidRPr="00BB184A">
        <w:rPr>
          <w:rFonts w:eastAsia="Times New Roman"/>
          <w:noProof/>
          <w:lang w:val="en-US"/>
        </w:rPr>
        <w:br/>
        <w:t>2. S</w:t>
      </w:r>
      <w:r w:rsidR="00654312">
        <w:rPr>
          <w:rFonts w:eastAsia="Times New Roman"/>
          <w:noProof/>
          <w:lang w:val="en-US"/>
        </w:rPr>
        <w:t>ynthetic Assessment</w:t>
      </w:r>
      <w:r w:rsidRPr="00BB184A">
        <w:rPr>
          <w:rFonts w:eastAsia="Times New Roman"/>
          <w:noProof/>
          <w:lang w:val="en-US"/>
        </w:rPr>
        <w:t> </w:t>
      </w:r>
    </w:p>
    <w:p w14:paraId="094B3651" w14:textId="40CD8E41" w:rsidR="004F37C8" w:rsidRPr="00BB184A" w:rsidRDefault="004F37C8" w:rsidP="00603157">
      <w:pPr>
        <w:rPr>
          <w:rFonts w:eastAsia="Times New Roman"/>
          <w:noProof/>
          <w:lang w:val="en-US"/>
        </w:rPr>
      </w:pPr>
      <w:r w:rsidRPr="00BB184A">
        <w:rPr>
          <w:rFonts w:eastAsia="Times New Roman"/>
          <w:noProof/>
          <w:lang w:val="en-US"/>
        </w:rPr>
        <w:t>2.1 Cost and price competitiveness </w:t>
      </w:r>
    </w:p>
    <w:p w14:paraId="4087E92F" w14:textId="77777777" w:rsidR="00E83A44" w:rsidRPr="00E83A44" w:rsidRDefault="00E83A44" w:rsidP="00603157">
      <w:pPr>
        <w:spacing w:before="0" w:after="160"/>
        <w:rPr>
          <w:rFonts w:eastAsia="Times New Roman"/>
          <w:noProof/>
          <w:lang w:val="en-US"/>
        </w:rPr>
      </w:pPr>
      <w:r w:rsidRPr="00E83A44">
        <w:rPr>
          <w:rFonts w:eastAsia="Times New Roman"/>
          <w:noProof/>
          <w:lang w:val="en-US"/>
        </w:rPr>
        <w:t xml:space="preserve">The preferred option is expected to improve cost and price competitiveness by reducing administrative complexity, harmonising procedures, and lowering participation costs, due to streamlined applications and simplified rules. Faster processing times will reduce time-to-inform and time-to-grant by several tens of days for more complex programmes. For instance, this option is expected to have the shortest proposal preparation time for grants, resulting in the cost savings of 10% compared to the baseline, (in monetary terms, the costs would range between EUR 4500 – EUR 28 800 per proposal. A single access gateway will reduce the effort needed to identify funding opportunities, especially for smaller actors. A unified framework for applications and reporting will lessen burdens for both applicants and implementers. Although short-term adjustment costs are likely, such as updates to internal systems and uncertainty during transition, these are one-off costs. Once in place, the new structure will offer a predictable and cost-efficient landscape. </w:t>
      </w:r>
    </w:p>
    <w:p w14:paraId="39097A67" w14:textId="77777777" w:rsidR="00E83A44" w:rsidRPr="00E83A44" w:rsidRDefault="00E83A44" w:rsidP="00603157">
      <w:pPr>
        <w:keepNext/>
        <w:keepLines/>
        <w:spacing w:before="0" w:after="160"/>
        <w:jc w:val="left"/>
        <w:rPr>
          <w:rFonts w:eastAsia="Times New Roman"/>
          <w:noProof/>
          <w:lang w:val="en-US"/>
        </w:rPr>
      </w:pPr>
      <w:r w:rsidRPr="00E83A44">
        <w:rPr>
          <w:rFonts w:eastAsia="Times New Roman"/>
          <w:noProof/>
          <w:lang w:val="en-US"/>
        </w:rPr>
        <w:t>2.2 International competitiveness</w:t>
      </w:r>
    </w:p>
    <w:p w14:paraId="3BA9A273" w14:textId="5D7E4153" w:rsidR="00E83A44" w:rsidRPr="00E83A44" w:rsidRDefault="00E83A44" w:rsidP="00603157">
      <w:pPr>
        <w:keepNext/>
        <w:keepLines/>
        <w:spacing w:before="0" w:after="160"/>
        <w:rPr>
          <w:rFonts w:eastAsia="Times New Roman"/>
          <w:noProof/>
          <w:lang w:val="en-US"/>
        </w:rPr>
      </w:pPr>
      <w:r w:rsidRPr="00E83A44">
        <w:rPr>
          <w:rFonts w:eastAsia="Times New Roman"/>
          <w:noProof/>
          <w:lang w:val="en-US"/>
        </w:rPr>
        <w:t>The initiative is expected to strengthen EU international competitiveness by consolidating fragmented programmes into a single strategic fund capable of supporting large-scale cross-border projects. This structure will streamline investments and improve productivity, generating spillovers to adjacent sectors and reinforcing the EU’s global value chain position. Funded technologies may have applications in other industries, further enhancing innovation. The initiative also allows for stronger strategic steering and selection of high-impact projects, while ensuring predictability for investors. Strategic autonomy will be enhanced through support for domestic manufacturing capacities and reduced dependence on foreign supply chains. The coherent approach will improve the global market position of EU firms. An increased GDP and enhanced export activity (+57.53% for the preferred option as compared to the baseline) are both expected to strengthen the EU’s competitiveness in the international arena by improving productivity, fostering innovation, and enhancing efficiency, among other factors.</w:t>
      </w:r>
    </w:p>
    <w:p w14:paraId="6044E332" w14:textId="77777777" w:rsidR="00E83A44" w:rsidRPr="00E83A44" w:rsidRDefault="00E83A44" w:rsidP="00603157">
      <w:pPr>
        <w:spacing w:before="0" w:after="160"/>
        <w:jc w:val="left"/>
        <w:rPr>
          <w:rFonts w:eastAsia="Times New Roman"/>
          <w:noProof/>
          <w:lang w:val="en-US"/>
        </w:rPr>
      </w:pPr>
      <w:r w:rsidRPr="00E83A44">
        <w:rPr>
          <w:rFonts w:eastAsia="Times New Roman"/>
          <w:noProof/>
          <w:lang w:val="en-US"/>
        </w:rPr>
        <w:t>2.3 Capacity to innovate</w:t>
      </w:r>
    </w:p>
    <w:p w14:paraId="4DCCE76E" w14:textId="7F2F2297" w:rsidR="00E83A44" w:rsidRPr="00E83A44" w:rsidRDefault="00E83A44" w:rsidP="00603157">
      <w:pPr>
        <w:spacing w:before="0" w:after="160"/>
        <w:rPr>
          <w:rFonts w:eastAsia="Times New Roman"/>
          <w:noProof/>
          <w:lang w:val="en-US"/>
        </w:rPr>
      </w:pPr>
      <w:r w:rsidRPr="00E83A44">
        <w:rPr>
          <w:rFonts w:eastAsia="Times New Roman"/>
          <w:noProof/>
          <w:lang w:val="en-US"/>
        </w:rPr>
        <w:t xml:space="preserve">The initiative will positively impact the EU’s capacity to innovate, despite </w:t>
      </w:r>
      <w:r w:rsidR="007A242B">
        <w:rPr>
          <w:rFonts w:eastAsia="Times New Roman"/>
          <w:noProof/>
          <w:lang w:val="en-US"/>
        </w:rPr>
        <w:t>temporary</w:t>
      </w:r>
      <w:r w:rsidRPr="00E83A44">
        <w:rPr>
          <w:rFonts w:eastAsia="Times New Roman"/>
          <w:noProof/>
          <w:lang w:val="en-US"/>
        </w:rPr>
        <w:t xml:space="preserve"> </w:t>
      </w:r>
      <w:r w:rsidR="0048340B">
        <w:rPr>
          <w:rFonts w:eastAsia="Times New Roman"/>
          <w:noProof/>
          <w:lang w:val="en-US"/>
        </w:rPr>
        <w:t>adaptation challenges</w:t>
      </w:r>
      <w:r w:rsidRPr="00E83A44">
        <w:rPr>
          <w:rFonts w:eastAsia="Times New Roman"/>
          <w:noProof/>
          <w:lang w:val="en-US"/>
        </w:rPr>
        <w:t xml:space="preserve">. </w:t>
      </w:r>
      <w:r w:rsidR="00224906">
        <w:rPr>
          <w:rFonts w:eastAsia="Times New Roman"/>
          <w:noProof/>
          <w:lang w:val="en-US"/>
        </w:rPr>
        <w:t>An appropriate balanced between f</w:t>
      </w:r>
      <w:r w:rsidRPr="00E83A44">
        <w:rPr>
          <w:rFonts w:eastAsia="Times New Roman"/>
          <w:noProof/>
          <w:lang w:val="en-US"/>
        </w:rPr>
        <w:t xml:space="preserve">lexibility </w:t>
      </w:r>
      <w:r w:rsidR="00224906">
        <w:rPr>
          <w:rFonts w:eastAsia="Times New Roman"/>
          <w:noProof/>
          <w:lang w:val="en-US"/>
        </w:rPr>
        <w:t>and predictability will have to be reached</w:t>
      </w:r>
      <w:r w:rsidR="002A2383">
        <w:rPr>
          <w:rFonts w:eastAsia="Times New Roman"/>
          <w:noProof/>
          <w:lang w:val="en-US"/>
        </w:rPr>
        <w:t>.</w:t>
      </w:r>
      <w:r w:rsidRPr="00E83A44">
        <w:rPr>
          <w:rFonts w:eastAsia="Times New Roman"/>
          <w:noProof/>
          <w:lang w:val="en-US"/>
        </w:rPr>
        <w:t xml:space="preserve"> Continuous investment from research to deployment will help bridge gaps between knowledge generation and market application. At the same time, consolidation into one Fund covering the whole investment journey can facilitate the market uptake of research results and better articulate applied research with industrial priorities. The preferred option would also entail dedicated policy windows and policy steer on digital technologies as well as on resilience, defence, and space, enhancing the deployment of critical technologies from research to market and increasing policy and financing coherence. </w:t>
      </w:r>
    </w:p>
    <w:p w14:paraId="48D740E0" w14:textId="77777777" w:rsidR="00E83A44" w:rsidRPr="00E83A44" w:rsidRDefault="00E83A44" w:rsidP="00603157">
      <w:pPr>
        <w:spacing w:before="0" w:after="160"/>
        <w:jc w:val="left"/>
        <w:rPr>
          <w:rFonts w:eastAsia="Times New Roman"/>
          <w:noProof/>
          <w:lang w:val="en-US"/>
        </w:rPr>
      </w:pPr>
      <w:r w:rsidRPr="00E83A44">
        <w:rPr>
          <w:rFonts w:eastAsia="Times New Roman"/>
          <w:noProof/>
          <w:lang w:val="en-US"/>
        </w:rPr>
        <w:t>2.4 SME competitiveness</w:t>
      </w:r>
    </w:p>
    <w:p w14:paraId="04E0AA05" w14:textId="77777777" w:rsidR="00E83A44" w:rsidRPr="00E83A44" w:rsidRDefault="00E83A44" w:rsidP="00603157">
      <w:pPr>
        <w:spacing w:before="0" w:after="160"/>
        <w:rPr>
          <w:rFonts w:eastAsia="Times New Roman"/>
          <w:noProof/>
          <w:lang w:val="en-US"/>
        </w:rPr>
      </w:pPr>
      <w:r w:rsidRPr="00E83A44">
        <w:rPr>
          <w:rFonts w:eastAsia="Times New Roman"/>
          <w:noProof/>
          <w:lang w:val="en-US"/>
        </w:rPr>
        <w:t xml:space="preserve">SMEs will benefit significantly from a simplified and unified funding environment. A single access point and harmonised procedures will lower participation barriers and reduce administrative costs. The time-to-inform and the time-to-grant is also expected to be reduced by tens of days for the preferred option as compared to the baseline scenario. This is particularly important for SMEs lacking the capacity to navigate through fragmented programmes. Additionally, the initiative ensures continuous support across the investment journey and improves access to capital and advisory services. Streamlined rules will reduce application complexity and expand access to funding tools, enhancing project bankability. Although the removal of some programme-specific features may reduce tailored support, the long-term gains from simplified access, increased visibility, and a more predictable framework are expected to outweigh these drawbacks. With appropriate transitional measures, SMEs will be better positioned to scale and compete. </w:t>
      </w:r>
    </w:p>
    <w:p w14:paraId="39E730B9" w14:textId="1E6DBB62" w:rsidR="00E83A44" w:rsidRPr="00E83A44" w:rsidRDefault="00E83A44" w:rsidP="00603157">
      <w:pPr>
        <w:spacing w:before="0" w:after="160"/>
        <w:jc w:val="left"/>
        <w:rPr>
          <w:rFonts w:eastAsia="Times New Roman"/>
          <w:noProof/>
          <w:lang w:val="en-US"/>
        </w:rPr>
      </w:pPr>
      <w:r w:rsidRPr="00E83A44">
        <w:rPr>
          <w:rFonts w:eastAsia="Times New Roman"/>
          <w:noProof/>
          <w:lang w:val="en-US"/>
        </w:rPr>
        <w:t>3. C</w:t>
      </w:r>
      <w:r w:rsidR="00EB3CE7">
        <w:rPr>
          <w:rFonts w:eastAsia="Times New Roman"/>
          <w:noProof/>
          <w:lang w:val="en-US"/>
        </w:rPr>
        <w:t>ompetitive position of the most affected sectors</w:t>
      </w:r>
    </w:p>
    <w:p w14:paraId="536955D4" w14:textId="77777777" w:rsidR="00DE3D4F" w:rsidRPr="00846210" w:rsidRDefault="00E83A44" w:rsidP="00603157">
      <w:pPr>
        <w:rPr>
          <w:noProof/>
        </w:rPr>
      </w:pPr>
      <w:r w:rsidRPr="00E83A44">
        <w:rPr>
          <w:noProof/>
          <w:lang w:val="en-US"/>
        </w:rPr>
        <w:t>Since the budget allocation has not yet been determined for specific windows, it is currently impossible to specify which sectors are most affected, and this therefore falls outside the scope of this impact assessment. The preferred option is expected to support strategic sectors and a seamless funding path from fundamental research to market deployment thus reshaping the EU’s industrial base into a more resilient and globally competitive system. By focusing resources on fewer high-impact areas, the initiative aims to maximise returns and catalyse innovation. Positive spillover effects are expected, as technologies developed under the fund may benefit adjacent sectors. Demand generated by beneficiaries is also expected to raise productivity in supplier networks. As innovations mature, they may disrupt market structures and enhance competition within the Single Market. The fund positions the EU to act as a coherent industrial actor, coordinating investment with long-term policy objectives and reinforcing competitiveness across sectors</w:t>
      </w:r>
    </w:p>
    <w:p w14:paraId="28533EF8" w14:textId="58D08ACA" w:rsidR="00267016" w:rsidRPr="007F39C3" w:rsidRDefault="00A00F24" w:rsidP="00603157">
      <w:pPr>
        <w:pStyle w:val="Heading2"/>
        <w:numPr>
          <w:ilvl w:val="0"/>
          <w:numId w:val="0"/>
        </w:numPr>
        <w:ind w:left="1200"/>
        <w:rPr>
          <w:rStyle w:val="Heading2Char"/>
          <w:noProof/>
        </w:rPr>
      </w:pPr>
      <w:r>
        <w:rPr>
          <w:smallCaps/>
          <w:noProof/>
          <w:sz w:val="32"/>
          <w:szCs w:val="32"/>
        </w:rPr>
        <w:br w:type="page"/>
      </w:r>
      <w:bookmarkStart w:id="281" w:name="_Toc203043662"/>
      <w:r w:rsidR="00752918" w:rsidRPr="002130E6">
        <w:rPr>
          <w:noProof/>
        </w:rPr>
        <w:t xml:space="preserve">Annex </w:t>
      </w:r>
      <w:r w:rsidR="00E81438" w:rsidRPr="002130E6">
        <w:rPr>
          <w:noProof/>
        </w:rPr>
        <w:t>6:</w:t>
      </w:r>
      <w:r w:rsidR="00752918" w:rsidRPr="002130E6">
        <w:rPr>
          <w:noProof/>
        </w:rPr>
        <w:t xml:space="preserve"> SME check</w:t>
      </w:r>
      <w:bookmarkEnd w:id="281"/>
    </w:p>
    <w:p w14:paraId="574ADE14" w14:textId="3D489338" w:rsidR="004F37C8" w:rsidRPr="00BB184A" w:rsidRDefault="00F71756" w:rsidP="00603157">
      <w:pPr>
        <w:jc w:val="center"/>
        <w:rPr>
          <w:noProof/>
        </w:rPr>
      </w:pPr>
      <w:r w:rsidRPr="00F71756">
        <w:rPr>
          <w:b/>
          <w:bCs/>
          <w:noProof/>
        </w:rPr>
        <w:t>Overview of impacts on SMEs</w:t>
      </w:r>
      <w:r w:rsidRPr="00F71756">
        <w:rPr>
          <w:noProof/>
          <w:lang w:val="en-US"/>
        </w:rPr>
        <w:t> </w:t>
      </w:r>
    </w:p>
    <w:tbl>
      <w:tblPr>
        <w:tblW w:w="9487"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87"/>
      </w:tblGrid>
      <w:tr w:rsidR="00F71756" w:rsidRPr="00F71756" w14:paraId="60E4BA6F" w14:textId="77777777" w:rsidTr="00846210">
        <w:trPr>
          <w:trHeight w:val="300"/>
        </w:trPr>
        <w:tc>
          <w:tcPr>
            <w:tcW w:w="9487" w:type="dxa"/>
            <w:tcBorders>
              <w:top w:val="single" w:sz="6" w:space="0" w:color="auto"/>
              <w:left w:val="single" w:sz="6" w:space="0" w:color="auto"/>
              <w:bottom w:val="single" w:sz="6" w:space="0" w:color="auto"/>
              <w:right w:val="single" w:sz="6" w:space="0" w:color="auto"/>
            </w:tcBorders>
            <w:hideMark/>
          </w:tcPr>
          <w:p w14:paraId="5259FA50" w14:textId="2A663BBD" w:rsidR="00F71756" w:rsidRPr="00BB184A" w:rsidRDefault="00F71756" w:rsidP="00603157">
            <w:pPr>
              <w:pStyle w:val="BodyText1"/>
              <w:divId w:val="634406568"/>
              <w:rPr>
                <w:rFonts w:ascii="Times New Roman" w:hAnsi="Times New Roman"/>
                <w:sz w:val="24"/>
                <w:szCs w:val="24"/>
                <w:lang w:val="en-US"/>
              </w:rPr>
            </w:pPr>
            <w:r w:rsidRPr="00BB184A">
              <w:rPr>
                <w:rFonts w:ascii="Times New Roman" w:hAnsi="Times New Roman"/>
                <w:b/>
                <w:bCs/>
                <w:sz w:val="24"/>
                <w:szCs w:val="24"/>
              </w:rPr>
              <w:t>Relevance for SMEs</w:t>
            </w:r>
          </w:p>
        </w:tc>
      </w:tr>
      <w:tr w:rsidR="00F71756" w:rsidRPr="00F71756" w14:paraId="6CBF4F8F" w14:textId="77777777" w:rsidTr="00846210">
        <w:trPr>
          <w:trHeight w:val="300"/>
        </w:trPr>
        <w:tc>
          <w:tcPr>
            <w:tcW w:w="9487" w:type="dxa"/>
            <w:tcBorders>
              <w:top w:val="single" w:sz="6" w:space="0" w:color="auto"/>
              <w:left w:val="single" w:sz="6" w:space="0" w:color="auto"/>
              <w:bottom w:val="single" w:sz="6" w:space="0" w:color="auto"/>
              <w:right w:val="single" w:sz="6" w:space="0" w:color="auto"/>
            </w:tcBorders>
            <w:hideMark/>
          </w:tcPr>
          <w:p w14:paraId="0DC57FAA" w14:textId="430C395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Based on SME filter and the ISG discussion, this initiative is relevant/</w:t>
            </w:r>
            <w:r w:rsidRPr="00BB184A">
              <w:rPr>
                <w:rFonts w:ascii="Times New Roman" w:hAnsi="Times New Roman"/>
                <w:b/>
                <w:bCs/>
                <w:sz w:val="24"/>
                <w:szCs w:val="24"/>
              </w:rPr>
              <w:t>highly relevant for SMEs</w:t>
            </w:r>
            <w:r w:rsidRPr="00BB184A">
              <w:rPr>
                <w:rFonts w:ascii="Times New Roman" w:hAnsi="Times New Roman"/>
                <w:sz w:val="24"/>
                <w:szCs w:val="24"/>
                <w:vertAlign w:val="superscript"/>
              </w:rPr>
              <w:t>1</w:t>
            </w:r>
          </w:p>
        </w:tc>
      </w:tr>
    </w:tbl>
    <w:p w14:paraId="025C00A3" w14:textId="77E26D2C" w:rsidR="00F71756" w:rsidRPr="00F370FB" w:rsidRDefault="00F71756" w:rsidP="00603157">
      <w:pPr>
        <w:pStyle w:val="BodyText1"/>
        <w:rPr>
          <w:rFonts w:ascii="Times New Roman" w:hAnsi="Times New Roman"/>
          <w:sz w:val="10"/>
          <w:szCs w:val="10"/>
          <w:lang w:val="en-US"/>
        </w:rPr>
      </w:pPr>
    </w:p>
    <w:tbl>
      <w:tblPr>
        <w:tblW w:w="9535"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35"/>
      </w:tblGrid>
      <w:tr w:rsidR="00F71756" w:rsidRPr="00F71756" w14:paraId="4060BAD2" w14:textId="77777777" w:rsidTr="51E02097">
        <w:trPr>
          <w:trHeight w:val="300"/>
        </w:trPr>
        <w:tc>
          <w:tcPr>
            <w:tcW w:w="9535" w:type="dxa"/>
            <w:tcBorders>
              <w:top w:val="single" w:sz="6" w:space="0" w:color="auto"/>
              <w:left w:val="single" w:sz="6" w:space="0" w:color="auto"/>
              <w:bottom w:val="single" w:sz="6" w:space="0" w:color="auto"/>
              <w:right w:val="single" w:sz="6" w:space="0" w:color="auto"/>
            </w:tcBorders>
            <w:hideMark/>
          </w:tcPr>
          <w:p w14:paraId="1E911F0B" w14:textId="77777777" w:rsidR="00F71756" w:rsidRPr="00BB184A" w:rsidRDefault="00F71756" w:rsidP="00603157">
            <w:pPr>
              <w:pStyle w:val="BodyText1"/>
              <w:divId w:val="614672909"/>
              <w:rPr>
                <w:rFonts w:ascii="Times New Roman" w:hAnsi="Times New Roman"/>
                <w:sz w:val="24"/>
                <w:szCs w:val="24"/>
                <w:lang w:val="en-US"/>
              </w:rPr>
            </w:pPr>
            <w:r w:rsidRPr="00BB184A">
              <w:rPr>
                <w:rFonts w:ascii="Times New Roman" w:hAnsi="Times New Roman"/>
                <w:b/>
                <w:bCs/>
                <w:sz w:val="24"/>
                <w:szCs w:val="24"/>
              </w:rPr>
              <w:t>(1)</w:t>
            </w:r>
            <w:r w:rsidRPr="00BB184A">
              <w:rPr>
                <w:rFonts w:ascii="Times New Roman" w:hAnsi="Times New Roman"/>
                <w:sz w:val="24"/>
                <w:szCs w:val="24"/>
                <w:lang w:val="en-US"/>
              </w:rPr>
              <w:tab/>
            </w:r>
            <w:r w:rsidRPr="00BB184A">
              <w:rPr>
                <w:rFonts w:ascii="Times New Roman" w:hAnsi="Times New Roman"/>
                <w:b/>
                <w:bCs/>
                <w:sz w:val="24"/>
                <w:szCs w:val="24"/>
              </w:rPr>
              <w:t>Identification of affected businesses and assessment of relevance</w:t>
            </w:r>
            <w:r w:rsidRPr="00BB184A">
              <w:rPr>
                <w:rFonts w:ascii="Times New Roman" w:hAnsi="Times New Roman"/>
                <w:sz w:val="24"/>
                <w:szCs w:val="24"/>
                <w:lang w:val="en-US"/>
              </w:rPr>
              <w:t> </w:t>
            </w:r>
          </w:p>
        </w:tc>
      </w:tr>
      <w:tr w:rsidR="00F71756" w:rsidRPr="00F71756" w14:paraId="4953BAE5" w14:textId="77777777" w:rsidTr="51E02097">
        <w:trPr>
          <w:trHeight w:val="300"/>
        </w:trPr>
        <w:tc>
          <w:tcPr>
            <w:tcW w:w="9535" w:type="dxa"/>
            <w:tcBorders>
              <w:top w:val="single" w:sz="6" w:space="0" w:color="auto"/>
              <w:left w:val="single" w:sz="6" w:space="0" w:color="auto"/>
              <w:bottom w:val="single" w:sz="6" w:space="0" w:color="auto"/>
              <w:right w:val="single" w:sz="6" w:space="0" w:color="auto"/>
            </w:tcBorders>
            <w:hideMark/>
          </w:tcPr>
          <w:p w14:paraId="59EBE241"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Are SMEs directly affected?</w:t>
            </w:r>
            <w:r w:rsidRPr="00BB184A">
              <w:rPr>
                <w:rFonts w:ascii="Times New Roman" w:hAnsi="Times New Roman"/>
                <w:sz w:val="24"/>
                <w:szCs w:val="24"/>
              </w:rPr>
              <w:t xml:space="preserve"> (Yes/No) </w:t>
            </w:r>
            <w:r w:rsidRPr="00BB184A">
              <w:rPr>
                <w:rFonts w:ascii="Times New Roman" w:hAnsi="Times New Roman"/>
                <w:b/>
                <w:bCs/>
                <w:sz w:val="24"/>
                <w:szCs w:val="24"/>
              </w:rPr>
              <w:t>In which sectors?</w:t>
            </w:r>
            <w:r w:rsidRPr="00BB184A">
              <w:rPr>
                <w:rFonts w:ascii="Times New Roman" w:hAnsi="Times New Roman"/>
                <w:sz w:val="24"/>
                <w:szCs w:val="24"/>
                <w:lang w:val="en-US"/>
              </w:rPr>
              <w:t> </w:t>
            </w:r>
          </w:p>
        </w:tc>
      </w:tr>
      <w:tr w:rsidR="00F71756" w:rsidRPr="00F71756" w14:paraId="5E721B3F" w14:textId="77777777" w:rsidTr="51E02097">
        <w:trPr>
          <w:trHeight w:val="300"/>
        </w:trPr>
        <w:tc>
          <w:tcPr>
            <w:tcW w:w="9535" w:type="dxa"/>
            <w:tcBorders>
              <w:top w:val="single" w:sz="6" w:space="0" w:color="auto"/>
              <w:left w:val="single" w:sz="6" w:space="0" w:color="auto"/>
              <w:bottom w:val="single" w:sz="6" w:space="0" w:color="auto"/>
              <w:right w:val="single" w:sz="6" w:space="0" w:color="auto"/>
            </w:tcBorders>
            <w:hideMark/>
          </w:tcPr>
          <w:p w14:paraId="35B7DAE5" w14:textId="7C4CC5F0"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The European Competitiveness Fund would be structured along a few policy windows corresponding to the strategic priorities crucial for the EU competitiveness and resilience (from AI and digital to space, from clean tech to biotech, from defence and resilience to health). Since the budget allocation has not yet been determined and falls outside of the scope of this IA, it is currently impossible to specify which sectors will be most affected.</w:t>
            </w:r>
          </w:p>
          <w:p w14:paraId="0AAB0FE9" w14:textId="28527C2E" w:rsidR="00F71756" w:rsidRPr="00BB184A" w:rsidRDefault="23212087" w:rsidP="00603157">
            <w:pPr>
              <w:pStyle w:val="BodyText1"/>
              <w:rPr>
                <w:rFonts w:ascii="Times New Roman" w:hAnsi="Times New Roman"/>
                <w:sz w:val="24"/>
                <w:szCs w:val="24"/>
                <w:lang w:val="en-US"/>
              </w:rPr>
            </w:pPr>
            <w:r w:rsidRPr="3EA7425B">
              <w:rPr>
                <w:rFonts w:ascii="Times New Roman" w:hAnsi="Times New Roman"/>
                <w:sz w:val="24"/>
                <w:szCs w:val="24"/>
              </w:rPr>
              <w:t xml:space="preserve">SMEs operate across key strategic sectors, including advanced manufacturing, clean technologies, </w:t>
            </w:r>
            <w:r w:rsidR="6C420C4D" w:rsidRPr="3EA7425B">
              <w:rPr>
                <w:rFonts w:ascii="Times New Roman" w:hAnsi="Times New Roman"/>
                <w:sz w:val="24"/>
                <w:szCs w:val="24"/>
              </w:rPr>
              <w:t xml:space="preserve">blue economy, </w:t>
            </w:r>
            <w:r w:rsidRPr="3EA7425B">
              <w:rPr>
                <w:rFonts w:ascii="Times New Roman" w:hAnsi="Times New Roman"/>
                <w:sz w:val="24"/>
                <w:szCs w:val="24"/>
              </w:rPr>
              <w:t xml:space="preserve">digital transformation, biotechnology, professional services, defence and space. Defence and Space sector is very meaningful to illustrate the magnitude of SME’s involvement in the strategic sectors. SMEs </w:t>
            </w:r>
            <w:r w:rsidRPr="3EA7425B">
              <w:rPr>
                <w:rFonts w:ascii="Times New Roman" w:hAnsi="Times New Roman"/>
                <w:sz w:val="24"/>
                <w:szCs w:val="24"/>
                <w:lang w:val="en-US"/>
              </w:rPr>
              <w:t xml:space="preserve">constitute there around 80% of that sector including innovative startups, often with strong links to other ecosystems (such as electronics). SMEs and startups serve as key collaborators, providing expertise, niche technologies and agile, disruptive solutions. They play a critical role in the supply chain, contributing with components, subsystems, software, engineering services and research to the broader ecosystem. Their agility and innovation prowess often result in groundbreaking advancements, especially in areas like avionics, materials, propulsion and satellite technology. Despite their crucial role, </w:t>
            </w:r>
            <w:r w:rsidRPr="3EA7425B">
              <w:rPr>
                <w:rFonts w:ascii="Times New Roman" w:hAnsi="Times New Roman"/>
                <w:sz w:val="24"/>
                <w:szCs w:val="24"/>
              </w:rPr>
              <w:t>SMEs operating within the defence sector face higher barriers to accessing finance compared to companies active in other sectors (50% of SMEs refrained from seeking debt financing in the defence sector, compared to 6.6% average among SMEs in the EU during between 2021-2022)</w:t>
            </w:r>
            <w:r w:rsidR="00FD5B0A">
              <w:rPr>
                <w:rStyle w:val="FootnoteReference"/>
                <w:rFonts w:ascii="Times New Roman" w:hAnsi="Times New Roman"/>
                <w:sz w:val="24"/>
                <w:szCs w:val="24"/>
              </w:rPr>
              <w:footnoteReference w:id="190"/>
            </w:r>
            <w:r w:rsidRPr="3EA7425B">
              <w:rPr>
                <w:rFonts w:ascii="Times New Roman" w:hAnsi="Times New Roman"/>
                <w:sz w:val="24"/>
                <w:szCs w:val="24"/>
              </w:rPr>
              <w:t>. </w:t>
            </w:r>
            <w:r w:rsidR="2BFB2F3D">
              <w:rPr>
                <w:rFonts w:ascii="Times New Roman" w:hAnsi="Times New Roman"/>
                <w:sz w:val="24"/>
                <w:szCs w:val="24"/>
                <w:lang w:val="en-US"/>
              </w:rPr>
              <w:t xml:space="preserve">The initiative is also relevant for SMEs from traditional sectors, who can innovate. </w:t>
            </w:r>
          </w:p>
          <w:p w14:paraId="67C0A91B" w14:textId="0DDB2858"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The consolidation of 14 existing EU funding tools into a single Competitiveness Fund is expected to facilitate SMEs access to funding throughout the investment journey, from research to deployment.</w:t>
            </w:r>
            <w:r w:rsidRPr="00BB184A">
              <w:rPr>
                <w:rFonts w:ascii="Times New Roman" w:hAnsi="Times New Roman"/>
                <w:sz w:val="24"/>
                <w:szCs w:val="24"/>
                <w:lang w:val="en-US"/>
              </w:rPr>
              <w:t> </w:t>
            </w:r>
            <w:r w:rsidR="00E525DA">
              <w:rPr>
                <w:rFonts w:ascii="Times New Roman" w:hAnsi="Times New Roman"/>
                <w:sz w:val="24"/>
                <w:szCs w:val="24"/>
                <w:lang w:val="en-US"/>
              </w:rPr>
              <w:t>It helps stimulate the participation of SMEs and help opening up the supply chains, linking large companies with SME</w:t>
            </w:r>
            <w:r w:rsidR="00DF611B">
              <w:rPr>
                <w:rFonts w:ascii="Times New Roman" w:hAnsi="Times New Roman"/>
                <w:sz w:val="24"/>
                <w:szCs w:val="24"/>
                <w:lang w:val="en-US"/>
              </w:rPr>
              <w:t xml:space="preserve"> ecosystems across the EU. </w:t>
            </w:r>
          </w:p>
          <w:p w14:paraId="3DF44118" w14:textId="26B28303"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 xml:space="preserve">SME specific </w:t>
            </w:r>
            <w:r w:rsidR="00234B35">
              <w:rPr>
                <w:rFonts w:ascii="Times New Roman" w:hAnsi="Times New Roman"/>
                <w:sz w:val="24"/>
                <w:szCs w:val="24"/>
              </w:rPr>
              <w:t>support</w:t>
            </w:r>
            <w:r w:rsidR="00234B35" w:rsidRPr="00BB184A">
              <w:rPr>
                <w:rFonts w:ascii="Times New Roman" w:hAnsi="Times New Roman"/>
                <w:sz w:val="24"/>
                <w:szCs w:val="24"/>
              </w:rPr>
              <w:t xml:space="preserve"> </w:t>
            </w:r>
            <w:r w:rsidR="00234B35">
              <w:rPr>
                <w:rFonts w:ascii="Times New Roman" w:hAnsi="Times New Roman"/>
                <w:sz w:val="24"/>
                <w:szCs w:val="24"/>
              </w:rPr>
              <w:t>could</w:t>
            </w:r>
            <w:r w:rsidRPr="00BB184A">
              <w:rPr>
                <w:rFonts w:ascii="Times New Roman" w:hAnsi="Times New Roman"/>
                <w:sz w:val="24"/>
                <w:szCs w:val="24"/>
              </w:rPr>
              <w:t xml:space="preserve"> be built in the architecture of the Competitiveness Fund</w:t>
            </w:r>
            <w:r w:rsidR="00535032">
              <w:rPr>
                <w:rFonts w:ascii="Times New Roman" w:hAnsi="Times New Roman"/>
                <w:sz w:val="24"/>
                <w:szCs w:val="24"/>
              </w:rPr>
              <w:t xml:space="preserve"> to allow SMEs to use the funding more efficiently than under the previous MFF</w:t>
            </w:r>
            <w:r w:rsidRPr="00BB184A">
              <w:rPr>
                <w:rFonts w:ascii="Times New Roman" w:hAnsi="Times New Roman"/>
                <w:sz w:val="24"/>
                <w:szCs w:val="24"/>
              </w:rPr>
              <w:t>.</w:t>
            </w:r>
          </w:p>
        </w:tc>
      </w:tr>
      <w:tr w:rsidR="00F71756" w:rsidRPr="00F71756" w14:paraId="4C78DE18" w14:textId="77777777" w:rsidTr="51E02097">
        <w:trPr>
          <w:trHeight w:val="300"/>
        </w:trPr>
        <w:tc>
          <w:tcPr>
            <w:tcW w:w="9535" w:type="dxa"/>
            <w:tcBorders>
              <w:top w:val="single" w:sz="6" w:space="0" w:color="auto"/>
              <w:left w:val="single" w:sz="6" w:space="0" w:color="auto"/>
              <w:bottom w:val="single" w:sz="6" w:space="0" w:color="auto"/>
              <w:right w:val="single" w:sz="6" w:space="0" w:color="auto"/>
            </w:tcBorders>
            <w:hideMark/>
          </w:tcPr>
          <w:p w14:paraId="5A8C1E72"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Estimated number of directly affected SMEs</w:t>
            </w:r>
            <w:r w:rsidRPr="00BB184A">
              <w:rPr>
                <w:rFonts w:ascii="Times New Roman" w:hAnsi="Times New Roman"/>
                <w:sz w:val="24"/>
                <w:szCs w:val="24"/>
                <w:lang w:val="en-US"/>
              </w:rPr>
              <w:t> </w:t>
            </w:r>
          </w:p>
        </w:tc>
      </w:tr>
      <w:tr w:rsidR="00F71756" w:rsidRPr="00F71756" w14:paraId="3825F524" w14:textId="77777777" w:rsidTr="51E02097">
        <w:trPr>
          <w:trHeight w:val="300"/>
        </w:trPr>
        <w:tc>
          <w:tcPr>
            <w:tcW w:w="9535" w:type="dxa"/>
            <w:tcBorders>
              <w:top w:val="single" w:sz="6" w:space="0" w:color="auto"/>
              <w:left w:val="single" w:sz="6" w:space="0" w:color="auto"/>
              <w:bottom w:val="single" w:sz="6" w:space="0" w:color="auto"/>
              <w:right w:val="single" w:sz="6" w:space="0" w:color="auto"/>
            </w:tcBorders>
            <w:hideMark/>
          </w:tcPr>
          <w:p w14:paraId="1B8AD54F" w14:textId="563389EE"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lang w:val="en-US"/>
              </w:rPr>
              <w:t> </w:t>
            </w:r>
            <w:r w:rsidRPr="00BB184A">
              <w:rPr>
                <w:rFonts w:ascii="Times New Roman" w:hAnsi="Times New Roman"/>
                <w:sz w:val="24"/>
                <w:szCs w:val="24"/>
              </w:rPr>
              <w:t xml:space="preserve">Although a total number of SMEs participating in all the programmes under the scope of this initiative is not available, scale of SME’s involvements can be illustrated by the participation number of SMEs in programmes for which this data is available: </w:t>
            </w:r>
            <w:r w:rsidR="0999ED64" w:rsidRPr="00BB184A">
              <w:rPr>
                <w:rFonts w:ascii="Times New Roman" w:hAnsi="Times New Roman"/>
                <w:sz w:val="24"/>
                <w:szCs w:val="24"/>
                <w:lang w:val="en-US"/>
              </w:rPr>
              <w:t>Based on the collected data, 332 236 SMEs benefitted from the 9 programmes over different timeframes between 2020 and 2025. This figure is obviously an underestimation of the total number of SMEs supported by the programmes over a programming period. It refers, approximately, to half a programming period, does not cover all programmes under scope, and only refers to beneficiaries (i.e. excluding applicants). Based on this, a rough estimate can be put forward (but to be interpreted with caution) about the total number of SMEs affected by the introduction of the Competitiveness Fund (option 3): it is estimated that this number is approximately one million SMEs.</w:t>
            </w:r>
            <w:r w:rsidR="002513FF">
              <w:rPr>
                <w:rStyle w:val="FootnoteReference"/>
                <w:rFonts w:ascii="Times New Roman" w:hAnsi="Times New Roman"/>
                <w:sz w:val="24"/>
                <w:szCs w:val="24"/>
                <w:lang w:val="en-US"/>
              </w:rPr>
              <w:footnoteReference w:id="191"/>
            </w:r>
          </w:p>
        </w:tc>
      </w:tr>
      <w:tr w:rsidR="00F71756" w:rsidRPr="00F71756" w14:paraId="0C626FAB" w14:textId="77777777" w:rsidTr="51E02097">
        <w:trPr>
          <w:trHeight w:val="300"/>
        </w:trPr>
        <w:tc>
          <w:tcPr>
            <w:tcW w:w="9535" w:type="dxa"/>
            <w:tcBorders>
              <w:top w:val="single" w:sz="6" w:space="0" w:color="auto"/>
              <w:left w:val="single" w:sz="6" w:space="0" w:color="auto"/>
              <w:bottom w:val="single" w:sz="6" w:space="0" w:color="auto"/>
              <w:right w:val="single" w:sz="6" w:space="0" w:color="auto"/>
            </w:tcBorders>
            <w:hideMark/>
          </w:tcPr>
          <w:p w14:paraId="233A3DD2"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Estimated number of employees in directly affected SMEs</w:t>
            </w:r>
            <w:r w:rsidRPr="00BB184A">
              <w:rPr>
                <w:rFonts w:ascii="Times New Roman" w:hAnsi="Times New Roman"/>
                <w:sz w:val="24"/>
                <w:szCs w:val="24"/>
                <w:lang w:val="en-US"/>
              </w:rPr>
              <w:t> </w:t>
            </w:r>
          </w:p>
        </w:tc>
      </w:tr>
      <w:tr w:rsidR="00F71756" w:rsidRPr="00F71756" w14:paraId="734431DE" w14:textId="77777777" w:rsidTr="51E02097">
        <w:trPr>
          <w:trHeight w:val="300"/>
        </w:trPr>
        <w:tc>
          <w:tcPr>
            <w:tcW w:w="9535" w:type="dxa"/>
            <w:tcBorders>
              <w:top w:val="single" w:sz="6" w:space="0" w:color="auto"/>
              <w:left w:val="single" w:sz="6" w:space="0" w:color="auto"/>
              <w:bottom w:val="single" w:sz="6" w:space="0" w:color="auto"/>
              <w:right w:val="single" w:sz="6" w:space="0" w:color="auto"/>
            </w:tcBorders>
            <w:hideMark/>
          </w:tcPr>
          <w:p w14:paraId="72C4642E" w14:textId="4D504B21" w:rsidR="00F71756" w:rsidRPr="00BB184A" w:rsidRDefault="00864C00" w:rsidP="00603157">
            <w:pPr>
              <w:pStyle w:val="BodyText1"/>
              <w:rPr>
                <w:rFonts w:ascii="Times New Roman" w:hAnsi="Times New Roman"/>
                <w:sz w:val="24"/>
                <w:szCs w:val="24"/>
                <w:lang w:val="en-US"/>
              </w:rPr>
            </w:pPr>
            <w:r w:rsidRPr="00BB184A">
              <w:rPr>
                <w:rFonts w:ascii="Times New Roman" w:hAnsi="Times New Roman"/>
                <w:sz w:val="24"/>
                <w:szCs w:val="24"/>
              </w:rPr>
              <w:t>According to the European Commission, Europe has 24.3 million SMEs, providing jobs to more than 85 million European citizens, i.e. with a ratio of about 3.5 jobs per SME. As such, the estimated number of employees in directly affected SMEs is 3.5 million.</w:t>
            </w:r>
          </w:p>
        </w:tc>
      </w:tr>
      <w:tr w:rsidR="00F71756" w:rsidRPr="00F71756" w14:paraId="3F27FCD3" w14:textId="77777777" w:rsidTr="51E02097">
        <w:trPr>
          <w:trHeight w:val="300"/>
        </w:trPr>
        <w:tc>
          <w:tcPr>
            <w:tcW w:w="9535" w:type="dxa"/>
            <w:tcBorders>
              <w:top w:val="single" w:sz="6" w:space="0" w:color="auto"/>
              <w:left w:val="single" w:sz="6" w:space="0" w:color="auto"/>
              <w:bottom w:val="single" w:sz="6" w:space="0" w:color="auto"/>
              <w:right w:val="single" w:sz="6" w:space="0" w:color="auto"/>
            </w:tcBorders>
            <w:hideMark/>
          </w:tcPr>
          <w:p w14:paraId="1A3A06EA"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 xml:space="preserve">Are SMEs indirectly affected? </w:t>
            </w:r>
            <w:r w:rsidRPr="00BB184A">
              <w:rPr>
                <w:rFonts w:ascii="Times New Roman" w:hAnsi="Times New Roman"/>
                <w:sz w:val="24"/>
                <w:szCs w:val="24"/>
              </w:rPr>
              <w:t>(Yes/No)</w:t>
            </w:r>
            <w:r w:rsidRPr="00BB184A">
              <w:rPr>
                <w:rFonts w:ascii="Times New Roman" w:hAnsi="Times New Roman"/>
                <w:b/>
                <w:bCs/>
                <w:sz w:val="24"/>
                <w:szCs w:val="24"/>
              </w:rPr>
              <w:t xml:space="preserve"> In which sectors? What is the estimated number of indirectly affected SMEs and employees?</w:t>
            </w:r>
            <w:r w:rsidRPr="00BB184A">
              <w:rPr>
                <w:rFonts w:ascii="Times New Roman" w:hAnsi="Times New Roman"/>
                <w:sz w:val="24"/>
                <w:szCs w:val="24"/>
                <w:lang w:val="en-US"/>
              </w:rPr>
              <w:t> </w:t>
            </w:r>
          </w:p>
        </w:tc>
      </w:tr>
      <w:tr w:rsidR="00F71756" w:rsidRPr="00F71756" w14:paraId="02B822BA" w14:textId="77777777" w:rsidTr="51E02097">
        <w:trPr>
          <w:trHeight w:val="300"/>
        </w:trPr>
        <w:tc>
          <w:tcPr>
            <w:tcW w:w="9535" w:type="dxa"/>
            <w:tcBorders>
              <w:top w:val="single" w:sz="6" w:space="0" w:color="auto"/>
              <w:left w:val="single" w:sz="6" w:space="0" w:color="auto"/>
              <w:bottom w:val="single" w:sz="6" w:space="0" w:color="auto"/>
              <w:right w:val="single" w:sz="6" w:space="0" w:color="auto"/>
            </w:tcBorders>
            <w:hideMark/>
          </w:tcPr>
          <w:p w14:paraId="3ABD1414" w14:textId="0811F774"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Positive spillover effects are expected, as technologies developed under the fund may benefit adjacent sectors. Demand generated by beneficiaries is also expected to raise productivity in supplier networks. While a precise number is not available, SMEs are also indirectly affected. The creation of a single fund is expected to stimulate broader market activity by simplifying funding access, which can generate spillover effects in supporting sectors—such as consulting, supply chains, legal services, and skills.</w:t>
            </w:r>
          </w:p>
        </w:tc>
      </w:tr>
    </w:tbl>
    <w:p w14:paraId="6D18FCC7" w14:textId="0A4DAFE0" w:rsidR="00F71756" w:rsidRPr="00F370FB" w:rsidRDefault="00F71756" w:rsidP="00603157">
      <w:pPr>
        <w:pStyle w:val="BodyText1"/>
        <w:rPr>
          <w:rFonts w:ascii="Times New Roman" w:hAnsi="Times New Roman"/>
          <w:sz w:val="10"/>
          <w:szCs w:val="10"/>
          <w:lang w:val="en-US"/>
        </w:rPr>
      </w:pP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5"/>
      </w:tblGrid>
      <w:tr w:rsidR="00F71756" w:rsidRPr="00F71756" w14:paraId="731F7B69" w14:textId="77777777" w:rsidTr="51E02097">
        <w:trPr>
          <w:trHeight w:val="300"/>
        </w:trPr>
        <w:tc>
          <w:tcPr>
            <w:tcW w:w="9315" w:type="dxa"/>
            <w:tcBorders>
              <w:top w:val="single" w:sz="6" w:space="0" w:color="auto"/>
              <w:left w:val="single" w:sz="6" w:space="0" w:color="auto"/>
              <w:bottom w:val="single" w:sz="6" w:space="0" w:color="auto"/>
              <w:right w:val="single" w:sz="6" w:space="0" w:color="auto"/>
            </w:tcBorders>
            <w:hideMark/>
          </w:tcPr>
          <w:p w14:paraId="72A65BDF" w14:textId="77777777" w:rsidR="00F71756" w:rsidRPr="00BB184A" w:rsidRDefault="00F71756" w:rsidP="008C51EB">
            <w:pPr>
              <w:pStyle w:val="BodyText1"/>
              <w:numPr>
                <w:ilvl w:val="0"/>
                <w:numId w:val="98"/>
              </w:numPr>
              <w:divId w:val="598761310"/>
              <w:rPr>
                <w:rFonts w:ascii="Times New Roman" w:hAnsi="Times New Roman"/>
                <w:sz w:val="24"/>
                <w:szCs w:val="24"/>
                <w:lang w:val="en-US"/>
              </w:rPr>
            </w:pPr>
            <w:r w:rsidRPr="00BB184A">
              <w:rPr>
                <w:rFonts w:ascii="Times New Roman" w:hAnsi="Times New Roman"/>
                <w:b/>
                <w:bCs/>
                <w:sz w:val="24"/>
                <w:szCs w:val="24"/>
              </w:rPr>
              <w:t>Consultation of SME stakeholders</w:t>
            </w:r>
            <w:r w:rsidRPr="00BB184A">
              <w:rPr>
                <w:rFonts w:ascii="Times New Roman" w:hAnsi="Times New Roman"/>
                <w:sz w:val="24"/>
                <w:szCs w:val="24"/>
                <w:lang w:val="en-US"/>
              </w:rPr>
              <w:t> </w:t>
            </w:r>
          </w:p>
        </w:tc>
      </w:tr>
      <w:tr w:rsidR="00F71756" w:rsidRPr="00F71756" w14:paraId="1D389B42" w14:textId="77777777" w:rsidTr="51E02097">
        <w:trPr>
          <w:trHeight w:val="300"/>
        </w:trPr>
        <w:tc>
          <w:tcPr>
            <w:tcW w:w="9315" w:type="dxa"/>
            <w:tcBorders>
              <w:top w:val="single" w:sz="6" w:space="0" w:color="auto"/>
              <w:left w:val="single" w:sz="6" w:space="0" w:color="auto"/>
              <w:bottom w:val="single" w:sz="6" w:space="0" w:color="auto"/>
              <w:right w:val="single" w:sz="6" w:space="0" w:color="auto"/>
            </w:tcBorders>
            <w:hideMark/>
          </w:tcPr>
          <w:p w14:paraId="19CE5FA9"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How has the input from the SME community been taken into consideration?</w:t>
            </w:r>
            <w:r w:rsidRPr="00BB184A">
              <w:rPr>
                <w:rFonts w:ascii="Times New Roman" w:hAnsi="Times New Roman"/>
                <w:sz w:val="24"/>
                <w:szCs w:val="24"/>
                <w:lang w:val="en-US"/>
              </w:rPr>
              <w:t> </w:t>
            </w:r>
          </w:p>
        </w:tc>
      </w:tr>
      <w:tr w:rsidR="00F71756" w:rsidRPr="00F71756" w14:paraId="06A4E2C5" w14:textId="77777777" w:rsidTr="51E02097">
        <w:trPr>
          <w:trHeight w:val="300"/>
        </w:trPr>
        <w:tc>
          <w:tcPr>
            <w:tcW w:w="9315" w:type="dxa"/>
            <w:tcBorders>
              <w:top w:val="single" w:sz="6" w:space="0" w:color="auto"/>
              <w:left w:val="single" w:sz="6" w:space="0" w:color="auto"/>
              <w:bottom w:val="single" w:sz="6" w:space="0" w:color="auto"/>
              <w:right w:val="single" w:sz="6" w:space="0" w:color="auto"/>
            </w:tcBorders>
            <w:hideMark/>
          </w:tcPr>
          <w:p w14:paraId="27F3D400" w14:textId="50D695DA"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 xml:space="preserve">The Commission gathered SME input through open public consultations, where more than </w:t>
            </w:r>
            <w:r w:rsidR="7DA93FE5">
              <w:rPr>
                <w:rFonts w:ascii="Times New Roman" w:hAnsi="Times New Roman"/>
                <w:sz w:val="24"/>
                <w:szCs w:val="24"/>
              </w:rPr>
              <w:t>100</w:t>
            </w:r>
            <w:r w:rsidR="006D40A7">
              <w:rPr>
                <w:rStyle w:val="FootnoteReference"/>
                <w:rFonts w:ascii="Times New Roman" w:hAnsi="Times New Roman"/>
                <w:sz w:val="24"/>
                <w:szCs w:val="24"/>
              </w:rPr>
              <w:footnoteReference w:id="192"/>
            </w:r>
            <w:r w:rsidRPr="00BB184A">
              <w:rPr>
                <w:rFonts w:ascii="Times New Roman" w:hAnsi="Times New Roman"/>
                <w:sz w:val="24"/>
                <w:szCs w:val="24"/>
              </w:rPr>
              <w:t xml:space="preserve"> SMEs and SME associations contributed. SMEs highlighted difficulties with fragmented funding instruments and administrative burdens. Additionally, stakeholders including SME association represented by SMEUnited were consulted in a targeted manner through the 9</w:t>
            </w:r>
            <w:r w:rsidRPr="00BB184A">
              <w:rPr>
                <w:rFonts w:ascii="Times New Roman" w:hAnsi="Times New Roman"/>
                <w:sz w:val="24"/>
                <w:szCs w:val="24"/>
                <w:vertAlign w:val="superscript"/>
              </w:rPr>
              <w:t>th</w:t>
            </w:r>
            <w:r w:rsidRPr="00BB184A">
              <w:rPr>
                <w:rFonts w:ascii="Times New Roman" w:hAnsi="Times New Roman"/>
                <w:sz w:val="24"/>
                <w:szCs w:val="24"/>
              </w:rPr>
              <w:t xml:space="preserve"> plenary meeting of the Industrial Forum of 19</w:t>
            </w:r>
            <w:r w:rsidRPr="00BB184A">
              <w:rPr>
                <w:rFonts w:ascii="Times New Roman" w:hAnsi="Times New Roman"/>
                <w:sz w:val="24"/>
                <w:szCs w:val="24"/>
                <w:vertAlign w:val="superscript"/>
              </w:rPr>
              <w:t>th</w:t>
            </w:r>
            <w:r w:rsidRPr="00BB184A">
              <w:rPr>
                <w:rFonts w:ascii="Times New Roman" w:hAnsi="Times New Roman"/>
                <w:sz w:val="24"/>
                <w:szCs w:val="24"/>
              </w:rPr>
              <w:t xml:space="preserve"> March 2025, which was specifically dedicated to the Competitiveness Fund initiative.</w:t>
            </w:r>
          </w:p>
          <w:p w14:paraId="5018C45D" w14:textId="4C0DD63A"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 xml:space="preserve">During the exchange session, members, including </w:t>
            </w:r>
            <w:r w:rsidR="00F14678">
              <w:rPr>
                <w:rFonts w:ascii="Times New Roman" w:hAnsi="Times New Roman"/>
                <w:sz w:val="24"/>
                <w:szCs w:val="24"/>
              </w:rPr>
              <w:t xml:space="preserve">representative </w:t>
            </w:r>
            <w:r w:rsidRPr="00BB184A">
              <w:rPr>
                <w:rFonts w:ascii="Times New Roman" w:hAnsi="Times New Roman"/>
                <w:sz w:val="24"/>
                <w:szCs w:val="24"/>
              </w:rPr>
              <w:t xml:space="preserve">SME associations, raised similar challenges, particularly </w:t>
            </w:r>
            <w:r w:rsidRPr="00BB184A">
              <w:rPr>
                <w:rFonts w:ascii="Times New Roman" w:hAnsi="Times New Roman"/>
                <w:sz w:val="24"/>
                <w:szCs w:val="24"/>
                <w:lang w:val="en"/>
              </w:rPr>
              <w:t xml:space="preserve">the lengthy processes to access funding. They called for simpler, leaner, and faster procedures, emphasising the need for a </w:t>
            </w:r>
            <w:r w:rsidRPr="00BB184A">
              <w:rPr>
                <w:rFonts w:ascii="Times New Roman" w:hAnsi="Times New Roman"/>
                <w:sz w:val="24"/>
                <w:szCs w:val="24"/>
              </w:rPr>
              <w:t>‘one-stop</w:t>
            </w:r>
            <w:r w:rsidRPr="00BB184A">
              <w:rPr>
                <w:rFonts w:ascii="Times New Roman" w:hAnsi="Times New Roman"/>
                <w:sz w:val="24"/>
                <w:szCs w:val="24"/>
                <w:lang w:val="en"/>
              </w:rPr>
              <w:t>-shop’ for funding opportunities to streamline access. Members of the Forum highlighted the importance of supporting all Technology Readiness Levels (TRLs), both for deep tech and traditional sectors, and stressed that more funding should be dedicated to deployment, manufacturing and scaling up (high TRLs). Capacity building and advisory support must go hand in hand with financing.</w:t>
            </w:r>
            <w:r w:rsidRPr="00BB184A">
              <w:rPr>
                <w:rFonts w:ascii="Times New Roman" w:hAnsi="Times New Roman"/>
                <w:sz w:val="24"/>
                <w:szCs w:val="24"/>
              </w:rPr>
              <w:t xml:space="preserve"> They also expressed a strong need for robust funding to support long-term competitiveness and prosperity, underscoring the importance of mobilising private funding </w:t>
            </w:r>
            <w:r w:rsidRPr="00BB184A">
              <w:rPr>
                <w:rFonts w:ascii="Times New Roman" w:hAnsi="Times New Roman"/>
                <w:sz w:val="24"/>
                <w:szCs w:val="24"/>
                <w:lang w:val="en"/>
              </w:rPr>
              <w:t xml:space="preserve">alongside national and regional resources. State aid framework should be simplified and revised to allow support for high TRLs. Strategic projects should be prioritised (IPCEIs), with clear conditionalities to de-risk the value chain. </w:t>
            </w:r>
            <w:r w:rsidRPr="00BB184A">
              <w:rPr>
                <w:rFonts w:ascii="Times New Roman" w:hAnsi="Times New Roman"/>
                <w:sz w:val="24"/>
                <w:szCs w:val="24"/>
              </w:rPr>
              <w:t xml:space="preserve">Concerns were raised about the risk of losing advanced manufacturing to global competitors and the need for clearer frameworks and tailored support for SMEs. </w:t>
            </w:r>
            <w:r w:rsidRPr="00BB184A">
              <w:rPr>
                <w:rFonts w:ascii="Times New Roman" w:hAnsi="Times New Roman"/>
                <w:sz w:val="24"/>
                <w:szCs w:val="24"/>
                <w:lang w:val="en"/>
              </w:rPr>
              <w:t xml:space="preserve">They also emphasised the importance of </w:t>
            </w:r>
            <w:r w:rsidRPr="00BB184A">
              <w:rPr>
                <w:rFonts w:ascii="Times New Roman" w:hAnsi="Times New Roman"/>
                <w:sz w:val="24"/>
                <w:szCs w:val="24"/>
              </w:rPr>
              <w:t>supporting clean industries, welcoming the new Clean Industrial Deal, and ensuring strategic investment across the value chain.</w:t>
            </w:r>
          </w:p>
          <w:p w14:paraId="5ED403DB" w14:textId="55072C39"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 xml:space="preserve">Through an interactive </w:t>
            </w:r>
            <w:r w:rsidR="00671592">
              <w:rPr>
                <w:rFonts w:ascii="Times New Roman" w:hAnsi="Times New Roman"/>
                <w:sz w:val="24"/>
                <w:szCs w:val="24"/>
              </w:rPr>
              <w:t>survey</w:t>
            </w:r>
            <w:r w:rsidRPr="00BB184A">
              <w:rPr>
                <w:rFonts w:ascii="Times New Roman" w:hAnsi="Times New Roman"/>
                <w:sz w:val="24"/>
                <w:szCs w:val="24"/>
              </w:rPr>
              <w:t xml:space="preserve">, members were asked about which key priorities the Competitiveness Fund should address. Simpler, leaner and quicker processes to access funding were voted for as the main priority, followed by funding for scale-up, manufacturing and deployment, the need for de-risking private investments, and </w:t>
            </w:r>
            <w:r w:rsidRPr="00BB184A">
              <w:rPr>
                <w:rFonts w:ascii="Times New Roman" w:hAnsi="Times New Roman"/>
                <w:sz w:val="24"/>
                <w:szCs w:val="24"/>
                <w:lang w:val="en"/>
              </w:rPr>
              <w:t xml:space="preserve">a </w:t>
            </w:r>
            <w:r w:rsidRPr="00BB184A">
              <w:rPr>
                <w:rFonts w:ascii="Times New Roman" w:hAnsi="Times New Roman"/>
                <w:sz w:val="24"/>
                <w:szCs w:val="24"/>
              </w:rPr>
              <w:t>‘one-stop</w:t>
            </w:r>
            <w:r w:rsidRPr="00BB184A">
              <w:rPr>
                <w:rFonts w:ascii="Times New Roman" w:hAnsi="Times New Roman"/>
                <w:sz w:val="24"/>
                <w:szCs w:val="24"/>
                <w:lang w:val="en"/>
              </w:rPr>
              <w:t>-shop’ for funding opportunities</w:t>
            </w:r>
            <w:r w:rsidRPr="00BB184A">
              <w:rPr>
                <w:rFonts w:ascii="Times New Roman" w:hAnsi="Times New Roman"/>
                <w:sz w:val="24"/>
                <w:szCs w:val="24"/>
              </w:rPr>
              <w:t>.</w:t>
            </w:r>
            <w:r w:rsidRPr="00BB184A">
              <w:rPr>
                <w:rFonts w:ascii="Times New Roman" w:hAnsi="Times New Roman"/>
                <w:sz w:val="24"/>
                <w:szCs w:val="24"/>
                <w:lang w:val="en-US"/>
              </w:rPr>
              <w:t> </w:t>
            </w:r>
          </w:p>
        </w:tc>
      </w:tr>
      <w:tr w:rsidR="00F71756" w:rsidRPr="00F71756" w14:paraId="4FA32DBA" w14:textId="77777777" w:rsidTr="51E02097">
        <w:trPr>
          <w:trHeight w:val="300"/>
        </w:trPr>
        <w:tc>
          <w:tcPr>
            <w:tcW w:w="9315" w:type="dxa"/>
            <w:tcBorders>
              <w:top w:val="single" w:sz="6" w:space="0" w:color="auto"/>
              <w:left w:val="single" w:sz="6" w:space="0" w:color="auto"/>
              <w:bottom w:val="single" w:sz="6" w:space="0" w:color="auto"/>
              <w:right w:val="single" w:sz="6" w:space="0" w:color="auto"/>
            </w:tcBorders>
            <w:hideMark/>
          </w:tcPr>
          <w:p w14:paraId="7E9C5CDB" w14:textId="31A06738"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 xml:space="preserve">Are SMEs’ views different from those of large businesses? </w:t>
            </w:r>
          </w:p>
        </w:tc>
      </w:tr>
      <w:tr w:rsidR="00F71756" w:rsidRPr="00F71756" w14:paraId="2D2B7723" w14:textId="77777777" w:rsidTr="51E02097">
        <w:trPr>
          <w:trHeight w:val="300"/>
        </w:trPr>
        <w:tc>
          <w:tcPr>
            <w:tcW w:w="9315" w:type="dxa"/>
            <w:tcBorders>
              <w:top w:val="single" w:sz="6" w:space="0" w:color="auto"/>
              <w:left w:val="single" w:sz="6" w:space="0" w:color="auto"/>
              <w:bottom w:val="single" w:sz="6" w:space="0" w:color="auto"/>
              <w:right w:val="single" w:sz="6" w:space="0" w:color="auto"/>
            </w:tcBorders>
            <w:hideMark/>
          </w:tcPr>
          <w:p w14:paraId="24D226E9" w14:textId="64523F43"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While large companies can manage complexity of different requirements per programme and scattered funding information due to greater resources, SMEs often find the current system fragmented and difficult to navigate. They are more dependent on streamlined processes, and thus more supportive of the consolidation into one funding tool. SMEs favoured stronger guidance, simpler eligibility rules, and faster access</w:t>
            </w:r>
            <w:r w:rsidR="00D12B34">
              <w:rPr>
                <w:rFonts w:ascii="Times New Roman" w:hAnsi="Times New Roman"/>
                <w:sz w:val="24"/>
                <w:szCs w:val="24"/>
              </w:rPr>
              <w:t xml:space="preserve"> to funding</w:t>
            </w:r>
            <w:r w:rsidRPr="00BB184A">
              <w:rPr>
                <w:rFonts w:ascii="Times New Roman" w:hAnsi="Times New Roman"/>
                <w:sz w:val="24"/>
                <w:szCs w:val="24"/>
              </w:rPr>
              <w:t>—all of which have been integrated into the Competitiveness Fund. The time-to-inform and the time-to-grant is also expected to be reduced by tens of days, especially helping SMEs.</w:t>
            </w:r>
            <w:r w:rsidRPr="00BB184A">
              <w:rPr>
                <w:rFonts w:ascii="Times New Roman" w:hAnsi="Times New Roman"/>
                <w:sz w:val="24"/>
                <w:szCs w:val="24"/>
                <w:lang w:val="en-US"/>
              </w:rPr>
              <w:t> </w:t>
            </w:r>
          </w:p>
        </w:tc>
      </w:tr>
    </w:tbl>
    <w:p w14:paraId="77863FEB" w14:textId="5CE2B940" w:rsidR="00F71756" w:rsidRPr="00F370FB" w:rsidRDefault="00F71756" w:rsidP="00603157">
      <w:pPr>
        <w:pStyle w:val="BodyText1"/>
        <w:rPr>
          <w:rFonts w:ascii="Times New Roman" w:hAnsi="Times New Roman"/>
          <w:sz w:val="10"/>
          <w:szCs w:val="10"/>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85"/>
      </w:tblGrid>
      <w:tr w:rsidR="00F71756" w:rsidRPr="00F71756" w14:paraId="1ADD9E04"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744F2223" w14:textId="77777777" w:rsidR="00F71756" w:rsidRPr="00BB184A" w:rsidRDefault="00F71756" w:rsidP="008C51EB">
            <w:pPr>
              <w:pStyle w:val="BodyText1"/>
              <w:numPr>
                <w:ilvl w:val="0"/>
                <w:numId w:val="99"/>
              </w:numPr>
              <w:divId w:val="1582375263"/>
              <w:rPr>
                <w:rFonts w:ascii="Times New Roman" w:hAnsi="Times New Roman"/>
                <w:sz w:val="24"/>
                <w:szCs w:val="24"/>
                <w:lang w:val="en-US"/>
              </w:rPr>
            </w:pPr>
            <w:r w:rsidRPr="00BB184A">
              <w:rPr>
                <w:rFonts w:ascii="Times New Roman" w:hAnsi="Times New Roman"/>
                <w:b/>
                <w:bCs/>
                <w:sz w:val="24"/>
                <w:szCs w:val="24"/>
              </w:rPr>
              <w:t>Assessment of impacts on SMEs</w:t>
            </w:r>
            <w:r w:rsidRPr="00BB184A">
              <w:rPr>
                <w:rFonts w:ascii="Times New Roman" w:hAnsi="Times New Roman"/>
                <w:b/>
                <w:bCs/>
                <w:sz w:val="24"/>
                <w:szCs w:val="24"/>
                <w:vertAlign w:val="superscript"/>
              </w:rPr>
              <w:t>3</w:t>
            </w:r>
            <w:r w:rsidRPr="00BB184A">
              <w:rPr>
                <w:rFonts w:ascii="Times New Roman" w:hAnsi="Times New Roman"/>
                <w:sz w:val="24"/>
                <w:szCs w:val="24"/>
                <w:lang w:val="en-US"/>
              </w:rPr>
              <w:t> </w:t>
            </w:r>
          </w:p>
        </w:tc>
      </w:tr>
      <w:tr w:rsidR="00F71756" w:rsidRPr="00F71756" w14:paraId="00C31CD3"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4303B853" w14:textId="5D923801"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What are the estimated direct costs for SMEs of the preferred policy option</w:t>
            </w:r>
            <w:r w:rsidR="00267016">
              <w:rPr>
                <w:rFonts w:ascii="Times New Roman" w:hAnsi="Times New Roman"/>
                <w:sz w:val="24"/>
                <w:szCs w:val="24"/>
                <w:lang w:val="en-US"/>
              </w:rPr>
              <w:t xml:space="preserve"> ?</w:t>
            </w:r>
          </w:p>
        </w:tc>
      </w:tr>
      <w:tr w:rsidR="00F71756" w:rsidRPr="00F71756" w14:paraId="18AA38DA"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583587DE"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Qualitative assessment</w:t>
            </w:r>
            <w:r w:rsidRPr="00BB184A">
              <w:rPr>
                <w:rFonts w:ascii="Times New Roman" w:hAnsi="Times New Roman"/>
                <w:sz w:val="24"/>
                <w:szCs w:val="24"/>
                <w:lang w:val="en-US"/>
              </w:rPr>
              <w:t> </w:t>
            </w:r>
          </w:p>
        </w:tc>
      </w:tr>
      <w:tr w:rsidR="00F71756" w:rsidRPr="00F71756" w14:paraId="2779DE6B"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5C2235E1"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The direct costs for SMEs under the Competitiveness Fund relate mainly to transitional efforts—adjusting to the new rules and learning the consolidated application system. However, these are expected to be temporary. Over time, SMEs will face significantly lower costs due to reduced administrative and compliance burdens.</w:t>
            </w:r>
            <w:r w:rsidRPr="00BB184A">
              <w:rPr>
                <w:rFonts w:ascii="Times New Roman" w:hAnsi="Times New Roman"/>
                <w:sz w:val="24"/>
                <w:szCs w:val="24"/>
                <w:lang w:val="en-US"/>
              </w:rPr>
              <w:t> </w:t>
            </w:r>
          </w:p>
        </w:tc>
      </w:tr>
      <w:tr w:rsidR="00F71756" w:rsidRPr="00F71756" w14:paraId="54D381CD"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09567502"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Quantitative assessment</w:t>
            </w:r>
            <w:r w:rsidRPr="00BB184A">
              <w:rPr>
                <w:rFonts w:ascii="Times New Roman" w:hAnsi="Times New Roman"/>
                <w:sz w:val="24"/>
                <w:szCs w:val="24"/>
                <w:lang w:val="en-US"/>
              </w:rPr>
              <w:t> </w:t>
            </w:r>
          </w:p>
        </w:tc>
      </w:tr>
      <w:tr w:rsidR="00F71756" w:rsidRPr="00F71756" w14:paraId="4F83711A"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437DE33D" w14:textId="3AD01609"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Current proposal is expected to have the shortest proposal preparation time for grants, expected to decrease by 10% compared to the baseline, translating into monetary costs in the range of EUR 4500 – EUR 28 800 per proposal. With the streamlined procedures in the Competitiveness Fund, this is expected to fall.</w:t>
            </w:r>
          </w:p>
        </w:tc>
      </w:tr>
      <w:tr w:rsidR="00F71756" w:rsidRPr="00F71756" w14:paraId="361EE78F"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0096D967"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What are the estimated direct benefits/cost savings for SMEs of the preferred policy option</w:t>
            </w:r>
            <w:r w:rsidRPr="00BB184A">
              <w:rPr>
                <w:rFonts w:ascii="Times New Roman" w:hAnsi="Times New Roman"/>
                <w:b/>
                <w:bCs/>
                <w:sz w:val="24"/>
                <w:szCs w:val="24"/>
                <w:vertAlign w:val="superscript"/>
              </w:rPr>
              <w:t>4</w:t>
            </w:r>
            <w:r w:rsidRPr="00BB184A">
              <w:rPr>
                <w:rFonts w:ascii="Times New Roman" w:hAnsi="Times New Roman"/>
                <w:b/>
                <w:bCs/>
                <w:sz w:val="24"/>
                <w:szCs w:val="24"/>
              </w:rPr>
              <w:t>?</w:t>
            </w:r>
            <w:r w:rsidRPr="00BB184A">
              <w:rPr>
                <w:rFonts w:ascii="Times New Roman" w:hAnsi="Times New Roman"/>
                <w:sz w:val="24"/>
                <w:szCs w:val="24"/>
                <w:lang w:val="en-US"/>
              </w:rPr>
              <w:t> </w:t>
            </w:r>
          </w:p>
        </w:tc>
      </w:tr>
      <w:tr w:rsidR="00F71756" w:rsidRPr="00F71756" w14:paraId="360E1FFA"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5AA63A0E"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Qualitative assessment</w:t>
            </w:r>
            <w:r w:rsidRPr="00BB184A">
              <w:rPr>
                <w:rFonts w:ascii="Times New Roman" w:hAnsi="Times New Roman"/>
                <w:sz w:val="24"/>
                <w:szCs w:val="24"/>
                <w:lang w:val="en-US"/>
              </w:rPr>
              <w:t> </w:t>
            </w:r>
          </w:p>
        </w:tc>
      </w:tr>
      <w:tr w:rsidR="00F71756" w:rsidRPr="00F71756" w14:paraId="0AB16379"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2A40956E"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Qualitatively, SMEs will benefit from easier access to funding, and lower reporting and compliance burdens. The consolidation will enhance predictability, reduce overhead, and allow SMEs to focus on their core activities, and create innovation and growth.</w:t>
            </w:r>
            <w:r w:rsidRPr="00BB184A">
              <w:rPr>
                <w:rFonts w:ascii="Times New Roman" w:hAnsi="Times New Roman"/>
                <w:sz w:val="24"/>
                <w:szCs w:val="24"/>
                <w:lang w:val="en-US"/>
              </w:rPr>
              <w:t> </w:t>
            </w:r>
          </w:p>
        </w:tc>
      </w:tr>
      <w:tr w:rsidR="00F71756" w:rsidRPr="00F71756" w14:paraId="40DC750A"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5241C983"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Quantitative assessment</w:t>
            </w:r>
            <w:r w:rsidRPr="00BB184A">
              <w:rPr>
                <w:rFonts w:ascii="Times New Roman" w:hAnsi="Times New Roman"/>
                <w:sz w:val="24"/>
                <w:szCs w:val="24"/>
                <w:lang w:val="en-US"/>
              </w:rPr>
              <w:t> </w:t>
            </w:r>
          </w:p>
        </w:tc>
      </w:tr>
      <w:tr w:rsidR="00F71756" w:rsidRPr="00F71756" w14:paraId="71458A6A"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6C2C0EED" w14:textId="5BEA25CB"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 xml:space="preserve">There are no current quantitative numbers on the estimated cost savings for SMEs. But when reduced documentation and harmonized rules are applied across </w:t>
            </w:r>
            <w:r w:rsidR="00A206A6">
              <w:rPr>
                <w:rFonts w:ascii="Times New Roman" w:hAnsi="Times New Roman"/>
                <w:sz w:val="24"/>
                <w:szCs w:val="24"/>
              </w:rPr>
              <w:t xml:space="preserve">1 million </w:t>
            </w:r>
            <w:r w:rsidRPr="00BB184A">
              <w:rPr>
                <w:rFonts w:ascii="Times New Roman" w:hAnsi="Times New Roman"/>
                <w:sz w:val="24"/>
                <w:szCs w:val="24"/>
              </w:rPr>
              <w:t>of SMEs, this could result in high savings across the EU. The time-to-inform and the time-to-grant is also expected to be reduced by tens of days for the preferred option as compared to the baseline scenario.</w:t>
            </w:r>
            <w:r w:rsidRPr="00BB184A">
              <w:rPr>
                <w:rFonts w:ascii="Times New Roman" w:hAnsi="Times New Roman"/>
                <w:sz w:val="24"/>
                <w:szCs w:val="24"/>
                <w:lang w:val="en-US"/>
              </w:rPr>
              <w:t> </w:t>
            </w:r>
          </w:p>
        </w:tc>
      </w:tr>
      <w:tr w:rsidR="00F71756" w:rsidRPr="00F71756" w14:paraId="768BBB74"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13DBE924" w14:textId="127724A5"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 xml:space="preserve">What are the indirect impacts of this initiative on SMEs? </w:t>
            </w:r>
          </w:p>
        </w:tc>
      </w:tr>
      <w:tr w:rsidR="00F71756" w:rsidRPr="00F71756" w14:paraId="0D637715"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5AB5D970"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Indirectly, SMEs will benefit from a stronger, more coherent investment ecosystem that fosters innovation, enables scale-up, and integrates EU funding across the value chain. These changes reduce transaction costs, improve coordination, and expand access to finance.</w:t>
            </w:r>
            <w:r w:rsidRPr="00BB184A">
              <w:rPr>
                <w:rFonts w:ascii="Times New Roman" w:hAnsi="Times New Roman"/>
                <w:sz w:val="24"/>
                <w:szCs w:val="24"/>
                <w:lang w:val="en-US"/>
              </w:rPr>
              <w:t> </w:t>
            </w:r>
          </w:p>
        </w:tc>
      </w:tr>
    </w:tbl>
    <w:p w14:paraId="3BDC087E" w14:textId="79376A83" w:rsidR="00F71756" w:rsidRPr="00F370FB" w:rsidRDefault="00F71756" w:rsidP="00603157">
      <w:pPr>
        <w:pStyle w:val="BodyText1"/>
        <w:rPr>
          <w:rFonts w:ascii="Times New Roman" w:hAnsi="Times New Roman"/>
          <w:sz w:val="10"/>
          <w:szCs w:val="10"/>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85"/>
      </w:tblGrid>
      <w:tr w:rsidR="00F71756" w:rsidRPr="00F71756" w14:paraId="12FB2806"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033E9588" w14:textId="77777777" w:rsidR="00F71756" w:rsidRPr="00BB184A" w:rsidRDefault="00F71756" w:rsidP="008C51EB">
            <w:pPr>
              <w:pStyle w:val="BodyText1"/>
              <w:numPr>
                <w:ilvl w:val="0"/>
                <w:numId w:val="100"/>
              </w:numPr>
              <w:divId w:val="811487297"/>
              <w:rPr>
                <w:rFonts w:ascii="Times New Roman" w:hAnsi="Times New Roman"/>
                <w:sz w:val="24"/>
                <w:szCs w:val="24"/>
                <w:lang w:val="en-US"/>
              </w:rPr>
            </w:pPr>
            <w:r w:rsidRPr="00BB184A">
              <w:rPr>
                <w:rFonts w:ascii="Times New Roman" w:hAnsi="Times New Roman"/>
                <w:b/>
                <w:bCs/>
                <w:sz w:val="24"/>
                <w:szCs w:val="24"/>
              </w:rPr>
              <w:t>Minimising negative impacts on SMEs</w:t>
            </w:r>
            <w:r w:rsidRPr="00BB184A">
              <w:rPr>
                <w:rFonts w:ascii="Times New Roman" w:hAnsi="Times New Roman"/>
                <w:sz w:val="24"/>
                <w:szCs w:val="24"/>
                <w:lang w:val="en-US"/>
              </w:rPr>
              <w:t> </w:t>
            </w:r>
          </w:p>
        </w:tc>
      </w:tr>
      <w:tr w:rsidR="00F71756" w:rsidRPr="00F71756" w14:paraId="19C05BCD"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483B28B3"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 xml:space="preserve">Are SMEs disproportionately affected compared to large companies? </w:t>
            </w:r>
            <w:r w:rsidRPr="00BB184A">
              <w:rPr>
                <w:rFonts w:ascii="Times New Roman" w:hAnsi="Times New Roman"/>
                <w:sz w:val="24"/>
                <w:szCs w:val="24"/>
              </w:rPr>
              <w:t>(Yes/No)</w:t>
            </w:r>
            <w:r w:rsidRPr="00BB184A">
              <w:rPr>
                <w:rFonts w:ascii="Times New Roman" w:hAnsi="Times New Roman"/>
                <w:sz w:val="24"/>
                <w:szCs w:val="24"/>
                <w:lang w:val="en-US"/>
              </w:rPr>
              <w:t> </w:t>
            </w:r>
          </w:p>
          <w:p w14:paraId="2095468D"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If yes, are there any specific subgroups</w:t>
            </w:r>
            <w:r w:rsidRPr="00BB184A">
              <w:rPr>
                <w:rFonts w:ascii="Times New Roman" w:hAnsi="Times New Roman"/>
                <w:sz w:val="24"/>
                <w:szCs w:val="24"/>
              </w:rPr>
              <w:t xml:space="preserve"> </w:t>
            </w:r>
            <w:r w:rsidRPr="00BB184A">
              <w:rPr>
                <w:rFonts w:ascii="Times New Roman" w:hAnsi="Times New Roman"/>
                <w:b/>
                <w:bCs/>
                <w:sz w:val="24"/>
                <w:szCs w:val="24"/>
              </w:rPr>
              <w:t>of SMEs more exposed than others?</w:t>
            </w:r>
            <w:r w:rsidRPr="00BB184A">
              <w:rPr>
                <w:rFonts w:ascii="Times New Roman" w:hAnsi="Times New Roman"/>
                <w:sz w:val="24"/>
                <w:szCs w:val="24"/>
                <w:lang w:val="en-US"/>
              </w:rPr>
              <w:t> </w:t>
            </w:r>
          </w:p>
        </w:tc>
      </w:tr>
      <w:tr w:rsidR="00F71756" w:rsidRPr="00F71756" w14:paraId="0FB8A3CB"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038E9361"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No</w:t>
            </w:r>
            <w:r w:rsidRPr="00BB184A">
              <w:rPr>
                <w:rFonts w:ascii="Times New Roman" w:hAnsi="Times New Roman"/>
                <w:sz w:val="24"/>
                <w:szCs w:val="24"/>
                <w:lang w:val="en-US"/>
              </w:rPr>
              <w:t> </w:t>
            </w:r>
          </w:p>
        </w:tc>
      </w:tr>
      <w:tr w:rsidR="00F71756" w:rsidRPr="00F71756" w14:paraId="257A9C73"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39705506" w14:textId="0B52525F"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 xml:space="preserve">Have mitigating measures been included in the preferred option/proposal? </w:t>
            </w:r>
            <w:r w:rsidRPr="00BB184A">
              <w:rPr>
                <w:rFonts w:ascii="Times New Roman" w:hAnsi="Times New Roman"/>
                <w:sz w:val="24"/>
                <w:szCs w:val="24"/>
              </w:rPr>
              <w:t>(Yes/No)</w:t>
            </w:r>
          </w:p>
        </w:tc>
      </w:tr>
      <w:tr w:rsidR="00F71756" w:rsidRPr="00F71756" w14:paraId="7982DF82" w14:textId="77777777" w:rsidTr="00F71756">
        <w:trPr>
          <w:trHeight w:val="300"/>
        </w:trPr>
        <w:tc>
          <w:tcPr>
            <w:tcW w:w="9285" w:type="dxa"/>
            <w:tcBorders>
              <w:top w:val="single" w:sz="6" w:space="0" w:color="auto"/>
              <w:left w:val="single" w:sz="6" w:space="0" w:color="auto"/>
              <w:bottom w:val="single" w:sz="6" w:space="0" w:color="auto"/>
              <w:right w:val="single" w:sz="6" w:space="0" w:color="auto"/>
            </w:tcBorders>
            <w:hideMark/>
          </w:tcPr>
          <w:p w14:paraId="094E2C55"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rPr>
              <w:t>SMEs will benefit through:</w:t>
            </w:r>
            <w:r w:rsidRPr="00BB184A">
              <w:rPr>
                <w:rFonts w:ascii="Times New Roman" w:hAnsi="Times New Roman"/>
                <w:sz w:val="24"/>
                <w:szCs w:val="24"/>
                <w:lang w:val="en-US"/>
              </w:rPr>
              <w:t> </w:t>
            </w:r>
          </w:p>
          <w:p w14:paraId="75DE968A" w14:textId="77777777" w:rsidR="00E438D9" w:rsidRDefault="00E438D9" w:rsidP="008C51EB">
            <w:pPr>
              <w:pStyle w:val="BodyText1"/>
              <w:numPr>
                <w:ilvl w:val="0"/>
                <w:numId w:val="103"/>
              </w:numPr>
              <w:spacing w:before="0" w:after="0"/>
              <w:rPr>
                <w:rFonts w:ascii="Times New Roman" w:hAnsi="Times New Roman"/>
                <w:sz w:val="24"/>
                <w:szCs w:val="24"/>
                <w:lang w:val="en-US"/>
              </w:rPr>
            </w:pPr>
            <w:r w:rsidRPr="00BB184A">
              <w:rPr>
                <w:rFonts w:ascii="Times New Roman" w:hAnsi="Times New Roman"/>
                <w:sz w:val="24"/>
                <w:szCs w:val="24"/>
                <w:lang w:val="da-DK"/>
              </w:rPr>
              <w:t>Single-entry application portal</w:t>
            </w:r>
            <w:r w:rsidRPr="00BB184A">
              <w:rPr>
                <w:rFonts w:ascii="Times New Roman" w:hAnsi="Times New Roman"/>
                <w:sz w:val="24"/>
                <w:szCs w:val="24"/>
                <w:lang w:val="en-US"/>
              </w:rPr>
              <w:t> </w:t>
            </w:r>
          </w:p>
          <w:p w14:paraId="47480850" w14:textId="16F45BAE" w:rsidR="00F71756" w:rsidRPr="00BB184A" w:rsidRDefault="00F71756" w:rsidP="008C51EB">
            <w:pPr>
              <w:pStyle w:val="BodyText1"/>
              <w:numPr>
                <w:ilvl w:val="0"/>
                <w:numId w:val="103"/>
              </w:numPr>
              <w:spacing w:before="0" w:after="0"/>
              <w:rPr>
                <w:rFonts w:ascii="Times New Roman" w:hAnsi="Times New Roman"/>
                <w:sz w:val="24"/>
                <w:szCs w:val="24"/>
                <w:lang w:val="en-US"/>
              </w:rPr>
            </w:pPr>
            <w:r w:rsidRPr="00BB184A">
              <w:rPr>
                <w:rFonts w:ascii="Times New Roman" w:hAnsi="Times New Roman"/>
                <w:sz w:val="24"/>
                <w:szCs w:val="24"/>
                <w:lang w:val="da-DK"/>
              </w:rPr>
              <w:t>Simplified, harmonized rules</w:t>
            </w:r>
            <w:r w:rsidRPr="00BB184A">
              <w:rPr>
                <w:rFonts w:ascii="Times New Roman" w:hAnsi="Times New Roman"/>
                <w:sz w:val="24"/>
                <w:szCs w:val="24"/>
                <w:lang w:val="en-US"/>
              </w:rPr>
              <w:t> </w:t>
            </w:r>
          </w:p>
          <w:p w14:paraId="3173B982" w14:textId="77777777" w:rsidR="00F71756" w:rsidRPr="00BB184A" w:rsidRDefault="00F71756" w:rsidP="008C51EB">
            <w:pPr>
              <w:pStyle w:val="BodyText1"/>
              <w:numPr>
                <w:ilvl w:val="0"/>
                <w:numId w:val="103"/>
              </w:numPr>
              <w:spacing w:before="0" w:after="0"/>
              <w:rPr>
                <w:rFonts w:ascii="Times New Roman" w:hAnsi="Times New Roman"/>
                <w:sz w:val="24"/>
                <w:szCs w:val="24"/>
                <w:lang w:val="en-US"/>
              </w:rPr>
            </w:pPr>
            <w:r w:rsidRPr="00BB184A">
              <w:rPr>
                <w:rFonts w:ascii="Times New Roman" w:hAnsi="Times New Roman"/>
                <w:sz w:val="24"/>
                <w:szCs w:val="24"/>
              </w:rPr>
              <w:t xml:space="preserve">Streamlined </w:t>
            </w:r>
            <w:r w:rsidRPr="00BB184A">
              <w:rPr>
                <w:rFonts w:ascii="Times New Roman" w:hAnsi="Times New Roman"/>
                <w:sz w:val="24"/>
                <w:szCs w:val="24"/>
                <w:lang w:val="en-IE"/>
              </w:rPr>
              <w:t>advisory services. These will make funding more accessible and reduce cost and complexity for SMEs.</w:t>
            </w:r>
            <w:r w:rsidRPr="00BB184A">
              <w:rPr>
                <w:rFonts w:ascii="Times New Roman" w:hAnsi="Times New Roman"/>
                <w:sz w:val="24"/>
                <w:szCs w:val="24"/>
                <w:lang w:val="en-US"/>
              </w:rPr>
              <w:t> </w:t>
            </w:r>
          </w:p>
          <w:p w14:paraId="0B31331F" w14:textId="5C90810B" w:rsidR="00F71756" w:rsidRPr="00603157" w:rsidRDefault="00F71756" w:rsidP="008C51EB">
            <w:pPr>
              <w:pStyle w:val="BodyText1"/>
              <w:numPr>
                <w:ilvl w:val="0"/>
                <w:numId w:val="103"/>
              </w:numPr>
              <w:spacing w:before="0" w:after="0"/>
              <w:rPr>
                <w:rFonts w:ascii="Times New Roman" w:hAnsi="Times New Roman"/>
                <w:sz w:val="24"/>
                <w:szCs w:val="24"/>
                <w:lang w:val="en-US"/>
              </w:rPr>
            </w:pPr>
            <w:r w:rsidRPr="00BB184A">
              <w:rPr>
                <w:rFonts w:ascii="Times New Roman" w:hAnsi="Times New Roman"/>
                <w:sz w:val="24"/>
                <w:szCs w:val="24"/>
                <w:lang w:val="en-IE"/>
              </w:rPr>
              <w:t>One Stop for advisory services</w:t>
            </w:r>
            <w:r w:rsidRPr="00BB184A">
              <w:rPr>
                <w:rFonts w:ascii="Times New Roman" w:hAnsi="Times New Roman"/>
                <w:sz w:val="24"/>
                <w:szCs w:val="24"/>
                <w:lang w:val="en-US"/>
              </w:rPr>
              <w:t> </w:t>
            </w:r>
          </w:p>
        </w:tc>
      </w:tr>
    </w:tbl>
    <w:p w14:paraId="2CC587B9" w14:textId="2EC489E5" w:rsidR="00F71756" w:rsidRPr="00F370FB" w:rsidRDefault="00F71756" w:rsidP="00603157">
      <w:pPr>
        <w:pStyle w:val="BodyText1"/>
        <w:rPr>
          <w:rFonts w:ascii="Times New Roman" w:hAnsi="Times New Roman"/>
          <w:sz w:val="10"/>
          <w:szCs w:val="10"/>
          <w:lang w:val="en-US"/>
        </w:rPr>
      </w:pPr>
    </w:p>
    <w:tbl>
      <w:tblPr>
        <w:tblW w:w="92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62"/>
      </w:tblGrid>
      <w:tr w:rsidR="00F71756" w:rsidRPr="00F71756" w14:paraId="2F6C318E" w14:textId="77777777" w:rsidTr="00846210">
        <w:trPr>
          <w:trHeight w:val="300"/>
        </w:trPr>
        <w:tc>
          <w:tcPr>
            <w:tcW w:w="9262" w:type="dxa"/>
            <w:tcBorders>
              <w:top w:val="single" w:sz="6" w:space="0" w:color="auto"/>
              <w:left w:val="single" w:sz="6" w:space="0" w:color="auto"/>
              <w:bottom w:val="single" w:sz="6" w:space="0" w:color="auto"/>
              <w:right w:val="single" w:sz="6" w:space="0" w:color="auto"/>
            </w:tcBorders>
            <w:hideMark/>
          </w:tcPr>
          <w:p w14:paraId="30F483AC" w14:textId="77777777" w:rsidR="00F71756" w:rsidRPr="00BB184A" w:rsidRDefault="00F71756" w:rsidP="00603157">
            <w:pPr>
              <w:pStyle w:val="BodyText1"/>
              <w:divId w:val="800877400"/>
              <w:rPr>
                <w:rFonts w:ascii="Times New Roman" w:hAnsi="Times New Roman"/>
                <w:sz w:val="24"/>
                <w:szCs w:val="24"/>
                <w:lang w:val="en-US"/>
              </w:rPr>
            </w:pPr>
            <w:r w:rsidRPr="00BB184A">
              <w:rPr>
                <w:rFonts w:ascii="Times New Roman" w:hAnsi="Times New Roman"/>
                <w:b/>
                <w:bCs/>
                <w:sz w:val="24"/>
                <w:szCs w:val="24"/>
              </w:rPr>
              <w:t>Contribution to the 35% burden reduction target for SMEs</w:t>
            </w:r>
            <w:r w:rsidRPr="00BB184A">
              <w:rPr>
                <w:rFonts w:ascii="Times New Roman" w:hAnsi="Times New Roman"/>
                <w:sz w:val="24"/>
                <w:szCs w:val="24"/>
                <w:lang w:val="en-US"/>
              </w:rPr>
              <w:t> </w:t>
            </w:r>
          </w:p>
        </w:tc>
      </w:tr>
      <w:tr w:rsidR="00F71756" w:rsidRPr="00F71756" w14:paraId="31636A76" w14:textId="77777777" w:rsidTr="00846210">
        <w:trPr>
          <w:trHeight w:val="300"/>
        </w:trPr>
        <w:tc>
          <w:tcPr>
            <w:tcW w:w="9262" w:type="dxa"/>
            <w:tcBorders>
              <w:top w:val="single" w:sz="6" w:space="0" w:color="auto"/>
              <w:left w:val="single" w:sz="6" w:space="0" w:color="auto"/>
              <w:bottom w:val="single" w:sz="6" w:space="0" w:color="auto"/>
              <w:right w:val="single" w:sz="6" w:space="0" w:color="auto"/>
            </w:tcBorders>
            <w:hideMark/>
          </w:tcPr>
          <w:p w14:paraId="64B5E6C8" w14:textId="77777777"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b/>
                <w:bCs/>
                <w:sz w:val="24"/>
                <w:szCs w:val="24"/>
              </w:rPr>
              <w:t>Are there any administrative cost savings relevant for the 35% burden reduction target for SMEs?</w:t>
            </w:r>
            <w:r w:rsidRPr="00BB184A">
              <w:rPr>
                <w:rFonts w:ascii="Times New Roman" w:hAnsi="Times New Roman"/>
                <w:sz w:val="24"/>
                <w:szCs w:val="24"/>
                <w:lang w:val="en-US"/>
              </w:rPr>
              <w:t> </w:t>
            </w:r>
          </w:p>
        </w:tc>
      </w:tr>
      <w:tr w:rsidR="00F71756" w:rsidRPr="00F71756" w14:paraId="17391376" w14:textId="77777777" w:rsidTr="00846210">
        <w:trPr>
          <w:trHeight w:val="300"/>
        </w:trPr>
        <w:tc>
          <w:tcPr>
            <w:tcW w:w="9262" w:type="dxa"/>
            <w:tcBorders>
              <w:top w:val="single" w:sz="6" w:space="0" w:color="auto"/>
              <w:left w:val="single" w:sz="6" w:space="0" w:color="auto"/>
              <w:bottom w:val="single" w:sz="6" w:space="0" w:color="auto"/>
              <w:right w:val="single" w:sz="6" w:space="0" w:color="auto"/>
            </w:tcBorders>
            <w:hideMark/>
          </w:tcPr>
          <w:p w14:paraId="23D4010D" w14:textId="08646A09" w:rsidR="00F71756" w:rsidRPr="00BB184A" w:rsidRDefault="00F71756" w:rsidP="00603157">
            <w:pPr>
              <w:pStyle w:val="BodyText1"/>
              <w:rPr>
                <w:rFonts w:ascii="Times New Roman" w:hAnsi="Times New Roman"/>
                <w:sz w:val="24"/>
                <w:szCs w:val="24"/>
                <w:lang w:val="en-US"/>
              </w:rPr>
            </w:pPr>
            <w:r w:rsidRPr="00BB184A">
              <w:rPr>
                <w:rFonts w:ascii="Times New Roman" w:hAnsi="Times New Roman"/>
                <w:sz w:val="24"/>
                <w:szCs w:val="24"/>
                <w:lang w:val="en-US"/>
              </w:rPr>
              <w:t> </w:t>
            </w:r>
            <w:r w:rsidRPr="00BB184A">
              <w:rPr>
                <w:rFonts w:ascii="Times New Roman" w:hAnsi="Times New Roman"/>
                <w:sz w:val="24"/>
                <w:szCs w:val="24"/>
              </w:rPr>
              <w:t>The expected administrative cost savings under the Competitiveness Fund are supported by the simplification measures proposed, such as a single-entry point and harmonised procedures. These are designed to reduce the complexity and administrative burden for SMEs, contributing to the EU’s 35% burden reduction target.</w:t>
            </w:r>
            <w:r w:rsidRPr="00BB184A">
              <w:rPr>
                <w:rFonts w:ascii="Times New Roman" w:hAnsi="Times New Roman"/>
                <w:sz w:val="24"/>
                <w:szCs w:val="24"/>
                <w:lang w:val="en-US"/>
              </w:rPr>
              <w:t> </w:t>
            </w:r>
          </w:p>
        </w:tc>
      </w:tr>
    </w:tbl>
    <w:p w14:paraId="378C1C05" w14:textId="176B54AF" w:rsidR="00DB681E" w:rsidRPr="00F370FB" w:rsidRDefault="00F71756" w:rsidP="00603157">
      <w:pPr>
        <w:pStyle w:val="Heading2"/>
        <w:numPr>
          <w:ilvl w:val="0"/>
          <w:numId w:val="0"/>
        </w:numPr>
        <w:ind w:left="1200"/>
        <w:rPr>
          <w:noProof/>
        </w:rPr>
      </w:pPr>
      <w:r>
        <w:rPr>
          <w:bCs/>
          <w:smallCaps/>
          <w:noProof/>
          <w:sz w:val="32"/>
          <w:szCs w:val="32"/>
        </w:rPr>
        <w:br w:type="page"/>
      </w:r>
      <w:bookmarkStart w:id="282" w:name="_Toc203043663"/>
      <w:r w:rsidR="00DB681E" w:rsidRPr="00862AEF">
        <w:rPr>
          <w:noProof/>
        </w:rPr>
        <w:t xml:space="preserve">Annex </w:t>
      </w:r>
      <w:r w:rsidR="00D246C7">
        <w:rPr>
          <w:noProof/>
        </w:rPr>
        <w:t>7</w:t>
      </w:r>
      <w:r w:rsidR="00DB681E" w:rsidRPr="00862AEF">
        <w:rPr>
          <w:noProof/>
        </w:rPr>
        <w:t>: Synergies between Horizon Europe and other EU programmes</w:t>
      </w:r>
      <w:bookmarkEnd w:id="282"/>
    </w:p>
    <w:p w14:paraId="151BBF24" w14:textId="03203A55" w:rsidR="00DB681E" w:rsidRPr="00DB681E" w:rsidRDefault="00DB681E" w:rsidP="00603157">
      <w:pPr>
        <w:spacing w:before="0"/>
        <w:rPr>
          <w:rFonts w:eastAsia="Times New Roman"/>
          <w:noProof/>
        </w:rPr>
      </w:pPr>
      <w:r w:rsidRPr="00DB681E">
        <w:rPr>
          <w:rFonts w:eastAsia="Times New Roman"/>
          <w:noProof/>
        </w:rPr>
        <w:t>External evaluation support studies for Horizon Europe</w:t>
      </w:r>
      <w:r w:rsidRPr="00DB681E">
        <w:rPr>
          <w:rFonts w:eastAsia="Times New Roman"/>
          <w:noProof/>
          <w:vertAlign w:val="superscript"/>
        </w:rPr>
        <w:footnoteReference w:id="193"/>
      </w:r>
      <w:r w:rsidRPr="00DB681E">
        <w:rPr>
          <w:rFonts w:eastAsia="Times New Roman"/>
          <w:noProof/>
        </w:rPr>
        <w:t xml:space="preserve"> have found evidence of synergies with 18 programmes out of the 20 identified in the </w:t>
      </w:r>
      <w:r w:rsidR="000030AE">
        <w:rPr>
          <w:rFonts w:eastAsia="Times New Roman"/>
          <w:noProof/>
        </w:rPr>
        <w:t xml:space="preserve">Horizon Europe </w:t>
      </w:r>
      <w:r w:rsidRPr="00DB681E">
        <w:rPr>
          <w:rFonts w:eastAsia="Times New Roman"/>
          <w:noProof/>
        </w:rPr>
        <w:t xml:space="preserve">regulation – to a varying extent. Based on interviews, financial data and text analysis, </w:t>
      </w:r>
      <w:r w:rsidRPr="00DB681E">
        <w:rPr>
          <w:rFonts w:eastAsia="Times New Roman"/>
          <w:b/>
          <w:bCs/>
          <w:noProof/>
        </w:rPr>
        <w:t>the strongest synergies were identified with the LIFE programme, Erasmus+ and the Digital Europe programme, while the weakest evidence concerns synergies with the Common Agricultural Policy (with the exception of Cluster 6), the Creative Europe programme and InvestEU.</w:t>
      </w:r>
      <w:r w:rsidRPr="00DB681E">
        <w:rPr>
          <w:rFonts w:eastAsia="Times New Roman"/>
          <w:noProof/>
        </w:rPr>
        <w:t xml:space="preserve"> </w:t>
      </w:r>
    </w:p>
    <w:p w14:paraId="64807AF4" w14:textId="77777777" w:rsidR="00DB681E" w:rsidRPr="00DB681E" w:rsidRDefault="00DB681E" w:rsidP="00603157">
      <w:pPr>
        <w:spacing w:before="0"/>
        <w:rPr>
          <w:rFonts w:eastAsia="Times New Roman"/>
          <w:noProof/>
          <w:lang w:val="en-US"/>
        </w:rPr>
      </w:pPr>
      <w:r w:rsidRPr="00DB681E">
        <w:rPr>
          <w:rFonts w:eastAsia="Times New Roman"/>
          <w:b/>
          <w:bCs/>
          <w:noProof/>
          <w:lang w:val="en-US"/>
        </w:rPr>
        <w:t xml:space="preserve">Despite Commission efforts to create synergies, 64% of beneficiaries surveyed (4 045 out of 6 280 respondents) reported that they had </w:t>
      </w:r>
      <w:r w:rsidRPr="00DB681E">
        <w:rPr>
          <w:rFonts w:eastAsia="Times New Roman"/>
          <w:b/>
          <w:bCs/>
          <w:noProof/>
          <w:u w:val="single"/>
          <w:lang w:val="en-US"/>
        </w:rPr>
        <w:t>not</w:t>
      </w:r>
      <w:r w:rsidRPr="00DB681E">
        <w:rPr>
          <w:rFonts w:eastAsia="Times New Roman"/>
          <w:b/>
          <w:bCs/>
          <w:noProof/>
          <w:lang w:val="en-US"/>
        </w:rPr>
        <w:t xml:space="preserve"> sought additional funding for their research projects.</w:t>
      </w:r>
      <w:r w:rsidRPr="00DB681E">
        <w:rPr>
          <w:rFonts w:eastAsia="Times New Roman"/>
          <w:noProof/>
          <w:lang w:val="en-US"/>
        </w:rPr>
        <w:t xml:space="preserve"> Among unsuccessful applicants, 29% of survey respondents (2 587) applied for alternative sources of funding. Over half of the beneficiaries also stated that the project they were working on was </w:t>
      </w:r>
      <w:r w:rsidRPr="00DB681E">
        <w:rPr>
          <w:rFonts w:eastAsia="Times New Roman"/>
          <w:noProof/>
          <w:u w:val="single"/>
          <w:lang w:val="en-US"/>
        </w:rPr>
        <w:t>not</w:t>
      </w:r>
      <w:r w:rsidRPr="00DB681E">
        <w:rPr>
          <w:rFonts w:eastAsia="Times New Roman"/>
          <w:noProof/>
          <w:lang w:val="en-US"/>
        </w:rPr>
        <w:t xml:space="preserve"> a continuation of previous or other funding schemes</w:t>
      </w:r>
      <w:r w:rsidRPr="00DB681E">
        <w:rPr>
          <w:rFonts w:eastAsia="Times New Roman"/>
          <w:noProof/>
          <w:vertAlign w:val="superscript"/>
          <w:lang w:val="en-US"/>
        </w:rPr>
        <w:footnoteReference w:id="194"/>
      </w:r>
      <w:r w:rsidRPr="00DB681E">
        <w:rPr>
          <w:rFonts w:eastAsia="Times New Roman"/>
          <w:noProof/>
          <w:lang w:val="en-US"/>
        </w:rPr>
        <w:t>.</w:t>
      </w:r>
    </w:p>
    <w:p w14:paraId="2FF9C94B" w14:textId="77777777" w:rsidR="00DB681E" w:rsidRPr="00DB681E" w:rsidRDefault="00DB681E" w:rsidP="00603157">
      <w:pPr>
        <w:spacing w:after="0"/>
        <w:rPr>
          <w:rFonts w:eastAsia="Times New Roman"/>
          <w:noProof/>
          <w:lang w:val="en-US"/>
        </w:rPr>
      </w:pPr>
      <w:r w:rsidRPr="00DB681E">
        <w:rPr>
          <w:rFonts w:eastAsia="Times New Roman"/>
          <w:noProof/>
          <w:lang w:val="en-US"/>
        </w:rPr>
        <w:t>The Seal of Excellence (SoE) is a quality label which shows that a proposal exceeded all of the evaluation thresholds but could not be funded due to lack of budget.</w:t>
      </w:r>
      <w:r w:rsidRPr="00DB681E">
        <w:rPr>
          <w:rFonts w:eastAsia="Aptos"/>
          <w:noProof/>
        </w:rPr>
        <w:t xml:space="preserve"> </w:t>
      </w:r>
      <w:r w:rsidRPr="00DB681E">
        <w:rPr>
          <w:rFonts w:eastAsia="Times New Roman"/>
          <w:noProof/>
          <w:lang w:val="en-US"/>
        </w:rPr>
        <w:t xml:space="preserve">With this label the Commission recognises the value of project proposals and encourage other funding organisations to take advantage of the high-quality Horizon Europe evaluation process. This quality label, which was awarded to 7 166 high quality proposals that could not be funded between 2021 and 2024, is a relevant instrument to strengthen synergies in Horizon Europe. The largest proportion was awarded to researchers who applied under the Marie Skłodowska-Curie Actions, followed by the EIC Accelerator and the ERC Proof of Concept scheme. </w:t>
      </w:r>
    </w:p>
    <w:p w14:paraId="1CAC163E" w14:textId="120CB423" w:rsidR="00DB681E" w:rsidRPr="00DB681E" w:rsidRDefault="00DB681E" w:rsidP="00603157">
      <w:pPr>
        <w:rPr>
          <w:rFonts w:eastAsia="Times New Roman"/>
          <w:noProof/>
          <w:lang w:val="en-US"/>
        </w:rPr>
      </w:pPr>
      <w:r w:rsidRPr="00DB681E">
        <w:rPr>
          <w:rFonts w:eastAsia="Times New Roman"/>
          <w:noProof/>
          <w:lang w:val="en-US"/>
        </w:rPr>
        <w:t>Around half of unsuccessful applicants who responded to the evaluation survey (45% of the 129 respondents) reported that the SoE did not make it easier to secure alternative funding. In open question responses, applicants specifically mentioned a lack of follow-up funding opportunities in their respective Member States that recognise their SoE. Nevertheless, Member States have seized the opportunity of creating synergies between Horizon Europe and the Recovery and Resilience Facility by supporting SoE projects.</w:t>
      </w:r>
    </w:p>
    <w:p w14:paraId="10DE13C1" w14:textId="4CE9A1D7" w:rsidR="00DB681E" w:rsidRPr="00DB681E" w:rsidRDefault="00DB681E" w:rsidP="00603157">
      <w:pPr>
        <w:spacing w:before="0" w:after="240"/>
        <w:rPr>
          <w:rFonts w:eastAsia="Times New Roman"/>
          <w:noProof/>
          <w:lang w:val="en-IE"/>
        </w:rPr>
      </w:pPr>
      <w:r w:rsidRPr="00DB681E">
        <w:rPr>
          <w:rFonts w:eastAsia="Times New Roman"/>
          <w:noProof/>
          <w:lang w:val="en-US"/>
        </w:rPr>
        <w:t xml:space="preserve">Regarding </w:t>
      </w:r>
      <w:r w:rsidRPr="00DB681E">
        <w:rPr>
          <w:rFonts w:eastAsia="Times New Roman"/>
          <w:noProof/>
          <w:lang w:val="en-IE"/>
        </w:rPr>
        <w:t>European Partnerships, it has been reported in the B</w:t>
      </w:r>
      <w:r w:rsidR="00060F80">
        <w:rPr>
          <w:rFonts w:eastAsia="Times New Roman"/>
          <w:noProof/>
          <w:lang w:val="en-IE"/>
        </w:rPr>
        <w:t xml:space="preserve">iennial </w:t>
      </w:r>
      <w:r w:rsidRPr="00DB681E">
        <w:rPr>
          <w:rFonts w:eastAsia="Times New Roman"/>
          <w:noProof/>
          <w:lang w:val="en-IE"/>
        </w:rPr>
        <w:t>M</w:t>
      </w:r>
      <w:r w:rsidR="00060F80">
        <w:rPr>
          <w:rFonts w:eastAsia="Times New Roman"/>
          <w:noProof/>
          <w:lang w:val="en-IE"/>
        </w:rPr>
        <w:t xml:space="preserve">onitoring </w:t>
      </w:r>
      <w:r w:rsidRPr="00DB681E">
        <w:rPr>
          <w:rFonts w:eastAsia="Times New Roman"/>
          <w:noProof/>
          <w:lang w:val="en-IE"/>
        </w:rPr>
        <w:t>R</w:t>
      </w:r>
      <w:r w:rsidR="00060F80">
        <w:rPr>
          <w:rFonts w:eastAsia="Times New Roman"/>
          <w:noProof/>
          <w:lang w:val="en-IE"/>
        </w:rPr>
        <w:t>eport</w:t>
      </w:r>
      <w:r w:rsidRPr="00DB681E">
        <w:rPr>
          <w:rFonts w:eastAsia="Times New Roman"/>
          <w:noProof/>
          <w:lang w:val="en-IE"/>
        </w:rPr>
        <w:t xml:space="preserve"> survey that their </w:t>
      </w:r>
      <w:r w:rsidRPr="00DB681E">
        <w:rPr>
          <w:rFonts w:eastAsia="Times New Roman"/>
          <w:b/>
          <w:bCs/>
          <w:noProof/>
          <w:lang w:val="en-IE"/>
        </w:rPr>
        <w:t>synergies mostly consist of strategic exchanges, communication and dissemination of results and networking with project partners in the same area of research or a similar one</w:t>
      </w:r>
      <w:r w:rsidRPr="00DB681E">
        <w:rPr>
          <w:rFonts w:eastAsia="Times New Roman"/>
          <w:noProof/>
          <w:lang w:val="en-IE"/>
        </w:rPr>
        <w:t>. Only one third of BMR partnership respondents indicated joint calls for research and/or innovation proposals (together with other partnerships)</w:t>
      </w:r>
      <w:r w:rsidRPr="00DB681E">
        <w:rPr>
          <w:rFonts w:eastAsia="Times New Roman"/>
          <w:noProof/>
          <w:vertAlign w:val="superscript"/>
          <w:lang w:val="en-IE"/>
        </w:rPr>
        <w:footnoteReference w:id="195"/>
      </w:r>
      <w:r w:rsidRPr="00DB681E">
        <w:rPr>
          <w:rFonts w:eastAsia="Times New Roman"/>
          <w:noProof/>
          <w:lang w:val="en-IE"/>
        </w:rPr>
        <w:t>. Nevertheless, five partnerships reported that the share of budget covered by regional and national funds is above 50%: Risk assessment of chemicals – 50%, Global health EDCTP3 – 59%, Metrology – 56%, and Biodiversa – 79.4%.</w:t>
      </w:r>
    </w:p>
    <w:p w14:paraId="32A894AD" w14:textId="77777777" w:rsidR="00DB681E" w:rsidRPr="00DB681E" w:rsidRDefault="00DB681E" w:rsidP="00603157">
      <w:pPr>
        <w:spacing w:before="0" w:after="0"/>
        <w:rPr>
          <w:rFonts w:eastAsia="Aptos"/>
          <w:noProof/>
        </w:rPr>
      </w:pPr>
      <w:r w:rsidRPr="00DB681E">
        <w:rPr>
          <w:rFonts w:eastAsia="Times New Roman"/>
          <w:b/>
          <w:bCs/>
          <w:noProof/>
        </w:rPr>
        <w:t xml:space="preserve">Several JUs are co-funded by other EU programmes, </w:t>
      </w:r>
      <w:r w:rsidRPr="00DB681E">
        <w:rPr>
          <w:rFonts w:eastAsia="Times New Roman"/>
          <w:noProof/>
        </w:rPr>
        <w:t xml:space="preserve">including the EuroHPC JU, which receives most of its funding from the Digital Europe programme and the Connecting Europe Facility; the Clean Hydrogen JU, co-funded by REPowerEU; and Chips JU, which is co-funded by the Digital Europe Programme. Among the </w:t>
      </w:r>
      <w:r w:rsidRPr="00DB681E">
        <w:rPr>
          <w:rFonts w:eastAsia="Times New Roman"/>
          <w:b/>
          <w:bCs/>
          <w:noProof/>
        </w:rPr>
        <w:t>co-programmed partnerships</w:t>
      </w:r>
      <w:r w:rsidRPr="00DB681E">
        <w:rPr>
          <w:rFonts w:eastAsia="Times New Roman"/>
          <w:noProof/>
        </w:rPr>
        <w:t>, only ‘Clean Steel - Low Carbon Steelmaking’ has received a commitment of funding from other EU funds.</w:t>
      </w:r>
    </w:p>
    <w:p w14:paraId="34DAD9EC" w14:textId="0BD4EF75" w:rsidR="0AA200F7" w:rsidRDefault="00901B4F" w:rsidP="00603157">
      <w:pPr>
        <w:pStyle w:val="Heading2"/>
        <w:keepLines/>
        <w:numPr>
          <w:ilvl w:val="0"/>
          <w:numId w:val="0"/>
        </w:numPr>
        <w:ind w:left="1200"/>
        <w:rPr>
          <w:b w:val="0"/>
          <w:bCs/>
          <w:smallCaps/>
          <w:noProof/>
          <w:sz w:val="32"/>
          <w:szCs w:val="32"/>
        </w:rPr>
      </w:pPr>
      <w:bookmarkStart w:id="283" w:name="_Toc203043664"/>
      <w:r w:rsidRPr="3284E9C5">
        <w:rPr>
          <w:noProof/>
        </w:rPr>
        <w:t>A</w:t>
      </w:r>
      <w:r w:rsidR="0AA200F7" w:rsidRPr="3284E9C5">
        <w:rPr>
          <w:noProof/>
        </w:rPr>
        <w:t xml:space="preserve">nnex </w:t>
      </w:r>
      <w:r w:rsidR="00D246C7">
        <w:rPr>
          <w:noProof/>
        </w:rPr>
        <w:t>8</w:t>
      </w:r>
      <w:r w:rsidR="0AA200F7" w:rsidRPr="3284E9C5">
        <w:rPr>
          <w:noProof/>
        </w:rPr>
        <w:t>: Summary of the 14 programmes under scope</w:t>
      </w:r>
      <w:bookmarkEnd w:id="283"/>
      <w:r w:rsidR="0AA200F7" w:rsidRPr="3284E9C5">
        <w:rPr>
          <w:noProof/>
        </w:rPr>
        <w:t xml:space="preserve"> </w:t>
      </w:r>
    </w:p>
    <w:p w14:paraId="26DAF01C" w14:textId="4D5148B8" w:rsidR="0AA200F7" w:rsidRDefault="0AA200F7" w:rsidP="00603157">
      <w:pPr>
        <w:keepNext/>
        <w:keepLines/>
        <w:spacing w:before="0" w:after="240"/>
        <w:rPr>
          <w:rFonts w:eastAsia="Times New Roman"/>
          <w:i/>
          <w:iCs/>
          <w:noProof/>
          <w:lang w:val="en-US"/>
        </w:rPr>
      </w:pPr>
      <w:r w:rsidRPr="2A1AD167">
        <w:rPr>
          <w:rFonts w:eastAsia="Times New Roman"/>
          <w:i/>
          <w:iCs/>
          <w:noProof/>
        </w:rPr>
        <w:t>InvestEU</w:t>
      </w:r>
      <w:r w:rsidRPr="2A1AD167">
        <w:rPr>
          <w:rFonts w:eastAsia="Times New Roman"/>
          <w:i/>
          <w:iCs/>
          <w:noProof/>
          <w:lang w:val="en-US"/>
        </w:rPr>
        <w:t xml:space="preserve"> </w:t>
      </w:r>
    </w:p>
    <w:tbl>
      <w:tblPr>
        <w:tblW w:w="10065" w:type="dxa"/>
        <w:tblInd w:w="-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065"/>
      </w:tblGrid>
      <w:tr w:rsidR="00E82E80" w14:paraId="26137D94"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9E9CB2" w14:textId="3182E2F9" w:rsidR="2A1AD167" w:rsidRDefault="2A1AD167" w:rsidP="00603157">
            <w:pPr>
              <w:keepNext/>
              <w:keepLines/>
              <w:spacing w:before="0" w:after="160"/>
              <w:rPr>
                <w:rFonts w:eastAsia="Times New Roman"/>
                <w:noProof/>
                <w:lang w:val="en-US"/>
              </w:rPr>
            </w:pPr>
            <w:r w:rsidRPr="2A1AD167">
              <w:rPr>
                <w:rFonts w:eastAsia="Times New Roman"/>
                <w:b/>
                <w:bCs/>
                <w:noProof/>
              </w:rPr>
              <w:t>Regulation</w:t>
            </w:r>
            <w:r w:rsidRPr="2A1AD167">
              <w:rPr>
                <w:rFonts w:eastAsia="Times New Roman"/>
                <w:noProof/>
                <w:lang w:val="en-US"/>
              </w:rPr>
              <w:t xml:space="preserve"> </w:t>
            </w:r>
          </w:p>
          <w:p w14:paraId="46745A7E" w14:textId="77777777" w:rsidR="2A1AD167" w:rsidRDefault="2A1AD167" w:rsidP="00603157">
            <w:pPr>
              <w:keepNext/>
              <w:keepLines/>
              <w:spacing w:before="0" w:after="160"/>
              <w:rPr>
                <w:rFonts w:eastAsia="Times New Roman"/>
                <w:noProof/>
                <w:lang w:val="en-US"/>
              </w:rPr>
            </w:pPr>
            <w:r w:rsidRPr="2A1AD167">
              <w:rPr>
                <w:rFonts w:eastAsia="Times New Roman"/>
                <w:noProof/>
              </w:rPr>
              <w:t>Regulation (EU) No 2021/523 of the European Parliament and of the Council</w:t>
            </w:r>
            <w:r w:rsidRPr="2A1AD167">
              <w:rPr>
                <w:rFonts w:eastAsia="Times New Roman"/>
                <w:noProof/>
                <w:lang w:val="en-US"/>
              </w:rPr>
              <w:t xml:space="preserve"> </w:t>
            </w:r>
          </w:p>
          <w:p w14:paraId="408AD7BD" w14:textId="092FBB71" w:rsidR="00FC18BD" w:rsidRDefault="00FC18BD" w:rsidP="00603157">
            <w:pPr>
              <w:keepNext/>
              <w:keepLines/>
              <w:spacing w:before="0" w:after="160"/>
              <w:rPr>
                <w:rFonts w:eastAsia="Times New Roman"/>
                <w:noProof/>
                <w:lang w:val="en-US"/>
              </w:rPr>
            </w:pPr>
            <w:r>
              <w:rPr>
                <w:rFonts w:eastAsia="Times New Roman"/>
                <w:noProof/>
                <w:lang w:val="en-US"/>
              </w:rPr>
              <w:t>Legal base: Article 175</w:t>
            </w:r>
            <w:r w:rsidR="005F7AB1">
              <w:rPr>
                <w:rFonts w:eastAsia="Times New Roman"/>
                <w:noProof/>
                <w:lang w:val="en-US"/>
              </w:rPr>
              <w:t xml:space="preserve">(3) of the Treaty </w:t>
            </w:r>
            <w:r w:rsidR="00A6584C" w:rsidRPr="00A6584C">
              <w:rPr>
                <w:rFonts w:eastAsia="Times New Roman"/>
                <w:noProof/>
                <w:lang w:val="en-US"/>
              </w:rPr>
              <w:t>on the Functioning of the European Union</w:t>
            </w:r>
          </w:p>
        </w:tc>
      </w:tr>
      <w:tr w:rsidR="00E82E80" w14:paraId="720E6132"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A04B5C" w14:textId="27E73CA9" w:rsidR="2A1AD167" w:rsidRDefault="2A1AD167" w:rsidP="00603157">
            <w:pPr>
              <w:spacing w:before="0" w:after="160"/>
              <w:rPr>
                <w:rFonts w:eastAsia="Times New Roman"/>
                <w:noProof/>
                <w:lang w:val="en-US"/>
              </w:rPr>
            </w:pPr>
            <w:r w:rsidRPr="2A1AD167">
              <w:rPr>
                <w:rFonts w:eastAsia="Times New Roman"/>
                <w:b/>
                <w:bCs/>
                <w:noProof/>
              </w:rPr>
              <w:t>Period</w:t>
            </w:r>
          </w:p>
          <w:p w14:paraId="2CA9F7B1" w14:textId="4DDC2601" w:rsidR="2A1AD167" w:rsidRDefault="2A1AD167" w:rsidP="00603157">
            <w:pPr>
              <w:spacing w:before="0" w:after="160"/>
              <w:rPr>
                <w:rFonts w:eastAsia="Times New Roman"/>
                <w:noProof/>
                <w:lang w:val="en-US"/>
              </w:rPr>
            </w:pPr>
            <w:r w:rsidRPr="2A1AD167">
              <w:rPr>
                <w:rFonts w:eastAsia="Times New Roman"/>
                <w:noProof/>
              </w:rPr>
              <w:t>2021 – 2027</w:t>
            </w:r>
            <w:r w:rsidRPr="2A1AD167">
              <w:rPr>
                <w:rFonts w:eastAsia="Times New Roman"/>
                <w:noProof/>
                <w:lang w:val="en-US"/>
              </w:rPr>
              <w:t xml:space="preserve"> </w:t>
            </w:r>
          </w:p>
        </w:tc>
      </w:tr>
      <w:tr w:rsidR="00E82E80" w14:paraId="4F04F136"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A034D2" w14:textId="76DA9B5A" w:rsidR="2A1AD167" w:rsidRDefault="2A1AD167" w:rsidP="00603157">
            <w:pPr>
              <w:spacing w:before="0" w:after="160"/>
              <w:rPr>
                <w:rFonts w:eastAsia="Times New Roman"/>
                <w:noProof/>
                <w:lang w:val="en-US"/>
              </w:rPr>
            </w:pPr>
            <w:r w:rsidRPr="2A1AD167">
              <w:rPr>
                <w:rFonts w:eastAsia="Times New Roman"/>
                <w:b/>
                <w:bCs/>
                <w:noProof/>
              </w:rPr>
              <w:t>Impact assessment</w:t>
            </w:r>
            <w:r w:rsidRPr="2A1AD167">
              <w:rPr>
                <w:rFonts w:eastAsia="Times New Roman"/>
                <w:noProof/>
                <w:lang w:val="en-US"/>
              </w:rPr>
              <w:t xml:space="preserve"> </w:t>
            </w:r>
          </w:p>
          <w:p w14:paraId="06CF8F31" w14:textId="238ED2A1" w:rsidR="2A1AD167" w:rsidRDefault="2A1AD167" w:rsidP="00603157">
            <w:pPr>
              <w:spacing w:before="0" w:after="160"/>
              <w:rPr>
                <w:rFonts w:eastAsia="Times New Roman"/>
                <w:noProof/>
                <w:lang w:val="en-US"/>
              </w:rPr>
            </w:pPr>
            <w:r w:rsidRPr="2A1AD167">
              <w:rPr>
                <w:rFonts w:eastAsia="Times New Roman"/>
                <w:noProof/>
              </w:rPr>
              <w:t xml:space="preserve">Carried out in 2018: </w:t>
            </w:r>
            <w:hyperlink r:id="rId39" w:history="1">
              <w:r w:rsidRPr="2A1AD167">
                <w:rPr>
                  <w:rStyle w:val="Hyperlink"/>
                  <w:rFonts w:eastAsia="Times New Roman"/>
                  <w:noProof/>
                  <w:color w:val="0000FF"/>
                </w:rPr>
                <w:t>https://europa.eu/!jV77BQ</w:t>
              </w:r>
            </w:hyperlink>
            <w:r w:rsidRPr="2A1AD167">
              <w:rPr>
                <w:rFonts w:eastAsia="Times New Roman"/>
                <w:noProof/>
                <w:lang w:val="en-US"/>
              </w:rPr>
              <w:t xml:space="preserve"> </w:t>
            </w:r>
          </w:p>
        </w:tc>
      </w:tr>
      <w:tr w:rsidR="00E82E80" w14:paraId="38CEB20C"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0F788B" w14:textId="21A8A896" w:rsidR="2A1AD167" w:rsidRDefault="2A1AD167" w:rsidP="00603157">
            <w:pPr>
              <w:spacing w:before="0" w:after="160"/>
              <w:rPr>
                <w:rFonts w:eastAsia="Times New Roman"/>
                <w:noProof/>
                <w:lang w:val="en-US"/>
              </w:rPr>
            </w:pPr>
            <w:r w:rsidRPr="2A1AD167">
              <w:rPr>
                <w:rFonts w:eastAsia="Times New Roman"/>
                <w:b/>
                <w:bCs/>
                <w:noProof/>
              </w:rPr>
              <w:t>Mid-term evaluation</w:t>
            </w:r>
            <w:r w:rsidRPr="2A1AD167">
              <w:rPr>
                <w:rFonts w:eastAsia="Times New Roman"/>
                <w:noProof/>
                <w:lang w:val="en-US"/>
              </w:rPr>
              <w:t xml:space="preserve"> </w:t>
            </w:r>
          </w:p>
          <w:p w14:paraId="1704236B" w14:textId="039EF25F" w:rsidR="2A1AD167" w:rsidRDefault="2A1AD167" w:rsidP="00603157">
            <w:pPr>
              <w:spacing w:before="0" w:after="160"/>
              <w:rPr>
                <w:rFonts w:eastAsia="Times New Roman"/>
                <w:noProof/>
                <w:lang w:val="en-US"/>
              </w:rPr>
            </w:pPr>
            <w:r w:rsidRPr="2A1AD167">
              <w:rPr>
                <w:rFonts w:eastAsia="Times New Roman"/>
                <w:noProof/>
              </w:rPr>
              <w:t xml:space="preserve">Carried out in 2024: </w:t>
            </w:r>
            <w:hyperlink r:id="rId40" w:history="1">
              <w:r w:rsidRPr="2A1AD167">
                <w:rPr>
                  <w:rStyle w:val="Hyperlink"/>
                  <w:rFonts w:eastAsia="Times New Roman"/>
                  <w:noProof/>
                  <w:color w:val="0000FF"/>
                </w:rPr>
                <w:t>link</w:t>
              </w:r>
            </w:hyperlink>
            <w:r w:rsidRPr="2A1AD167">
              <w:rPr>
                <w:rFonts w:eastAsia="Times New Roman"/>
                <w:noProof/>
                <w:lang w:val="en-US"/>
              </w:rPr>
              <w:t xml:space="preserve"> </w:t>
            </w:r>
          </w:p>
        </w:tc>
      </w:tr>
      <w:tr w:rsidR="00E82E80" w14:paraId="64E10026"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DDCAA6" w14:textId="21884383" w:rsidR="2A1AD167" w:rsidRDefault="2A1AD167" w:rsidP="00603157">
            <w:pPr>
              <w:spacing w:before="0" w:after="160"/>
              <w:rPr>
                <w:rFonts w:eastAsia="Times New Roman"/>
                <w:noProof/>
                <w:lang w:val="en-US"/>
              </w:rPr>
            </w:pPr>
            <w:r w:rsidRPr="2A1AD167">
              <w:rPr>
                <w:rFonts w:eastAsia="Times New Roman"/>
                <w:b/>
                <w:bCs/>
                <w:noProof/>
              </w:rPr>
              <w:t>Budget</w:t>
            </w:r>
            <w:r w:rsidRPr="2A1AD167">
              <w:rPr>
                <w:rFonts w:eastAsia="Times New Roman"/>
                <w:noProof/>
                <w:lang w:val="en-US"/>
              </w:rPr>
              <w:t xml:space="preserve"> </w:t>
            </w:r>
          </w:p>
          <w:p w14:paraId="53583091" w14:textId="6DB3BB8F" w:rsidR="2A1AD167" w:rsidRDefault="02FD4D70" w:rsidP="00603157">
            <w:pPr>
              <w:spacing w:before="0" w:after="160"/>
              <w:rPr>
                <w:rFonts w:eastAsia="Times New Roman"/>
                <w:noProof/>
                <w:lang w:val="en-US"/>
              </w:rPr>
            </w:pPr>
            <w:r w:rsidRPr="797A3ADD">
              <w:rPr>
                <w:rFonts w:eastAsia="Times New Roman"/>
                <w:noProof/>
              </w:rPr>
              <w:t>The InvestEU programme’s budget is EUR 10.189 bln for the 2021-2027 period. This includes EUR 6.074 bln from NextGenerationEU to provide crucial support to companies in the recovery phase.</w:t>
            </w:r>
            <w:r w:rsidRPr="797A3ADD">
              <w:rPr>
                <w:rFonts w:eastAsia="Times New Roman"/>
                <w:noProof/>
                <w:lang w:val="en-US"/>
              </w:rPr>
              <w:t xml:space="preserve"> </w:t>
            </w:r>
            <w:r w:rsidR="01CD5BBA" w:rsidRPr="797A3ADD">
              <w:rPr>
                <w:rFonts w:eastAsia="Times New Roman"/>
                <w:noProof/>
                <w:lang w:val="en-US"/>
              </w:rPr>
              <w:t>Th</w:t>
            </w:r>
            <w:r w:rsidR="503DFB8B" w:rsidRPr="797A3ADD">
              <w:rPr>
                <w:rFonts w:eastAsia="Times New Roman"/>
                <w:noProof/>
                <w:lang w:val="en-US"/>
              </w:rPr>
              <w:t xml:space="preserve">e </w:t>
            </w:r>
            <w:r w:rsidR="18201ECF" w:rsidRPr="797A3ADD">
              <w:rPr>
                <w:rFonts w:eastAsia="Times New Roman"/>
                <w:noProof/>
                <w:lang w:val="en-US"/>
              </w:rPr>
              <w:t xml:space="preserve">budget </w:t>
            </w:r>
            <w:r w:rsidR="49CE7B53" w:rsidRPr="797A3ADD">
              <w:rPr>
                <w:rFonts w:eastAsia="Times New Roman"/>
                <w:noProof/>
                <w:lang w:val="en-US"/>
              </w:rPr>
              <w:t>underpins a no</w:t>
            </w:r>
            <w:r w:rsidR="49BF94C0" w:rsidRPr="797A3ADD">
              <w:rPr>
                <w:rFonts w:eastAsia="Times New Roman"/>
                <w:noProof/>
                <w:lang w:val="en-US"/>
              </w:rPr>
              <w:t>m</w:t>
            </w:r>
            <w:r w:rsidR="49CE7B53" w:rsidRPr="797A3ADD">
              <w:rPr>
                <w:rFonts w:eastAsia="Times New Roman"/>
                <w:noProof/>
                <w:lang w:val="en-US"/>
              </w:rPr>
              <w:t>i</w:t>
            </w:r>
            <w:r w:rsidR="49BF94C0" w:rsidRPr="797A3ADD">
              <w:rPr>
                <w:rFonts w:eastAsia="Times New Roman"/>
                <w:noProof/>
                <w:lang w:val="en-US"/>
              </w:rPr>
              <w:t>n</w:t>
            </w:r>
            <w:r w:rsidR="49CE7B53" w:rsidRPr="797A3ADD">
              <w:rPr>
                <w:rFonts w:eastAsia="Times New Roman"/>
                <w:noProof/>
                <w:lang w:val="en-US"/>
              </w:rPr>
              <w:t>al EU G</w:t>
            </w:r>
            <w:r w:rsidR="49BF94C0" w:rsidRPr="797A3ADD">
              <w:rPr>
                <w:rFonts w:eastAsia="Times New Roman"/>
                <w:noProof/>
                <w:lang w:val="en-US"/>
              </w:rPr>
              <w:t>uarantee of EU</w:t>
            </w:r>
            <w:r w:rsidR="21E2C3D2" w:rsidRPr="797A3ADD">
              <w:rPr>
                <w:rFonts w:eastAsia="Times New Roman"/>
                <w:noProof/>
                <w:lang w:val="en-US"/>
              </w:rPr>
              <w:t>R</w:t>
            </w:r>
            <w:r w:rsidR="49BF94C0" w:rsidRPr="797A3ADD">
              <w:rPr>
                <w:rFonts w:eastAsia="Times New Roman"/>
                <w:noProof/>
                <w:lang w:val="en-US"/>
              </w:rPr>
              <w:t xml:space="preserve"> 26.2 billion</w:t>
            </w:r>
            <w:r w:rsidR="21E2C3D2" w:rsidRPr="797A3ADD">
              <w:rPr>
                <w:rFonts w:eastAsia="Times New Roman"/>
                <w:noProof/>
                <w:lang w:val="en-US"/>
              </w:rPr>
              <w:t xml:space="preserve"> (</w:t>
            </w:r>
            <w:r w:rsidR="3EF8F45F" w:rsidRPr="797A3ADD">
              <w:rPr>
                <w:rFonts w:eastAsia="Times New Roman"/>
                <w:noProof/>
                <w:lang w:val="en-US"/>
              </w:rPr>
              <w:t>at</w:t>
            </w:r>
            <w:r w:rsidR="78FDF121" w:rsidRPr="797A3ADD">
              <w:rPr>
                <w:rFonts w:eastAsia="Times New Roman"/>
                <w:noProof/>
                <w:lang w:val="en-US"/>
              </w:rPr>
              <w:t xml:space="preserve"> a provisioning rate of 40% of the nominal EU Guarantee amount).</w:t>
            </w:r>
            <w:r w:rsidR="49BF94C0" w:rsidRPr="797A3ADD">
              <w:rPr>
                <w:rFonts w:eastAsia="Times New Roman"/>
                <w:noProof/>
                <w:lang w:val="en-US"/>
              </w:rPr>
              <w:t xml:space="preserve"> </w:t>
            </w:r>
            <w:r w:rsidR="33FEE189" w:rsidRPr="797A3ADD">
              <w:rPr>
                <w:rFonts w:eastAsia="Times New Roman"/>
                <w:noProof/>
                <w:lang w:val="en-US"/>
              </w:rPr>
              <w:t>EUR</w:t>
            </w:r>
            <w:r w:rsidR="009700E6" w:rsidRPr="797A3ADD">
              <w:rPr>
                <w:rFonts w:eastAsia="Times New Roman"/>
                <w:noProof/>
                <w:lang w:val="en-US"/>
              </w:rPr>
              <w:t xml:space="preserve"> 430 </w:t>
            </w:r>
            <w:r w:rsidR="52DF39F7" w:rsidRPr="797A3ADD">
              <w:rPr>
                <w:rFonts w:eastAsia="Times New Roman"/>
                <w:noProof/>
                <w:lang w:val="en-US"/>
              </w:rPr>
              <w:t xml:space="preserve">million </w:t>
            </w:r>
            <w:r w:rsidR="009700E6" w:rsidRPr="797A3ADD">
              <w:rPr>
                <w:rFonts w:eastAsia="Times New Roman"/>
                <w:noProof/>
                <w:lang w:val="en-US"/>
              </w:rPr>
              <w:t>is foreseen for InvestEU Advisory Hub and InvestEU Portal.</w:t>
            </w:r>
          </w:p>
        </w:tc>
      </w:tr>
      <w:tr w:rsidR="00E82E80" w14:paraId="1E667085"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4E54E7" w14:textId="5F6203CC" w:rsidR="2A1AD167" w:rsidRDefault="2A1AD167" w:rsidP="00603157">
            <w:pPr>
              <w:spacing w:before="0" w:after="160"/>
              <w:rPr>
                <w:rFonts w:eastAsia="Times New Roman"/>
                <w:noProof/>
                <w:lang w:val="en-US"/>
              </w:rPr>
            </w:pPr>
            <w:r w:rsidRPr="2A1AD167">
              <w:rPr>
                <w:rFonts w:eastAsia="Times New Roman"/>
                <w:b/>
                <w:bCs/>
                <w:noProof/>
              </w:rPr>
              <w:t>Focus</w:t>
            </w:r>
            <w:r w:rsidRPr="2A1AD167">
              <w:rPr>
                <w:rFonts w:eastAsia="Times New Roman"/>
                <w:noProof/>
                <w:lang w:val="en-US"/>
              </w:rPr>
              <w:t xml:space="preserve"> </w:t>
            </w:r>
          </w:p>
          <w:p w14:paraId="6D35E376" w14:textId="77777777" w:rsidR="2A1AD167" w:rsidRDefault="2A1AD167" w:rsidP="00603157">
            <w:pPr>
              <w:spacing w:before="0" w:after="160"/>
              <w:rPr>
                <w:rFonts w:eastAsia="Times New Roman"/>
                <w:noProof/>
                <w:lang w:val="en-US"/>
              </w:rPr>
            </w:pPr>
            <w:r w:rsidRPr="2A1AD167">
              <w:rPr>
                <w:rFonts w:eastAsia="Times New Roman"/>
                <w:noProof/>
              </w:rPr>
              <w:t>The InvestEU programme aims to ensure an additional boost to investments fostering recovery, resilience, green growth and employment in the EU over the 2021-2027 period. This goal is achieved by mobilising public and private financing sources, in order to provide long-term funding and support to companies and projects in line with the EU priorities in the current challenging economic and social context. Furthermore, InvestEU is an important vehicle to implement the REPowerEU Plan as well as the Green Deal Industrial Plan, aiming to accelerate clean tech and industrial innovation to reach the EU’s 2030 clean energy targets.</w:t>
            </w:r>
            <w:r w:rsidRPr="2A1AD167">
              <w:rPr>
                <w:rFonts w:eastAsia="Times New Roman"/>
                <w:noProof/>
                <w:lang w:val="en-US"/>
              </w:rPr>
              <w:t xml:space="preserve"> </w:t>
            </w:r>
          </w:p>
          <w:p w14:paraId="4ACE66E7" w14:textId="5E76E731" w:rsidR="00345329" w:rsidRDefault="00345329" w:rsidP="00603157">
            <w:pPr>
              <w:spacing w:before="0" w:after="160"/>
              <w:rPr>
                <w:rFonts w:eastAsia="Times New Roman"/>
                <w:noProof/>
                <w:lang w:val="en-US"/>
              </w:rPr>
            </w:pPr>
            <w:r w:rsidRPr="00345329">
              <w:rPr>
                <w:rFonts w:eastAsia="Times New Roman"/>
                <w:noProof/>
              </w:rPr>
              <w:t>The InvestEU programme consists of: the InvestEU Fund; the InvestEU Advisory Hub; the InvestEU Portal.</w:t>
            </w:r>
          </w:p>
        </w:tc>
      </w:tr>
      <w:tr w:rsidR="00E82E80" w14:paraId="75574E1F"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3EE3E6" w14:textId="6A5440D6" w:rsidR="2A1AD167" w:rsidRDefault="2A1AD167" w:rsidP="00603157">
            <w:pPr>
              <w:spacing w:before="0" w:after="160"/>
              <w:rPr>
                <w:rFonts w:eastAsia="Times New Roman"/>
                <w:noProof/>
                <w:lang w:val="en-US"/>
              </w:rPr>
            </w:pPr>
            <w:r w:rsidRPr="2A1AD167">
              <w:rPr>
                <w:rFonts w:eastAsia="Times New Roman"/>
                <w:b/>
                <w:bCs/>
                <w:noProof/>
              </w:rPr>
              <w:t>Delivery mode</w:t>
            </w:r>
            <w:r w:rsidRPr="2A1AD167">
              <w:rPr>
                <w:rFonts w:eastAsia="Times New Roman"/>
                <w:noProof/>
                <w:lang w:val="en-US"/>
              </w:rPr>
              <w:t xml:space="preserve"> </w:t>
            </w:r>
          </w:p>
          <w:p w14:paraId="5C7CF658" w14:textId="467E9918" w:rsidR="2A1AD167" w:rsidRDefault="2A1AD167" w:rsidP="00603157">
            <w:pPr>
              <w:spacing w:before="0" w:after="160"/>
              <w:rPr>
                <w:rFonts w:eastAsia="Times New Roman"/>
                <w:noProof/>
                <w:lang w:val="en-US"/>
              </w:rPr>
            </w:pPr>
            <w:r w:rsidRPr="2A1AD167">
              <w:rPr>
                <w:rFonts w:eastAsia="Times New Roman"/>
                <w:noProof/>
              </w:rPr>
              <w:t xml:space="preserve">InvestEU is implemented in indirect management through the European Investment Bank (EIB) Group and other implementing and advisory partners. DG </w:t>
            </w:r>
            <w:r w:rsidR="00050F6E">
              <w:rPr>
                <w:rFonts w:eastAsia="Times New Roman"/>
                <w:noProof/>
              </w:rPr>
              <w:t>GROW</w:t>
            </w:r>
            <w:r w:rsidRPr="2A1AD167">
              <w:rPr>
                <w:rFonts w:eastAsia="Times New Roman"/>
                <w:noProof/>
              </w:rPr>
              <w:t xml:space="preserve"> is in the lead for the Commission.</w:t>
            </w:r>
            <w:r w:rsidRPr="2A1AD167">
              <w:rPr>
                <w:rFonts w:eastAsia="Times New Roman"/>
                <w:noProof/>
                <w:lang w:val="en-US"/>
              </w:rPr>
              <w:t xml:space="preserve"> </w:t>
            </w:r>
          </w:p>
        </w:tc>
      </w:tr>
      <w:tr w:rsidR="00E82E80" w14:paraId="76BA2A3B"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D80288" w14:textId="1B43D58D" w:rsidR="2A1AD167" w:rsidRDefault="2A1AD167" w:rsidP="00603157">
            <w:pPr>
              <w:spacing w:before="0" w:after="160"/>
              <w:rPr>
                <w:rFonts w:eastAsia="Times New Roman"/>
                <w:noProof/>
                <w:lang w:val="en-US"/>
              </w:rPr>
            </w:pPr>
            <w:r w:rsidRPr="2A1AD167">
              <w:rPr>
                <w:rFonts w:eastAsia="Times New Roman"/>
                <w:b/>
                <w:bCs/>
                <w:noProof/>
              </w:rPr>
              <w:t>Predecessor</w:t>
            </w:r>
            <w:r w:rsidRPr="2A1AD167">
              <w:rPr>
                <w:rFonts w:eastAsia="Times New Roman"/>
                <w:noProof/>
                <w:lang w:val="en-US"/>
              </w:rPr>
              <w:t xml:space="preserve"> </w:t>
            </w:r>
          </w:p>
          <w:p w14:paraId="44C54BDE" w14:textId="232F5390" w:rsidR="2A1AD167" w:rsidRDefault="02FD4D70" w:rsidP="00603157">
            <w:pPr>
              <w:spacing w:before="0" w:after="160"/>
              <w:rPr>
                <w:rFonts w:eastAsia="Times New Roman"/>
                <w:noProof/>
                <w:lang w:val="en-US"/>
              </w:rPr>
            </w:pPr>
            <w:r w:rsidRPr="797A3ADD">
              <w:rPr>
                <w:rFonts w:eastAsia="Times New Roman"/>
                <w:noProof/>
              </w:rPr>
              <w:t xml:space="preserve">The InvestEU Fund brings together 13 EU financial instruments (CEF Equity, COSME EFG, EaSI Capacity Building IW, Innovfin Equity, EaSI Guarantee, Student Loans GF, COSME Loan Guarantee Facility, Private Finance for Energy Efficiency, Innovfin Debt, Cultural and Creative Sector GF) and an EU budgetary guarantee (the European Fund for Strategic Investments - EFSI) into a single EU investment support programme. Similarly, the InvestEU Advisory Hub </w:t>
            </w:r>
            <w:r w:rsidR="2A1AD167" w:rsidRPr="797A3ADD" w:rsidDel="02FD4D70">
              <w:rPr>
                <w:rFonts w:eastAsia="Times New Roman"/>
                <w:noProof/>
              </w:rPr>
              <w:t xml:space="preserve">acts as a central entry point </w:t>
            </w:r>
            <w:r w:rsidR="5D8DC584" w:rsidRPr="00A82455">
              <w:rPr>
                <w:rFonts w:eastAsia="Times New Roman"/>
                <w:noProof/>
              </w:rPr>
              <w:t xml:space="preserve">for advisory requests </w:t>
            </w:r>
            <w:r w:rsidR="2AD1CC65" w:rsidRPr="00A82455">
              <w:rPr>
                <w:rFonts w:eastAsia="Times New Roman"/>
                <w:noProof/>
              </w:rPr>
              <w:t>and</w:t>
            </w:r>
            <w:r w:rsidR="2AD1CC65" w:rsidRPr="3B1DB369">
              <w:rPr>
                <w:rFonts w:eastAsia="Times New Roman"/>
                <w:noProof/>
              </w:rPr>
              <w:t xml:space="preserve"> aggregated</w:t>
            </w:r>
            <w:r w:rsidRPr="797A3ADD">
              <w:rPr>
                <w:rFonts w:eastAsia="Times New Roman"/>
                <w:noProof/>
              </w:rPr>
              <w:t xml:space="preserve"> 13 existing advisory initiatives</w:t>
            </w:r>
            <w:r w:rsidR="18227455" w:rsidRPr="3B1DB369">
              <w:rPr>
                <w:rFonts w:eastAsia="Times New Roman"/>
                <w:noProof/>
              </w:rPr>
              <w:t xml:space="preserve"> </w:t>
            </w:r>
            <w:r w:rsidR="18227455" w:rsidRPr="66D2C891">
              <w:rPr>
                <w:rFonts w:eastAsia="Times New Roman"/>
                <w:noProof/>
              </w:rPr>
              <w:t xml:space="preserve">from the </w:t>
            </w:r>
            <w:r w:rsidR="18227455" w:rsidRPr="69133BDA">
              <w:rPr>
                <w:rFonts w:eastAsia="Times New Roman"/>
                <w:noProof/>
              </w:rPr>
              <w:t>previous MFF</w:t>
            </w:r>
            <w:r w:rsidRPr="797A3ADD">
              <w:rPr>
                <w:rFonts w:eastAsia="Times New Roman"/>
                <w:noProof/>
              </w:rPr>
              <w:t>, including the European Investment Advisory Hub (EIAH), Island Facility, City Facility, EEEF technical assistance, PF4EE Expert Support Facility, Smart Specialisation Platform for Industrial modern, InnovFin Advisory, H2020 (EE11 PDA), European Local Energy Assistance</w:t>
            </w:r>
            <w:r w:rsidR="205BC6E7" w:rsidRPr="42B2479B">
              <w:rPr>
                <w:rFonts w:eastAsia="Times New Roman"/>
                <w:noProof/>
              </w:rPr>
              <w:t xml:space="preserve"> </w:t>
            </w:r>
            <w:r w:rsidR="205BC6E7" w:rsidRPr="452C6C97">
              <w:rPr>
                <w:rFonts w:eastAsia="Times New Roman"/>
                <w:noProof/>
              </w:rPr>
              <w:t>(ELENA)</w:t>
            </w:r>
            <w:r w:rsidR="5EE76D95" w:rsidRPr="452C6C97">
              <w:rPr>
                <w:rFonts w:eastAsia="Times New Roman"/>
                <w:noProof/>
              </w:rPr>
              <w:t>,</w:t>
            </w:r>
            <w:r w:rsidRPr="797A3ADD">
              <w:rPr>
                <w:rFonts w:eastAsia="Times New Roman"/>
                <w:noProof/>
              </w:rPr>
              <w:t xml:space="preserve"> CEF (through JASPERS), NCFF support facility, EaSI Technical Assistance, CEF Programme Support Actions.</w:t>
            </w:r>
            <w:r w:rsidRPr="797A3ADD">
              <w:rPr>
                <w:rFonts w:eastAsia="Times New Roman"/>
                <w:noProof/>
                <w:lang w:val="en-US"/>
              </w:rPr>
              <w:t xml:space="preserve"> </w:t>
            </w:r>
          </w:p>
        </w:tc>
      </w:tr>
      <w:tr w:rsidR="0073733B" w14:paraId="43228B87"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73984E" w14:textId="77777777" w:rsidR="00487240" w:rsidRPr="006115AC" w:rsidRDefault="00487240" w:rsidP="00487240">
            <w:pPr>
              <w:spacing w:before="40" w:after="40"/>
              <w:rPr>
                <w:rFonts w:eastAsia="Times New Roman"/>
                <w:b/>
                <w:bCs/>
                <w:noProof/>
              </w:rPr>
            </w:pPr>
            <w:r w:rsidRPr="006115AC">
              <w:rPr>
                <w:rFonts w:eastAsia="Times New Roman"/>
                <w:b/>
                <w:bCs/>
                <w:noProof/>
              </w:rPr>
              <w:t>Type of recipients</w:t>
            </w:r>
          </w:p>
          <w:p w14:paraId="3C3E7530" w14:textId="62A6E6E3" w:rsidR="00487240" w:rsidRPr="006115AC" w:rsidRDefault="00487240" w:rsidP="00487240">
            <w:pPr>
              <w:spacing w:before="0" w:after="160"/>
              <w:rPr>
                <w:rFonts w:eastAsia="Times New Roman"/>
                <w:noProof/>
              </w:rPr>
            </w:pPr>
            <w:r w:rsidRPr="006115AC">
              <w:rPr>
                <w:rFonts w:eastAsia="Times New Roman"/>
                <w:noProof/>
              </w:rPr>
              <w:t>Public and private investors and project promoters, small and medium-sized enterprises and mid-caps, service providers and recipients of microfinance.</w:t>
            </w:r>
          </w:p>
        </w:tc>
      </w:tr>
      <w:tr w:rsidR="0073733B" w14:paraId="19913C66"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F48ABA" w14:textId="77777777" w:rsidR="00487240" w:rsidRPr="006115AC" w:rsidRDefault="00487240" w:rsidP="00487240">
            <w:pPr>
              <w:spacing w:before="40" w:after="40"/>
              <w:rPr>
                <w:rFonts w:eastAsia="Times New Roman"/>
                <w:b/>
                <w:bCs/>
                <w:noProof/>
              </w:rPr>
            </w:pPr>
            <w:r w:rsidRPr="006115AC">
              <w:rPr>
                <w:rFonts w:eastAsia="Times New Roman"/>
                <w:b/>
                <w:bCs/>
                <w:noProof/>
              </w:rPr>
              <w:t xml:space="preserve">Forms of EU support </w:t>
            </w:r>
          </w:p>
          <w:p w14:paraId="1CA24DD9" w14:textId="3B7AC981" w:rsidR="00487240" w:rsidRPr="006115AC" w:rsidRDefault="00487240" w:rsidP="00487240">
            <w:pPr>
              <w:spacing w:before="0" w:after="160"/>
              <w:rPr>
                <w:rFonts w:eastAsia="Times New Roman"/>
                <w:noProof/>
              </w:rPr>
            </w:pPr>
            <w:r w:rsidRPr="006115AC">
              <w:rPr>
                <w:rFonts w:eastAsia="Times New Roman"/>
                <w:noProof/>
              </w:rPr>
              <w:t>EU guarantee; grants; loans; advisory.</w:t>
            </w:r>
          </w:p>
        </w:tc>
      </w:tr>
      <w:tr w:rsidR="0073733B" w14:paraId="2FE1CEB8"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911BB9" w14:textId="77777777" w:rsidR="00487240" w:rsidRPr="006115AC" w:rsidRDefault="00487240" w:rsidP="00487240">
            <w:pPr>
              <w:spacing w:before="40" w:after="40"/>
              <w:rPr>
                <w:rFonts w:eastAsia="Times New Roman"/>
                <w:b/>
                <w:bCs/>
                <w:noProof/>
              </w:rPr>
            </w:pPr>
            <w:r w:rsidRPr="006115AC">
              <w:rPr>
                <w:rFonts w:eastAsia="Times New Roman"/>
                <w:b/>
                <w:bCs/>
                <w:noProof/>
              </w:rPr>
              <w:t>Third countries associated to the programme</w:t>
            </w:r>
          </w:p>
          <w:p w14:paraId="73C6E23A" w14:textId="09E17B73" w:rsidR="00487240" w:rsidRPr="006115AC" w:rsidRDefault="00487240" w:rsidP="00487240">
            <w:pPr>
              <w:spacing w:before="0" w:after="160"/>
              <w:rPr>
                <w:rFonts w:eastAsia="Times New Roman"/>
                <w:noProof/>
              </w:rPr>
            </w:pPr>
            <w:r w:rsidRPr="006115AC">
              <w:rPr>
                <w:rFonts w:eastAsia="Times New Roman"/>
                <w:noProof/>
              </w:rPr>
              <w:t xml:space="preserve">The EU compartment of the InvestEU Fund and each of the policy windows may receive contributions from the following third countries for the purpose of participation in certain financial products: members of the European Free Trade Association (EFTA) which are members of the EEA; acceding countries, candidate countries and potential candidates; European Neighbourhood Policy countries; other third countries, based on a specific agreement (Reg. (EU) No 2021/523, Art. 5).  </w:t>
            </w:r>
          </w:p>
        </w:tc>
      </w:tr>
      <w:tr w:rsidR="00487240" w14:paraId="21C7D814"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49AC57" w14:textId="77777777" w:rsidR="00487240" w:rsidRPr="006115AC" w:rsidRDefault="00487240" w:rsidP="00487240">
            <w:pPr>
              <w:spacing w:before="40" w:after="40"/>
              <w:rPr>
                <w:rFonts w:eastAsia="Times New Roman"/>
                <w:b/>
                <w:bCs/>
                <w:noProof/>
              </w:rPr>
            </w:pPr>
            <w:r w:rsidRPr="006115AC">
              <w:rPr>
                <w:rFonts w:eastAsia="Times New Roman"/>
                <w:b/>
                <w:bCs/>
                <w:noProof/>
              </w:rPr>
              <w:t>Application</w:t>
            </w:r>
          </w:p>
          <w:p w14:paraId="67655CF8" w14:textId="77777777" w:rsidR="00487240" w:rsidRPr="006115AC" w:rsidRDefault="00487240" w:rsidP="00487240">
            <w:pPr>
              <w:spacing w:before="40" w:after="40"/>
              <w:rPr>
                <w:rFonts w:eastAsia="Times New Roman"/>
                <w:noProof/>
              </w:rPr>
            </w:pPr>
            <w:r w:rsidRPr="006115AC">
              <w:rPr>
                <w:rFonts w:eastAsia="Times New Roman"/>
                <w:noProof/>
              </w:rPr>
              <w:t>For support from the InvestEU Fund, project promoters apply directly to implementing partners on suitable financing solutions based on the financial products supported by the EU guarantee.</w:t>
            </w:r>
          </w:p>
          <w:p w14:paraId="36AC8E5B" w14:textId="77777777" w:rsidR="00487240" w:rsidRPr="006115AC" w:rsidRDefault="00487240" w:rsidP="00487240">
            <w:pPr>
              <w:spacing w:before="40" w:after="40"/>
              <w:rPr>
                <w:rFonts w:eastAsia="Times New Roman"/>
                <w:noProof/>
              </w:rPr>
            </w:pPr>
            <w:r w:rsidRPr="006115AC">
              <w:rPr>
                <w:rFonts w:eastAsia="Times New Roman"/>
                <w:noProof/>
              </w:rPr>
              <w:t>Implementing partners select financial intermediaries through procedures such as calls for expressions of interest.</w:t>
            </w:r>
          </w:p>
          <w:p w14:paraId="5F78364C" w14:textId="14DE00FE" w:rsidR="00487240" w:rsidRPr="006115AC" w:rsidRDefault="00487240" w:rsidP="00487240">
            <w:pPr>
              <w:spacing w:before="0" w:after="160"/>
              <w:rPr>
                <w:rFonts w:eastAsia="Times New Roman"/>
                <w:noProof/>
              </w:rPr>
            </w:pPr>
            <w:r w:rsidRPr="006115AC">
              <w:rPr>
                <w:rFonts w:eastAsia="Times New Roman"/>
                <w:noProof/>
              </w:rPr>
              <w:t>To apply for advisory support, the InvestEU Advisory Hub is the central entry point for project promoters and intermediaries seeking advisory support and technical assistance related to centrally managed EU investment funds. Managed by the European Commission, the InvestEU Advisory Hub connects project promoters and intermediaries with advisory partners, who work directly together to help projects reach the financing stage. Within the InvestEU Central Entry Point, a set of questions helps identify advisory needs and the potential advisory partner most suitable to address them. Applicants are also invited to provide details about support needs (e.g. location, area of activity sector, type of advisory support needed, maturity of the proposal and beneficiary contact details).</w:t>
            </w:r>
          </w:p>
        </w:tc>
      </w:tr>
    </w:tbl>
    <w:p w14:paraId="6E9FB84C" w14:textId="73F0B6E3" w:rsidR="0AA200F7" w:rsidRDefault="0AA200F7" w:rsidP="00603157">
      <w:pPr>
        <w:spacing w:before="0" w:after="240"/>
        <w:rPr>
          <w:rFonts w:eastAsia="Times New Roman"/>
          <w:i/>
          <w:iCs/>
          <w:noProof/>
          <w:lang w:val="en-US"/>
        </w:rPr>
      </w:pPr>
      <w:r w:rsidRPr="2A1AD167">
        <w:rPr>
          <w:rFonts w:eastAsia="Times New Roman"/>
          <w:i/>
          <w:iCs/>
          <w:noProof/>
        </w:rPr>
        <w:t>Horizon Europe</w:t>
      </w:r>
      <w:r w:rsidRPr="2A1AD167">
        <w:rPr>
          <w:rFonts w:eastAsia="Times New Roman"/>
          <w:i/>
          <w:iCs/>
          <w:noProof/>
          <w:lang w:val="en-US"/>
        </w:rPr>
        <w:t xml:space="preserve"> </w:t>
      </w:r>
    </w:p>
    <w:tbl>
      <w:tblPr>
        <w:tblW w:w="10065" w:type="dxa"/>
        <w:tblInd w:w="-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065"/>
      </w:tblGrid>
      <w:tr w:rsidR="002E0305" w:rsidRPr="006D0E8D" w14:paraId="634D81B3"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093FDE" w14:textId="7820A67A" w:rsidR="2A1AD167" w:rsidRDefault="2A1AD167" w:rsidP="00603157">
            <w:pPr>
              <w:spacing w:before="0" w:after="160"/>
              <w:rPr>
                <w:rFonts w:eastAsia="Times New Roman"/>
                <w:noProof/>
                <w:lang w:val="en-US"/>
              </w:rPr>
            </w:pPr>
            <w:r w:rsidRPr="2A1AD167">
              <w:rPr>
                <w:rFonts w:eastAsia="Times New Roman"/>
                <w:b/>
                <w:bCs/>
                <w:noProof/>
              </w:rPr>
              <w:t>Regulation</w:t>
            </w:r>
            <w:r w:rsidRPr="2A1AD167">
              <w:rPr>
                <w:rFonts w:eastAsia="Times New Roman"/>
                <w:noProof/>
                <w:lang w:val="en-US"/>
              </w:rPr>
              <w:t xml:space="preserve"> </w:t>
            </w:r>
          </w:p>
          <w:p w14:paraId="4DCBA852" w14:textId="0DB1695D" w:rsidR="2A1AD167" w:rsidRDefault="2A1AD167" w:rsidP="00603157">
            <w:pPr>
              <w:spacing w:before="0" w:after="160"/>
              <w:rPr>
                <w:rFonts w:eastAsia="Times New Roman"/>
                <w:noProof/>
                <w:lang w:val="en-US"/>
              </w:rPr>
            </w:pPr>
            <w:r w:rsidRPr="2A1AD167">
              <w:rPr>
                <w:rFonts w:eastAsia="Times New Roman"/>
                <w:noProof/>
              </w:rPr>
              <w:t>Regulation of the European Parliament and of the Council establishing Horizon Europe – the Framework Programme for Research and Innovation, laying down its rules for participation and dissemination COM(2018) 435.</w:t>
            </w:r>
          </w:p>
          <w:p w14:paraId="697677DF" w14:textId="57F86F68" w:rsidR="00A6584C" w:rsidRPr="00B03DD3" w:rsidRDefault="00A6584C" w:rsidP="00603157">
            <w:pPr>
              <w:spacing w:before="0" w:after="160"/>
              <w:rPr>
                <w:rFonts w:eastAsia="Times New Roman"/>
                <w:noProof/>
                <w:lang w:val="en-IE"/>
              </w:rPr>
            </w:pPr>
            <w:r w:rsidRPr="00B03DD3">
              <w:rPr>
                <w:rFonts w:eastAsia="Times New Roman"/>
                <w:noProof/>
                <w:lang w:val="en-IE"/>
              </w:rPr>
              <w:t>Legal base</w:t>
            </w:r>
            <w:r w:rsidR="000F731F" w:rsidRPr="000F731F">
              <w:rPr>
                <w:rFonts w:eastAsia="Times New Roman"/>
                <w:noProof/>
                <w:lang w:val="en-IE"/>
              </w:rPr>
              <w:t xml:space="preserve">: </w:t>
            </w:r>
            <w:r w:rsidR="000F731F" w:rsidRPr="000F731F">
              <w:rPr>
                <w:rFonts w:eastAsia="Times New Roman"/>
                <w:noProof/>
              </w:rPr>
              <w:t>Article 173(3), Article 182(1), Article 183, and the second paragraph of Article 188 (procedure for adoption, TBD)]</w:t>
            </w:r>
            <w:r w:rsidR="000F731F">
              <w:rPr>
                <w:rFonts w:eastAsia="Times New Roman"/>
                <w:noProof/>
              </w:rPr>
              <w:t xml:space="preserve"> </w:t>
            </w:r>
            <w:r w:rsidR="00184C3D" w:rsidRPr="00B03DD3">
              <w:rPr>
                <w:rFonts w:eastAsia="Times New Roman"/>
                <w:noProof/>
                <w:lang w:val="en-IE"/>
              </w:rPr>
              <w:t>of the Treaty o</w:t>
            </w:r>
            <w:r w:rsidR="000F731F" w:rsidRPr="00B03DD3">
              <w:rPr>
                <w:rFonts w:eastAsia="Times New Roman"/>
                <w:noProof/>
                <w:lang w:val="en-IE"/>
              </w:rPr>
              <w:t>n the functioning of the European Union</w:t>
            </w:r>
          </w:p>
        </w:tc>
      </w:tr>
      <w:tr w:rsidR="002E0305" w14:paraId="18E3C211"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639115" w14:textId="16EF3097" w:rsidR="2A1AD167" w:rsidRDefault="2A1AD167" w:rsidP="00603157">
            <w:pPr>
              <w:spacing w:before="0" w:after="160"/>
              <w:rPr>
                <w:rFonts w:eastAsia="Times New Roman"/>
                <w:noProof/>
                <w:lang w:val="en-US"/>
              </w:rPr>
            </w:pPr>
            <w:r w:rsidRPr="2A1AD167">
              <w:rPr>
                <w:rFonts w:eastAsia="Times New Roman"/>
                <w:b/>
                <w:bCs/>
                <w:noProof/>
              </w:rPr>
              <w:t>Period</w:t>
            </w:r>
            <w:r w:rsidRPr="2A1AD167">
              <w:rPr>
                <w:rFonts w:eastAsia="Times New Roman"/>
                <w:noProof/>
                <w:lang w:val="en-US"/>
              </w:rPr>
              <w:t xml:space="preserve"> </w:t>
            </w:r>
          </w:p>
          <w:p w14:paraId="5C419FEE" w14:textId="61457BDC" w:rsidR="2A1AD167" w:rsidRDefault="2A1AD167" w:rsidP="00603157">
            <w:pPr>
              <w:spacing w:before="0" w:after="160"/>
              <w:rPr>
                <w:rFonts w:eastAsia="Times New Roman"/>
                <w:noProof/>
                <w:lang w:val="en-US"/>
              </w:rPr>
            </w:pPr>
            <w:r w:rsidRPr="2A1AD167">
              <w:rPr>
                <w:rFonts w:eastAsia="Times New Roman"/>
                <w:noProof/>
              </w:rPr>
              <w:t>2021 – 2027</w:t>
            </w:r>
            <w:r w:rsidRPr="2A1AD167">
              <w:rPr>
                <w:rFonts w:eastAsia="Times New Roman"/>
                <w:noProof/>
                <w:lang w:val="en-US"/>
              </w:rPr>
              <w:t xml:space="preserve"> </w:t>
            </w:r>
          </w:p>
        </w:tc>
      </w:tr>
      <w:tr w:rsidR="002E0305" w14:paraId="25C77ABD"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11773C" w14:textId="6FE82FF9" w:rsidR="2A1AD167" w:rsidRDefault="2A1AD167" w:rsidP="00603157">
            <w:pPr>
              <w:spacing w:before="0" w:after="160"/>
              <w:rPr>
                <w:rFonts w:eastAsia="Times New Roman"/>
                <w:noProof/>
                <w:lang w:val="en-US"/>
              </w:rPr>
            </w:pPr>
            <w:r w:rsidRPr="2A1AD167">
              <w:rPr>
                <w:rFonts w:eastAsia="Times New Roman"/>
                <w:b/>
                <w:bCs/>
                <w:noProof/>
              </w:rPr>
              <w:t>Impact assessment</w:t>
            </w:r>
            <w:r w:rsidRPr="2A1AD167">
              <w:rPr>
                <w:rFonts w:eastAsia="Times New Roman"/>
                <w:noProof/>
                <w:lang w:val="en-US"/>
              </w:rPr>
              <w:t xml:space="preserve"> </w:t>
            </w:r>
          </w:p>
          <w:p w14:paraId="3770217F" w14:textId="7BBAAD81" w:rsidR="2A1AD167" w:rsidRDefault="2A1AD167" w:rsidP="00603157">
            <w:pPr>
              <w:spacing w:before="0" w:after="160"/>
              <w:rPr>
                <w:rFonts w:eastAsia="Times New Roman"/>
                <w:noProof/>
                <w:lang w:val="en-US"/>
              </w:rPr>
            </w:pPr>
            <w:r w:rsidRPr="2A1AD167">
              <w:rPr>
                <w:rFonts w:eastAsia="Times New Roman"/>
                <w:noProof/>
              </w:rPr>
              <w:t xml:space="preserve">Carried out in 2018: </w:t>
            </w:r>
            <w:hyperlink r:id="rId41" w:history="1">
              <w:r w:rsidRPr="2A1AD167">
                <w:rPr>
                  <w:rStyle w:val="Hyperlink"/>
                  <w:rFonts w:eastAsia="Times New Roman"/>
                  <w:noProof/>
                  <w:color w:val="0000FF"/>
                </w:rPr>
                <w:t>link</w:t>
              </w:r>
            </w:hyperlink>
          </w:p>
        </w:tc>
      </w:tr>
      <w:tr w:rsidR="002E0305" w14:paraId="00591D7B"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2F5546" w14:textId="3A08BEF5" w:rsidR="2A1AD167" w:rsidRDefault="2A1AD167" w:rsidP="00603157">
            <w:pPr>
              <w:spacing w:before="0" w:after="160"/>
              <w:rPr>
                <w:rFonts w:eastAsia="Times New Roman"/>
                <w:noProof/>
                <w:lang w:val="en-US"/>
              </w:rPr>
            </w:pPr>
            <w:r w:rsidRPr="2A1AD167">
              <w:rPr>
                <w:rFonts w:eastAsia="Times New Roman"/>
                <w:b/>
                <w:bCs/>
                <w:noProof/>
              </w:rPr>
              <w:t>Mid-term evaluation</w:t>
            </w:r>
            <w:r w:rsidRPr="2A1AD167">
              <w:rPr>
                <w:rFonts w:eastAsia="Times New Roman"/>
                <w:noProof/>
                <w:lang w:val="en-US"/>
              </w:rPr>
              <w:t xml:space="preserve"> </w:t>
            </w:r>
          </w:p>
          <w:p w14:paraId="4A762C4B" w14:textId="27BBB584" w:rsidR="2A1AD167" w:rsidRDefault="2A1AD167" w:rsidP="00603157">
            <w:pPr>
              <w:spacing w:before="0" w:after="160"/>
              <w:rPr>
                <w:rFonts w:eastAsia="Times New Roman"/>
                <w:noProof/>
                <w:lang w:val="en-US"/>
              </w:rPr>
            </w:pPr>
            <w:r w:rsidRPr="00F370FB">
              <w:rPr>
                <w:rFonts w:eastAsia="Times New Roman"/>
                <w:noProof/>
              </w:rPr>
              <w:t>Forthcoming</w:t>
            </w:r>
            <w:r w:rsidRPr="2A1AD167">
              <w:rPr>
                <w:rFonts w:eastAsia="Times New Roman"/>
                <w:noProof/>
                <w:lang w:val="en-US"/>
              </w:rPr>
              <w:t xml:space="preserve"> </w:t>
            </w:r>
          </w:p>
        </w:tc>
      </w:tr>
      <w:tr w:rsidR="002E0305" w14:paraId="17E3EB65"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C47266" w14:textId="4B6065CF" w:rsidR="2A1AD167" w:rsidRDefault="2A1AD167" w:rsidP="00603157">
            <w:pPr>
              <w:spacing w:before="0" w:after="160"/>
              <w:rPr>
                <w:rFonts w:eastAsia="Times New Roman"/>
                <w:noProof/>
                <w:lang w:val="en-US"/>
              </w:rPr>
            </w:pPr>
            <w:r w:rsidRPr="2A1AD167">
              <w:rPr>
                <w:rFonts w:eastAsia="Times New Roman"/>
                <w:b/>
                <w:bCs/>
                <w:noProof/>
              </w:rPr>
              <w:t>Budget</w:t>
            </w:r>
            <w:r w:rsidRPr="2A1AD167">
              <w:rPr>
                <w:rFonts w:eastAsia="Times New Roman"/>
                <w:noProof/>
                <w:lang w:val="en-US"/>
              </w:rPr>
              <w:t xml:space="preserve"> </w:t>
            </w:r>
          </w:p>
          <w:p w14:paraId="16A13283" w14:textId="4E6C0044" w:rsidR="2A1AD167" w:rsidRDefault="2A1AD167" w:rsidP="00603157">
            <w:pPr>
              <w:spacing w:before="0" w:after="160"/>
              <w:rPr>
                <w:rFonts w:eastAsia="Times New Roman"/>
                <w:noProof/>
                <w:lang w:val="en-US"/>
              </w:rPr>
            </w:pPr>
            <w:r w:rsidRPr="2A1AD167">
              <w:rPr>
                <w:rFonts w:eastAsia="Times New Roman"/>
                <w:noProof/>
              </w:rPr>
              <w:t>EUR 93.5 bln. This includes EUR 5.4 bln from NextGenerationEU to boost recovery and make the EU more resilient for the future, as well as an additional reinforcement of EUR 4.5 bln.</w:t>
            </w:r>
          </w:p>
        </w:tc>
      </w:tr>
      <w:tr w:rsidR="002E0305" w14:paraId="0258742C"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0B74D5" w14:textId="34E0F45B" w:rsidR="2A1AD167" w:rsidRDefault="2A1AD167" w:rsidP="00603157">
            <w:pPr>
              <w:spacing w:before="0" w:after="160"/>
              <w:rPr>
                <w:rFonts w:eastAsia="Times New Roman"/>
                <w:noProof/>
                <w:lang w:val="en-US"/>
              </w:rPr>
            </w:pPr>
            <w:r w:rsidRPr="2A1AD167">
              <w:rPr>
                <w:rFonts w:eastAsia="Times New Roman"/>
                <w:b/>
                <w:bCs/>
                <w:noProof/>
              </w:rPr>
              <w:t>Focus</w:t>
            </w:r>
            <w:r w:rsidRPr="2A1AD167">
              <w:rPr>
                <w:rFonts w:eastAsia="Times New Roman"/>
                <w:noProof/>
                <w:lang w:val="en-US"/>
              </w:rPr>
              <w:t xml:space="preserve"> </w:t>
            </w:r>
          </w:p>
          <w:p w14:paraId="17BDEF6C" w14:textId="5D7D521D" w:rsidR="2A1AD167" w:rsidRDefault="005D34BC" w:rsidP="00603157">
            <w:pPr>
              <w:spacing w:before="0" w:after="160"/>
              <w:rPr>
                <w:rFonts w:eastAsia="Times New Roman"/>
                <w:noProof/>
                <w:lang w:val="en-US"/>
              </w:rPr>
            </w:pPr>
            <w:r w:rsidRPr="00DE6A34">
              <w:rPr>
                <w:rFonts w:eastAsia="Times New Roman"/>
                <w:noProof/>
                <w:lang w:val="en-IE"/>
              </w:rPr>
              <w:t>Horizon Europe is the EU’s largest funding programme for research and innovation activities. Its general objective is to ‘deliver scientific, technological, economic and societal impact from the Union's investments in R&amp;I so as to strengthen the scientific and technological bases of the Union and foster the competitiveness of the Union in all Member States including in its industry, to deliver on the Union strategic priorities and to contribute to the realisation of Union objectives and policies, to tackle global challenges, including the S</w:t>
            </w:r>
            <w:r>
              <w:rPr>
                <w:rFonts w:eastAsia="Times New Roman"/>
                <w:noProof/>
                <w:lang w:val="en-IE"/>
              </w:rPr>
              <w:t xml:space="preserve">ustainable </w:t>
            </w:r>
            <w:r w:rsidRPr="00DE6A34">
              <w:rPr>
                <w:rFonts w:eastAsia="Times New Roman"/>
                <w:noProof/>
                <w:lang w:val="en-IE"/>
              </w:rPr>
              <w:t>D</w:t>
            </w:r>
            <w:r>
              <w:rPr>
                <w:rFonts w:eastAsia="Times New Roman"/>
                <w:noProof/>
                <w:lang w:val="en-IE"/>
              </w:rPr>
              <w:t xml:space="preserve">evelopment </w:t>
            </w:r>
            <w:r w:rsidRPr="00DE6A34">
              <w:rPr>
                <w:rFonts w:eastAsia="Times New Roman"/>
                <w:noProof/>
                <w:lang w:val="en-IE"/>
              </w:rPr>
              <w:t>G</w:t>
            </w:r>
            <w:r>
              <w:rPr>
                <w:rFonts w:eastAsia="Times New Roman"/>
                <w:noProof/>
                <w:lang w:val="en-IE"/>
              </w:rPr>
              <w:t>oal</w:t>
            </w:r>
            <w:r w:rsidRPr="00DE6A34">
              <w:rPr>
                <w:rFonts w:eastAsia="Times New Roman"/>
                <w:noProof/>
                <w:lang w:val="en-IE"/>
              </w:rPr>
              <w:t>s by following the principles of the 2030 Agenda and the Paris Agreement, and to strengthen the E</w:t>
            </w:r>
            <w:r>
              <w:rPr>
                <w:rFonts w:eastAsia="Times New Roman"/>
                <w:noProof/>
                <w:lang w:val="en-IE"/>
              </w:rPr>
              <w:t xml:space="preserve">uropean Research </w:t>
            </w:r>
            <w:r w:rsidRPr="00DE6A34">
              <w:rPr>
                <w:rFonts w:eastAsia="Times New Roman"/>
                <w:noProof/>
                <w:lang w:val="en-IE"/>
              </w:rPr>
              <w:t>A</w:t>
            </w:r>
            <w:r>
              <w:rPr>
                <w:rFonts w:eastAsia="Times New Roman"/>
                <w:noProof/>
                <w:lang w:val="en-IE"/>
              </w:rPr>
              <w:t>rea</w:t>
            </w:r>
            <w:r w:rsidR="2A1AD167" w:rsidRPr="2A1AD167">
              <w:rPr>
                <w:rFonts w:eastAsia="Times New Roman"/>
                <w:noProof/>
              </w:rPr>
              <w:t xml:space="preserve">Horizon Europe is also implemented through </w:t>
            </w:r>
            <w:r>
              <w:rPr>
                <w:rFonts w:eastAsia="Times New Roman"/>
                <w:noProof/>
              </w:rPr>
              <w:t xml:space="preserve">its Specific Programme and through </w:t>
            </w:r>
            <w:r w:rsidR="2A1AD167" w:rsidRPr="2A1AD167">
              <w:rPr>
                <w:rFonts w:eastAsia="Times New Roman"/>
                <w:noProof/>
              </w:rPr>
              <w:t>the European Defence Fund and complemented by the Euratom Research and Training Programme.</w:t>
            </w:r>
            <w:r w:rsidR="2A1AD167" w:rsidRPr="2A1AD167">
              <w:rPr>
                <w:rFonts w:eastAsia="Times New Roman"/>
                <w:noProof/>
                <w:lang w:val="en-US"/>
              </w:rPr>
              <w:t xml:space="preserve"> </w:t>
            </w:r>
          </w:p>
        </w:tc>
      </w:tr>
      <w:tr w:rsidR="002E0305" w14:paraId="1237280F"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663CFC" w14:textId="52C2B88B" w:rsidR="2A1AD167" w:rsidRDefault="2A1AD167" w:rsidP="00603157">
            <w:pPr>
              <w:spacing w:before="0" w:after="160"/>
              <w:rPr>
                <w:rFonts w:eastAsia="Times New Roman"/>
                <w:noProof/>
                <w:lang w:val="en-US"/>
              </w:rPr>
            </w:pPr>
            <w:r w:rsidRPr="2A1AD167">
              <w:rPr>
                <w:rFonts w:eastAsia="Times New Roman"/>
                <w:b/>
                <w:bCs/>
                <w:noProof/>
              </w:rPr>
              <w:t>Delivery mode</w:t>
            </w:r>
            <w:r w:rsidRPr="2A1AD167">
              <w:rPr>
                <w:rFonts w:eastAsia="Times New Roman"/>
                <w:noProof/>
                <w:lang w:val="en-US"/>
              </w:rPr>
              <w:t xml:space="preserve"> </w:t>
            </w:r>
          </w:p>
          <w:p w14:paraId="3FA48BE0" w14:textId="2BDF72A5" w:rsidR="2A1AD167" w:rsidRDefault="2A1AD167" w:rsidP="00603157">
            <w:pPr>
              <w:spacing w:before="0" w:after="160"/>
              <w:rPr>
                <w:rFonts w:eastAsia="Times New Roman"/>
                <w:noProof/>
                <w:lang w:val="en-US"/>
              </w:rPr>
            </w:pPr>
            <w:r w:rsidRPr="2A1AD167">
              <w:rPr>
                <w:rFonts w:eastAsia="Times New Roman"/>
                <w:noProof/>
              </w:rPr>
              <w:t>Implemented directly by the Commission (DG RTD</w:t>
            </w:r>
            <w:r w:rsidR="004420CC">
              <w:rPr>
                <w:rFonts w:eastAsia="Times New Roman"/>
                <w:noProof/>
              </w:rPr>
              <w:t xml:space="preserve"> </w:t>
            </w:r>
            <w:r w:rsidR="004420CC" w:rsidRPr="2C6CDB94">
              <w:rPr>
                <w:rFonts w:eastAsia="Times New Roman"/>
                <w:noProof/>
              </w:rPr>
              <w:t>coordinating the co-design process with relevant policy DGs</w:t>
            </w:r>
            <w:r w:rsidRPr="2A1AD167">
              <w:rPr>
                <w:rFonts w:eastAsia="Times New Roman"/>
                <w:noProof/>
              </w:rPr>
              <w:t>) or via funding bodies designated by it</w:t>
            </w:r>
            <w:r w:rsidR="00E740E6">
              <w:rPr>
                <w:rFonts w:eastAsia="Times New Roman"/>
                <w:noProof/>
              </w:rPr>
              <w:t xml:space="preserve"> (</w:t>
            </w:r>
            <w:r w:rsidR="00E740E6" w:rsidRPr="2C6CDB94">
              <w:rPr>
                <w:rFonts w:eastAsia="Times New Roman"/>
                <w:noProof/>
              </w:rPr>
              <w:t>in particular executive agencies</w:t>
            </w:r>
            <w:r w:rsidR="00E740E6">
              <w:rPr>
                <w:rFonts w:eastAsia="Times New Roman"/>
                <w:noProof/>
              </w:rPr>
              <w:t>)</w:t>
            </w:r>
            <w:r w:rsidRPr="2A1AD167">
              <w:rPr>
                <w:rFonts w:eastAsia="Times New Roman"/>
                <w:noProof/>
              </w:rPr>
              <w:t>.</w:t>
            </w:r>
            <w:r w:rsidR="008C4EC2">
              <w:rPr>
                <w:rFonts w:eastAsia="Times New Roman"/>
                <w:noProof/>
              </w:rPr>
              <w:t xml:space="preserve"> </w:t>
            </w:r>
            <w:r w:rsidR="008C4EC2" w:rsidRPr="2C6CDB94">
              <w:rPr>
                <w:rFonts w:eastAsia="Times New Roman"/>
                <w:noProof/>
                <w:lang w:val="en-US"/>
              </w:rPr>
              <w:t>The association of policy DGs allows strong policy steer on R&amp;I priorities and stronger consideration of the relevant stakeholders needs.</w:t>
            </w:r>
            <w:r w:rsidRPr="2A1AD167">
              <w:rPr>
                <w:rFonts w:eastAsia="Times New Roman"/>
                <w:noProof/>
                <w:lang w:val="en-US"/>
              </w:rPr>
              <w:t xml:space="preserve"> </w:t>
            </w:r>
          </w:p>
        </w:tc>
      </w:tr>
      <w:tr w:rsidR="002E0305" w14:paraId="5C0A4099"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258717" w14:textId="55D8FF05" w:rsidR="2A1AD167" w:rsidRDefault="2A1AD167" w:rsidP="00603157">
            <w:pPr>
              <w:spacing w:before="0" w:after="160"/>
              <w:rPr>
                <w:rFonts w:eastAsia="Times New Roman"/>
                <w:noProof/>
                <w:lang w:val="en-US"/>
              </w:rPr>
            </w:pPr>
            <w:r w:rsidRPr="2A1AD167">
              <w:rPr>
                <w:rFonts w:eastAsia="Times New Roman"/>
                <w:b/>
                <w:bCs/>
                <w:noProof/>
              </w:rPr>
              <w:t>Predecessor</w:t>
            </w:r>
            <w:r w:rsidRPr="2A1AD167">
              <w:rPr>
                <w:rFonts w:eastAsia="Times New Roman"/>
                <w:noProof/>
                <w:lang w:val="en-US"/>
              </w:rPr>
              <w:t xml:space="preserve"> </w:t>
            </w:r>
          </w:p>
          <w:p w14:paraId="7D9880FD" w14:textId="0174A7E5" w:rsidR="2A1AD167" w:rsidRDefault="2A1AD167" w:rsidP="00603157">
            <w:pPr>
              <w:spacing w:before="0" w:after="160"/>
              <w:rPr>
                <w:rFonts w:eastAsia="Times New Roman"/>
                <w:noProof/>
                <w:lang w:val="en-US"/>
              </w:rPr>
            </w:pPr>
            <w:r w:rsidRPr="2A1AD167">
              <w:rPr>
                <w:rFonts w:eastAsia="Times New Roman"/>
                <w:noProof/>
              </w:rPr>
              <w:t>Horizon 2020. As a result of the interim evaluation of the Horizon 2020 programme, some changes were made that are continued under Horizon Europe for example the European Innovation Council pilot launched in 2017 to support breakthrough innovation. In addition, novelties have been introduced in Horizon Europe, notably:</w:t>
            </w:r>
          </w:p>
          <w:p w14:paraId="0AE68FC6" w14:textId="19263EED" w:rsidR="2A1AD167" w:rsidRDefault="2A1AD167" w:rsidP="008C51EB">
            <w:pPr>
              <w:pStyle w:val="ListParagraph"/>
              <w:numPr>
                <w:ilvl w:val="0"/>
                <w:numId w:val="15"/>
              </w:numPr>
              <w:spacing w:before="0" w:after="160"/>
              <w:rPr>
                <w:rFonts w:eastAsia="Times New Roman"/>
                <w:noProof/>
                <w:lang w:val="en-US"/>
              </w:rPr>
            </w:pPr>
            <w:r w:rsidRPr="2A1AD167">
              <w:rPr>
                <w:rFonts w:eastAsia="Times New Roman"/>
                <w:noProof/>
              </w:rPr>
              <w:t>EU missions, to deliver targeted solutions to societal challenges together with citizens;</w:t>
            </w:r>
          </w:p>
          <w:p w14:paraId="1D970B21" w14:textId="61BA1545" w:rsidR="2A1AD167" w:rsidRDefault="2A1AD167" w:rsidP="008C51EB">
            <w:pPr>
              <w:pStyle w:val="ListParagraph"/>
              <w:numPr>
                <w:ilvl w:val="0"/>
                <w:numId w:val="14"/>
              </w:numPr>
              <w:spacing w:before="0" w:after="160"/>
              <w:rPr>
                <w:rFonts w:eastAsia="Times New Roman"/>
                <w:noProof/>
                <w:lang w:val="en-US"/>
              </w:rPr>
            </w:pPr>
            <w:r w:rsidRPr="2A1AD167">
              <w:rPr>
                <w:rFonts w:eastAsia="Times New Roman"/>
                <w:noProof/>
              </w:rPr>
              <w:t>Streamlined approach to European Partnerships, to rationalise the funding landscape;</w:t>
            </w:r>
          </w:p>
          <w:p w14:paraId="64627302" w14:textId="2D62AB6B" w:rsidR="2A1AD167" w:rsidRDefault="2A1AD167" w:rsidP="008C51EB">
            <w:pPr>
              <w:pStyle w:val="ListParagraph"/>
              <w:numPr>
                <w:ilvl w:val="0"/>
                <w:numId w:val="14"/>
              </w:numPr>
              <w:spacing w:before="0" w:after="160"/>
              <w:rPr>
                <w:rFonts w:eastAsia="Times New Roman"/>
                <w:noProof/>
                <w:lang w:val="en-US"/>
              </w:rPr>
            </w:pPr>
            <w:r w:rsidRPr="2A1AD167">
              <w:rPr>
                <w:rFonts w:eastAsia="Times New Roman"/>
                <w:noProof/>
              </w:rPr>
              <w:t>Extended association possibilities, to strengthen international cooperation;</w:t>
            </w:r>
          </w:p>
          <w:p w14:paraId="058FBD42" w14:textId="4AAD9A09" w:rsidR="2A1AD167" w:rsidRDefault="2A1AD167" w:rsidP="008C51EB">
            <w:pPr>
              <w:pStyle w:val="ListParagraph"/>
              <w:numPr>
                <w:ilvl w:val="0"/>
                <w:numId w:val="13"/>
              </w:numPr>
              <w:spacing w:before="0" w:after="160"/>
              <w:rPr>
                <w:rFonts w:eastAsia="Times New Roman"/>
                <w:noProof/>
                <w:lang w:val="en-US"/>
              </w:rPr>
            </w:pPr>
            <w:r w:rsidRPr="2A1AD167">
              <w:rPr>
                <w:rFonts w:eastAsia="Times New Roman"/>
                <w:noProof/>
              </w:rPr>
              <w:t>Open Science policy, to reinforce openness;</w:t>
            </w:r>
          </w:p>
          <w:p w14:paraId="47AAFDA0" w14:textId="3D5E39C2" w:rsidR="2A1AD167" w:rsidRDefault="2A1AD167" w:rsidP="008C51EB">
            <w:pPr>
              <w:pStyle w:val="ListParagraph"/>
              <w:numPr>
                <w:ilvl w:val="0"/>
                <w:numId w:val="13"/>
              </w:numPr>
              <w:spacing w:before="0" w:after="160"/>
              <w:rPr>
                <w:rFonts w:eastAsia="Times New Roman"/>
                <w:noProof/>
                <w:lang w:val="en-US"/>
              </w:rPr>
            </w:pPr>
            <w:r w:rsidRPr="2A1AD167">
              <w:rPr>
                <w:rFonts w:eastAsia="Times New Roman"/>
                <w:noProof/>
              </w:rPr>
              <w:t>Widening participation and spreading excellence, to decrease the R&amp;I gap in Europe;</w:t>
            </w:r>
          </w:p>
          <w:p w14:paraId="54EDADED" w14:textId="78D2F8E7" w:rsidR="2A1AD167" w:rsidRDefault="2A1AD167" w:rsidP="008C51EB">
            <w:pPr>
              <w:pStyle w:val="ListParagraph"/>
              <w:numPr>
                <w:ilvl w:val="0"/>
                <w:numId w:val="12"/>
              </w:numPr>
              <w:spacing w:before="0" w:after="160"/>
              <w:rPr>
                <w:rFonts w:eastAsia="Times New Roman"/>
                <w:noProof/>
                <w:lang w:val="en-US"/>
              </w:rPr>
            </w:pPr>
            <w:r w:rsidRPr="2A1AD167">
              <w:rPr>
                <w:rFonts w:eastAsia="Times New Roman"/>
                <w:noProof/>
              </w:rPr>
              <w:t>Synergies with other EU programmes and policies, to increase the R&amp;I impact; and</w:t>
            </w:r>
          </w:p>
          <w:p w14:paraId="6A89B5BD" w14:textId="25DF796F" w:rsidR="2A1AD167" w:rsidRDefault="2A1AD167" w:rsidP="008C51EB">
            <w:pPr>
              <w:pStyle w:val="ListParagraph"/>
              <w:numPr>
                <w:ilvl w:val="0"/>
                <w:numId w:val="12"/>
              </w:numPr>
              <w:spacing w:before="0" w:after="160"/>
              <w:rPr>
                <w:rFonts w:eastAsia="Times New Roman"/>
                <w:noProof/>
                <w:lang w:val="en-US"/>
              </w:rPr>
            </w:pPr>
            <w:r w:rsidRPr="2A1AD167">
              <w:rPr>
                <w:rFonts w:eastAsia="Times New Roman"/>
                <w:noProof/>
              </w:rPr>
              <w:t>Simpler rules, to reduce administrative burden.</w:t>
            </w:r>
            <w:r w:rsidRPr="2A1AD167">
              <w:rPr>
                <w:rFonts w:eastAsia="Times New Roman"/>
                <w:noProof/>
                <w:lang w:val="en-US"/>
              </w:rPr>
              <w:t xml:space="preserve"> </w:t>
            </w:r>
          </w:p>
        </w:tc>
      </w:tr>
      <w:tr w:rsidR="00782694" w:rsidRPr="00966D84" w14:paraId="54DAD297" w14:textId="77777777" w:rsidTr="00EC29EB">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EDA8E3" w14:textId="77777777" w:rsidR="00B379FE" w:rsidRPr="00F0281E" w:rsidRDefault="00B379FE" w:rsidP="00B379FE">
            <w:pPr>
              <w:spacing w:before="40" w:after="40"/>
              <w:rPr>
                <w:b/>
                <w:noProof/>
                <w:lang w:eastAsia="nl-BE"/>
              </w:rPr>
            </w:pPr>
            <w:r w:rsidRPr="00F0281E">
              <w:rPr>
                <w:b/>
                <w:noProof/>
                <w:lang w:eastAsia="nl-BE"/>
              </w:rPr>
              <w:t>Type of recipients</w:t>
            </w:r>
          </w:p>
          <w:p w14:paraId="4C8D1AA2" w14:textId="2BC40584" w:rsidR="00B379FE" w:rsidRPr="00B379FE" w:rsidRDefault="00593665" w:rsidP="00B379FE">
            <w:pPr>
              <w:spacing w:before="0" w:after="160"/>
              <w:rPr>
                <w:rFonts w:eastAsia="Times New Roman"/>
                <w:b/>
                <w:bCs/>
                <w:noProof/>
              </w:rPr>
            </w:pPr>
            <w:r w:rsidRPr="00DE6A34">
              <w:rPr>
                <w:rFonts w:eastAsia="Times New Roman"/>
                <w:noProof/>
                <w:lang w:val="en-IE"/>
              </w:rPr>
              <w:t>Private-for-profit entities, higher or secondary education establishments, research organisations, public bodies, and others.</w:t>
            </w:r>
          </w:p>
        </w:tc>
      </w:tr>
      <w:tr w:rsidR="00782694" w:rsidRPr="00966D84" w14:paraId="266135AD" w14:textId="77777777" w:rsidTr="00EC29EB">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8E2B9C" w14:textId="77777777" w:rsidR="00B379FE" w:rsidRPr="00975EC4" w:rsidRDefault="00B379FE" w:rsidP="00B379FE">
            <w:pPr>
              <w:spacing w:before="40" w:after="40"/>
              <w:rPr>
                <w:b/>
                <w:noProof/>
                <w:lang w:eastAsia="nl-BE"/>
              </w:rPr>
            </w:pPr>
            <w:r w:rsidRPr="00975EC4">
              <w:rPr>
                <w:b/>
                <w:noProof/>
                <w:lang w:eastAsia="nl-BE"/>
              </w:rPr>
              <w:t xml:space="preserve">Forms of EU support </w:t>
            </w:r>
          </w:p>
          <w:p w14:paraId="7360C9B6" w14:textId="1A1470C6" w:rsidR="00B379FE" w:rsidRPr="00B379FE" w:rsidRDefault="00B379FE" w:rsidP="00B379FE">
            <w:pPr>
              <w:spacing w:before="0" w:after="160"/>
              <w:rPr>
                <w:rFonts w:eastAsia="Times New Roman"/>
                <w:b/>
                <w:bCs/>
                <w:noProof/>
              </w:rPr>
            </w:pPr>
            <w:r w:rsidRPr="00975EC4">
              <w:rPr>
                <w:bCs/>
                <w:noProof/>
                <w:lang w:eastAsia="nl-BE"/>
              </w:rPr>
              <w:t>Grants, prizes, procurement and financial instruments.</w:t>
            </w:r>
          </w:p>
        </w:tc>
      </w:tr>
      <w:tr w:rsidR="00782694" w:rsidRPr="00966D84" w14:paraId="7E5BDFCB" w14:textId="77777777" w:rsidTr="00EC29EB">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FDD2C1" w14:textId="77777777" w:rsidR="00B379FE" w:rsidRPr="00975EC4" w:rsidRDefault="00B379FE" w:rsidP="00B379FE">
            <w:pPr>
              <w:spacing w:before="40" w:after="40"/>
              <w:rPr>
                <w:b/>
                <w:noProof/>
                <w:lang w:eastAsia="nl-BE"/>
              </w:rPr>
            </w:pPr>
            <w:r w:rsidRPr="00975EC4">
              <w:rPr>
                <w:b/>
                <w:noProof/>
                <w:lang w:eastAsia="nl-BE"/>
              </w:rPr>
              <w:t>Third countries associated to the programme</w:t>
            </w:r>
          </w:p>
          <w:p w14:paraId="0D8B28E8" w14:textId="77777777" w:rsidR="00B379FE" w:rsidRPr="00975EC4" w:rsidRDefault="00B379FE" w:rsidP="00B379FE">
            <w:pPr>
              <w:spacing w:before="40" w:after="40"/>
              <w:rPr>
                <w:noProof/>
                <w:lang w:eastAsia="nl-BE"/>
              </w:rPr>
            </w:pPr>
            <w:r w:rsidRPr="00975EC4">
              <w:rPr>
                <w:noProof/>
                <w:lang w:eastAsia="nl-BE"/>
              </w:rPr>
              <w:t xml:space="preserve">There are four categories of countries eligible for association with the programme: </w:t>
            </w:r>
          </w:p>
          <w:p w14:paraId="2EAD0A40" w14:textId="77777777" w:rsidR="00B379FE" w:rsidRPr="00975EC4" w:rsidRDefault="00B379FE" w:rsidP="00B379FE">
            <w:pPr>
              <w:pStyle w:val="ListParagraph"/>
              <w:numPr>
                <w:ilvl w:val="0"/>
                <w:numId w:val="107"/>
              </w:numPr>
              <w:spacing w:before="40" w:after="40"/>
              <w:jc w:val="left"/>
              <w:rPr>
                <w:noProof/>
                <w:lang w:eastAsia="nl-BE"/>
              </w:rPr>
            </w:pPr>
            <w:r w:rsidRPr="00975EC4">
              <w:rPr>
                <w:noProof/>
                <w:lang w:eastAsia="nl-BE"/>
              </w:rPr>
              <w:t>Members of the European Free Trade Association (EFTA) which are members of the European Economic Area (EEA)</w:t>
            </w:r>
          </w:p>
          <w:p w14:paraId="3F6EF50B" w14:textId="77777777" w:rsidR="00B379FE" w:rsidRPr="00975EC4" w:rsidRDefault="00B379FE" w:rsidP="00B379FE">
            <w:pPr>
              <w:pStyle w:val="ListParagraph"/>
              <w:numPr>
                <w:ilvl w:val="0"/>
                <w:numId w:val="107"/>
              </w:numPr>
              <w:spacing w:before="40" w:after="40"/>
              <w:jc w:val="left"/>
              <w:rPr>
                <w:noProof/>
                <w:lang w:eastAsia="nl-BE"/>
              </w:rPr>
            </w:pPr>
            <w:r w:rsidRPr="00975EC4">
              <w:rPr>
                <w:noProof/>
                <w:lang w:eastAsia="nl-BE"/>
              </w:rPr>
              <w:t>Acceding countries, candidate countries and potential candidates</w:t>
            </w:r>
          </w:p>
          <w:p w14:paraId="1EBB7EE4" w14:textId="77777777" w:rsidR="00B379FE" w:rsidRPr="00975EC4" w:rsidRDefault="00B379FE" w:rsidP="00B379FE">
            <w:pPr>
              <w:pStyle w:val="ListParagraph"/>
              <w:numPr>
                <w:ilvl w:val="0"/>
                <w:numId w:val="107"/>
              </w:numPr>
              <w:spacing w:before="40" w:after="40"/>
              <w:jc w:val="left"/>
              <w:rPr>
                <w:noProof/>
                <w:lang w:eastAsia="nl-BE"/>
              </w:rPr>
            </w:pPr>
            <w:r w:rsidRPr="00975EC4">
              <w:rPr>
                <w:noProof/>
                <w:lang w:eastAsia="nl-BE"/>
              </w:rPr>
              <w:t>European Neighbourhood Policy (ENP) countries</w:t>
            </w:r>
          </w:p>
          <w:p w14:paraId="76590782" w14:textId="77777777" w:rsidR="00B379FE" w:rsidRDefault="00B379FE" w:rsidP="00B379FE">
            <w:pPr>
              <w:spacing w:before="0" w:after="160"/>
              <w:rPr>
                <w:noProof/>
                <w:lang w:eastAsia="nl-BE"/>
              </w:rPr>
            </w:pPr>
            <w:r w:rsidRPr="00975EC4">
              <w:rPr>
                <w:noProof/>
                <w:lang w:eastAsia="nl-BE"/>
              </w:rPr>
              <w:t>Other third countries and territories that fulfil a set of criteria related to their economic, political and research and innovation systems</w:t>
            </w:r>
          </w:p>
          <w:p w14:paraId="0ADD5B5F" w14:textId="5081FCC3" w:rsidR="001A6B4F" w:rsidRPr="00B379FE" w:rsidRDefault="001A6B4F" w:rsidP="00B379FE">
            <w:pPr>
              <w:spacing w:before="0" w:after="160"/>
              <w:rPr>
                <w:rFonts w:eastAsia="Times New Roman"/>
                <w:b/>
                <w:bCs/>
                <w:noProof/>
              </w:rPr>
            </w:pPr>
            <w:r w:rsidRPr="00DE6A34">
              <w:rPr>
                <w:rFonts w:eastAsia="Times New Roman"/>
                <w:noProof/>
                <w:lang w:val="en-IE"/>
              </w:rPr>
              <w:t>The association of third countries also implies a substantial financial input. The combined annual financial contribution of the associated countries is close to EUR 3 billion.</w:t>
            </w:r>
          </w:p>
        </w:tc>
      </w:tr>
      <w:tr w:rsidR="00782694" w:rsidRPr="00966D84" w14:paraId="69843FEE" w14:textId="77777777" w:rsidTr="00EC29EB">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14D95D" w14:textId="77777777" w:rsidR="00B379FE" w:rsidRPr="00975EC4" w:rsidRDefault="00B379FE" w:rsidP="00B379FE">
            <w:pPr>
              <w:spacing w:before="40" w:after="40"/>
              <w:rPr>
                <w:b/>
                <w:noProof/>
                <w:lang w:eastAsia="nl-BE"/>
              </w:rPr>
            </w:pPr>
            <w:r w:rsidRPr="00975EC4">
              <w:rPr>
                <w:b/>
                <w:noProof/>
                <w:lang w:eastAsia="nl-BE"/>
              </w:rPr>
              <w:t xml:space="preserve">Application </w:t>
            </w:r>
          </w:p>
          <w:p w14:paraId="3EE3B301" w14:textId="77777777" w:rsidR="00B379FE" w:rsidRPr="00975EC4" w:rsidRDefault="00B379FE" w:rsidP="00B379FE">
            <w:pPr>
              <w:spacing w:before="40" w:after="40"/>
              <w:rPr>
                <w:bCs/>
                <w:noProof/>
                <w:lang w:eastAsia="nl-BE"/>
              </w:rPr>
            </w:pPr>
            <w:r w:rsidRPr="00975EC4">
              <w:rPr>
                <w:bCs/>
                <w:noProof/>
                <w:lang w:eastAsia="nl-BE"/>
              </w:rPr>
              <w:t>For most collaborative projects funded under Horizon Europe, the application process is the following:</w:t>
            </w:r>
          </w:p>
          <w:p w14:paraId="40570E9F" w14:textId="77777777" w:rsidR="00B379FE" w:rsidRPr="00975EC4" w:rsidRDefault="00B379FE" w:rsidP="00B379FE">
            <w:pPr>
              <w:pStyle w:val="ListParagraph"/>
              <w:numPr>
                <w:ilvl w:val="0"/>
                <w:numId w:val="107"/>
              </w:numPr>
              <w:spacing w:before="40" w:after="40"/>
              <w:jc w:val="left"/>
              <w:rPr>
                <w:noProof/>
                <w:lang w:eastAsia="nl-BE"/>
              </w:rPr>
            </w:pPr>
            <w:r w:rsidRPr="00975EC4">
              <w:rPr>
                <w:noProof/>
                <w:lang w:eastAsia="nl-BE"/>
              </w:rPr>
              <w:t xml:space="preserve">Horizon Europe work programmes announce the specific research and innovation areas that will be funded. </w:t>
            </w:r>
          </w:p>
          <w:p w14:paraId="66D8BAC2" w14:textId="77777777" w:rsidR="00B379FE" w:rsidRPr="00975EC4" w:rsidRDefault="00B379FE" w:rsidP="00B379FE">
            <w:pPr>
              <w:pStyle w:val="ListParagraph"/>
              <w:numPr>
                <w:ilvl w:val="0"/>
                <w:numId w:val="107"/>
              </w:numPr>
              <w:spacing w:before="40" w:after="40"/>
              <w:jc w:val="left"/>
              <w:rPr>
                <w:noProof/>
                <w:lang w:eastAsia="nl-BE"/>
              </w:rPr>
            </w:pPr>
            <w:r w:rsidRPr="00975EC4">
              <w:rPr>
                <w:noProof/>
                <w:lang w:eastAsia="nl-BE"/>
              </w:rPr>
              <w:t>The European Commission publishes calls for proposals based on the work programmes. The calls for proposals are grouped by subject areas – so-called “destinations”. The destinations are based on the EU’s policy priorities.</w:t>
            </w:r>
          </w:p>
          <w:p w14:paraId="23818BE1" w14:textId="77777777" w:rsidR="00B379FE" w:rsidRPr="00975EC4" w:rsidRDefault="00B379FE" w:rsidP="00B379FE">
            <w:pPr>
              <w:pStyle w:val="ListParagraph"/>
              <w:numPr>
                <w:ilvl w:val="0"/>
                <w:numId w:val="107"/>
              </w:numPr>
              <w:spacing w:before="40" w:after="40"/>
              <w:jc w:val="left"/>
              <w:rPr>
                <w:noProof/>
                <w:lang w:eastAsia="nl-BE"/>
              </w:rPr>
            </w:pPr>
            <w:r w:rsidRPr="00975EC4">
              <w:rPr>
                <w:noProof/>
                <w:lang w:eastAsia="nl-BE"/>
              </w:rPr>
              <w:t>All calls for proposals, the specific call topics, the deadlines and application forms can be found on the one-stop-shop Funding and Tenders Portal.</w:t>
            </w:r>
          </w:p>
          <w:p w14:paraId="4D20BF67" w14:textId="4AE30049" w:rsidR="00B379FE" w:rsidRPr="00975EC4" w:rsidRDefault="00B379FE" w:rsidP="00975EC4">
            <w:pPr>
              <w:pStyle w:val="ListParagraph"/>
              <w:numPr>
                <w:ilvl w:val="0"/>
                <w:numId w:val="107"/>
              </w:numPr>
              <w:spacing w:before="40" w:after="40"/>
              <w:jc w:val="left"/>
              <w:rPr>
                <w:rFonts w:eastAsia="Times New Roman"/>
                <w:b/>
                <w:bCs/>
                <w:noProof/>
              </w:rPr>
            </w:pPr>
            <w:r w:rsidRPr="00975EC4">
              <w:rPr>
                <w:noProof/>
                <w:lang w:eastAsia="nl-BE"/>
              </w:rPr>
              <w:t>.After the call for applications for funding has closed, the process moves to the evaluation phase.</w:t>
            </w:r>
          </w:p>
        </w:tc>
      </w:tr>
    </w:tbl>
    <w:p w14:paraId="13781FC8" w14:textId="4A9DB060" w:rsidR="0AA200F7" w:rsidRDefault="0AA200F7" w:rsidP="00603157">
      <w:pPr>
        <w:spacing w:before="0" w:after="240"/>
        <w:rPr>
          <w:rFonts w:eastAsia="Times New Roman"/>
          <w:noProof/>
          <w:lang w:val="en-US"/>
        </w:rPr>
      </w:pPr>
      <w:r w:rsidRPr="2A1AD167">
        <w:rPr>
          <w:rFonts w:eastAsia="Times New Roman"/>
          <w:noProof/>
          <w:lang w:val="en-US"/>
        </w:rPr>
        <w:t xml:space="preserve"> </w:t>
      </w:r>
    </w:p>
    <w:p w14:paraId="1D5BFD13" w14:textId="5084F027" w:rsidR="0AA200F7" w:rsidRDefault="0AA200F7" w:rsidP="00603157">
      <w:pPr>
        <w:spacing w:before="0" w:after="240"/>
        <w:rPr>
          <w:rFonts w:eastAsia="Times New Roman"/>
          <w:i/>
          <w:iCs/>
          <w:noProof/>
          <w:lang w:val="en-US"/>
        </w:rPr>
      </w:pPr>
      <w:r w:rsidRPr="2A1AD167">
        <w:rPr>
          <w:rFonts w:eastAsia="Times New Roman"/>
          <w:i/>
          <w:iCs/>
          <w:noProof/>
        </w:rPr>
        <w:t>Digital Europe Programme (DEP)</w:t>
      </w:r>
      <w:r w:rsidRPr="2A1AD167">
        <w:rPr>
          <w:rFonts w:eastAsia="Times New Roman"/>
          <w:i/>
          <w:iCs/>
          <w:noProof/>
          <w:lang w:val="en-US"/>
        </w:rPr>
        <w:t xml:space="preserve"> </w:t>
      </w:r>
    </w:p>
    <w:tbl>
      <w:tblPr>
        <w:tblW w:w="10065" w:type="dxa"/>
        <w:tblInd w:w="-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065"/>
      </w:tblGrid>
      <w:tr w:rsidR="00E82E80" w14:paraId="583B50D5"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536D29" w14:textId="0D1DC989" w:rsidR="2A1AD167" w:rsidRDefault="2A1AD167" w:rsidP="00603157">
            <w:pPr>
              <w:spacing w:before="0" w:after="160"/>
              <w:rPr>
                <w:rFonts w:eastAsia="Times New Roman"/>
                <w:noProof/>
                <w:lang w:val="en-US"/>
              </w:rPr>
            </w:pPr>
            <w:r w:rsidRPr="2A1AD167">
              <w:rPr>
                <w:rFonts w:eastAsia="Times New Roman"/>
                <w:b/>
                <w:bCs/>
                <w:noProof/>
              </w:rPr>
              <w:t>Regulation</w:t>
            </w:r>
            <w:r w:rsidRPr="2A1AD167">
              <w:rPr>
                <w:rFonts w:eastAsia="Times New Roman"/>
                <w:noProof/>
                <w:lang w:val="en-US"/>
              </w:rPr>
              <w:t xml:space="preserve"> </w:t>
            </w:r>
          </w:p>
          <w:p w14:paraId="5BB3AAAF" w14:textId="330D3AE7" w:rsidR="2A1AD167" w:rsidRDefault="2A1AD167" w:rsidP="008C51EB">
            <w:pPr>
              <w:pStyle w:val="ListParagraph"/>
              <w:numPr>
                <w:ilvl w:val="0"/>
                <w:numId w:val="11"/>
              </w:numPr>
              <w:spacing w:before="0" w:after="160"/>
              <w:rPr>
                <w:rFonts w:eastAsia="Times New Roman"/>
                <w:noProof/>
                <w:lang w:val="en-US"/>
              </w:rPr>
            </w:pPr>
            <w:r w:rsidRPr="2A1AD167">
              <w:rPr>
                <w:rFonts w:eastAsia="Times New Roman"/>
                <w:noProof/>
              </w:rPr>
              <w:t>Regulation (EU) 2021/694 of the European Parliament and of the Council of 29 April 2021 establishing the Digital Europe Programme and repealing Decision (EU) 2015/2240.</w:t>
            </w:r>
          </w:p>
          <w:p w14:paraId="05B53334" w14:textId="4DEAF624" w:rsidR="2A1AD167" w:rsidRDefault="2A1AD167" w:rsidP="008C51EB">
            <w:pPr>
              <w:pStyle w:val="ListParagraph"/>
              <w:numPr>
                <w:ilvl w:val="0"/>
                <w:numId w:val="10"/>
              </w:numPr>
              <w:spacing w:before="0" w:after="160"/>
              <w:rPr>
                <w:rFonts w:eastAsia="Times New Roman"/>
                <w:noProof/>
                <w:lang w:val="en-US"/>
              </w:rPr>
            </w:pPr>
            <w:r w:rsidRPr="2A1AD167">
              <w:rPr>
                <w:rFonts w:eastAsia="Times New Roman"/>
                <w:noProof/>
              </w:rPr>
              <w:t>Regulation (EU) 2023/1781 of the European Parliament and of the Council of 13 September 2023 establishing a framework of measures for strengthening Europe’s semiconductor ecosystem and amending Regulation (EU) 2021/694 (Chips Act)</w:t>
            </w:r>
            <w:r w:rsidRPr="2A1AD167">
              <w:rPr>
                <w:rFonts w:eastAsia="Times New Roman"/>
                <w:noProof/>
                <w:lang w:val="en-US"/>
              </w:rPr>
              <w:t xml:space="preserve"> </w:t>
            </w:r>
          </w:p>
          <w:p w14:paraId="5DE247CA" w14:textId="77777777" w:rsidR="2A1AD167" w:rsidRDefault="2A1AD167" w:rsidP="008C51EB">
            <w:pPr>
              <w:pStyle w:val="ListParagraph"/>
              <w:numPr>
                <w:ilvl w:val="0"/>
                <w:numId w:val="9"/>
              </w:numPr>
              <w:spacing w:before="0" w:after="160"/>
              <w:rPr>
                <w:rFonts w:eastAsia="Times New Roman"/>
                <w:noProof/>
                <w:lang w:val="en-US"/>
              </w:rPr>
            </w:pPr>
            <w:r w:rsidRPr="2A1AD167">
              <w:rPr>
                <w:rFonts w:eastAsia="Times New Roman"/>
                <w:noProof/>
              </w:rPr>
              <w:t>Regulation (EU) 2024/903 of the European Parliament and of the Council of 13 March 2024 laying down measures for a high level of public sector interoperability across the Union (Interoperable Europe Act)</w:t>
            </w:r>
            <w:r w:rsidRPr="2A1AD167">
              <w:rPr>
                <w:rFonts w:eastAsia="Times New Roman"/>
                <w:noProof/>
                <w:lang w:val="en-US"/>
              </w:rPr>
              <w:t xml:space="preserve"> </w:t>
            </w:r>
          </w:p>
          <w:p w14:paraId="750ADD0F" w14:textId="79BE98E4" w:rsidR="006D0E8D" w:rsidRPr="00B03DD3" w:rsidRDefault="006D0E8D" w:rsidP="00603157">
            <w:pPr>
              <w:spacing w:before="0" w:after="160"/>
              <w:rPr>
                <w:rFonts w:eastAsia="Times New Roman"/>
                <w:noProof/>
                <w:lang w:val="en-US"/>
              </w:rPr>
            </w:pPr>
            <w:r>
              <w:rPr>
                <w:rFonts w:eastAsia="Times New Roman"/>
                <w:noProof/>
                <w:lang w:val="en-US"/>
              </w:rPr>
              <w:t xml:space="preserve">Legal base: </w:t>
            </w:r>
            <w:r w:rsidR="0048127D">
              <w:rPr>
                <w:rFonts w:eastAsia="Times New Roman"/>
                <w:noProof/>
                <w:lang w:val="en-US"/>
              </w:rPr>
              <w:t>A</w:t>
            </w:r>
            <w:r>
              <w:rPr>
                <w:rFonts w:eastAsia="Times New Roman"/>
                <w:noProof/>
                <w:lang w:val="en-US"/>
              </w:rPr>
              <w:t>rticle 172 of the Treaty on the functioning of the European Union</w:t>
            </w:r>
          </w:p>
        </w:tc>
      </w:tr>
      <w:tr w:rsidR="00E82E80" w14:paraId="35E3D07B"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7EE9B6" w14:textId="2757BCDD" w:rsidR="2A1AD167" w:rsidRDefault="2A1AD167" w:rsidP="00603157">
            <w:pPr>
              <w:spacing w:before="0" w:after="160"/>
              <w:rPr>
                <w:rFonts w:eastAsia="Times New Roman"/>
                <w:noProof/>
                <w:lang w:val="en-US"/>
              </w:rPr>
            </w:pPr>
            <w:r w:rsidRPr="2A1AD167">
              <w:rPr>
                <w:rFonts w:eastAsia="Times New Roman"/>
                <w:b/>
                <w:bCs/>
                <w:noProof/>
              </w:rPr>
              <w:t>Period</w:t>
            </w:r>
          </w:p>
          <w:p w14:paraId="7C79A01E" w14:textId="7A7EAC4D" w:rsidR="2A1AD167" w:rsidRDefault="2A1AD167" w:rsidP="00603157">
            <w:pPr>
              <w:spacing w:before="0" w:after="160"/>
              <w:rPr>
                <w:rFonts w:eastAsia="Times New Roman"/>
                <w:noProof/>
                <w:lang w:val="en-US"/>
              </w:rPr>
            </w:pPr>
            <w:r w:rsidRPr="2A1AD167">
              <w:rPr>
                <w:rFonts w:eastAsia="Times New Roman"/>
                <w:noProof/>
              </w:rPr>
              <w:t>2021 – 2027</w:t>
            </w:r>
            <w:r w:rsidRPr="2A1AD167">
              <w:rPr>
                <w:rFonts w:eastAsia="Times New Roman"/>
                <w:noProof/>
                <w:lang w:val="en-US"/>
              </w:rPr>
              <w:t xml:space="preserve"> </w:t>
            </w:r>
          </w:p>
        </w:tc>
      </w:tr>
      <w:tr w:rsidR="00E82E80" w14:paraId="49DA7248"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8356FA" w14:textId="2FC10B91" w:rsidR="2A1AD167" w:rsidRDefault="2A1AD167" w:rsidP="00603157">
            <w:pPr>
              <w:spacing w:before="0" w:after="160"/>
              <w:rPr>
                <w:rFonts w:eastAsia="Times New Roman"/>
                <w:noProof/>
                <w:lang w:val="en-US"/>
              </w:rPr>
            </w:pPr>
            <w:r w:rsidRPr="2A1AD167">
              <w:rPr>
                <w:rFonts w:eastAsia="Times New Roman"/>
                <w:b/>
                <w:bCs/>
                <w:noProof/>
              </w:rPr>
              <w:t>Impact assessment</w:t>
            </w:r>
            <w:r w:rsidRPr="2A1AD167">
              <w:rPr>
                <w:rFonts w:eastAsia="Times New Roman"/>
                <w:noProof/>
                <w:lang w:val="en-US"/>
              </w:rPr>
              <w:t xml:space="preserve"> </w:t>
            </w:r>
          </w:p>
          <w:p w14:paraId="031F1B88" w14:textId="4777665E" w:rsidR="2A1AD167" w:rsidRDefault="2A1AD167" w:rsidP="00603157">
            <w:pPr>
              <w:spacing w:before="0" w:after="160"/>
              <w:rPr>
                <w:rFonts w:eastAsia="Times New Roman"/>
                <w:noProof/>
                <w:lang w:val="en-US"/>
              </w:rPr>
            </w:pPr>
            <w:r w:rsidRPr="2A1AD167">
              <w:rPr>
                <w:rFonts w:eastAsia="Times New Roman"/>
                <w:noProof/>
              </w:rPr>
              <w:t xml:space="preserve">Carried out in 2018: </w:t>
            </w:r>
            <w:hyperlink r:id="rId42" w:history="1">
              <w:r w:rsidRPr="2A1AD167">
                <w:rPr>
                  <w:rStyle w:val="Hyperlink"/>
                  <w:rFonts w:eastAsia="Times New Roman"/>
                  <w:noProof/>
                  <w:color w:val="0000FF"/>
                </w:rPr>
                <w:t>link</w:t>
              </w:r>
            </w:hyperlink>
            <w:r w:rsidRPr="2A1AD167">
              <w:rPr>
                <w:rFonts w:eastAsia="Times New Roman"/>
                <w:noProof/>
                <w:lang w:val="en-US"/>
              </w:rPr>
              <w:t xml:space="preserve"> </w:t>
            </w:r>
          </w:p>
        </w:tc>
      </w:tr>
      <w:tr w:rsidR="00E82E80" w14:paraId="25272DB2"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615AEC" w14:textId="4A1D3275" w:rsidR="2A1AD167" w:rsidRDefault="2A1AD167" w:rsidP="00603157">
            <w:pPr>
              <w:spacing w:before="0" w:after="160"/>
              <w:rPr>
                <w:rFonts w:eastAsia="Times New Roman"/>
                <w:noProof/>
                <w:lang w:val="en-US"/>
              </w:rPr>
            </w:pPr>
            <w:r w:rsidRPr="2A1AD167">
              <w:rPr>
                <w:rFonts w:eastAsia="Times New Roman"/>
                <w:b/>
                <w:bCs/>
                <w:noProof/>
              </w:rPr>
              <w:t>Mid-term evaluation</w:t>
            </w:r>
            <w:r w:rsidRPr="2A1AD167">
              <w:rPr>
                <w:rFonts w:eastAsia="Times New Roman"/>
                <w:noProof/>
                <w:lang w:val="en-US"/>
              </w:rPr>
              <w:t xml:space="preserve"> </w:t>
            </w:r>
          </w:p>
          <w:p w14:paraId="4ED9B46C" w14:textId="5684DACD" w:rsidR="2A1AD167" w:rsidRDefault="2A1AD167" w:rsidP="00603157">
            <w:pPr>
              <w:spacing w:before="0" w:after="160"/>
              <w:rPr>
                <w:rFonts w:eastAsia="Times New Roman"/>
                <w:noProof/>
                <w:lang w:val="en-US"/>
              </w:rPr>
            </w:pPr>
            <w:r w:rsidRPr="2A1AD167">
              <w:rPr>
                <w:rFonts w:eastAsia="Times New Roman"/>
                <w:noProof/>
              </w:rPr>
              <w:t>Not publicly available (planned for fourth quarter 2025)</w:t>
            </w:r>
            <w:r w:rsidRPr="2A1AD167">
              <w:rPr>
                <w:rFonts w:eastAsia="Times New Roman"/>
                <w:noProof/>
                <w:lang w:val="en-US"/>
              </w:rPr>
              <w:t xml:space="preserve"> </w:t>
            </w:r>
          </w:p>
        </w:tc>
      </w:tr>
      <w:tr w:rsidR="00E82E80" w14:paraId="0DF77AC2"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E582A6" w14:textId="7C0E97AE" w:rsidR="2A1AD167" w:rsidRDefault="2A1AD167" w:rsidP="00603157">
            <w:pPr>
              <w:spacing w:before="0" w:after="160"/>
              <w:rPr>
                <w:rFonts w:eastAsia="Times New Roman"/>
                <w:noProof/>
                <w:lang w:val="en-US"/>
              </w:rPr>
            </w:pPr>
            <w:r w:rsidRPr="2A1AD167">
              <w:rPr>
                <w:rFonts w:eastAsia="Times New Roman"/>
                <w:b/>
                <w:bCs/>
                <w:noProof/>
              </w:rPr>
              <w:t>Budget</w:t>
            </w:r>
            <w:r w:rsidRPr="2A1AD167">
              <w:rPr>
                <w:rFonts w:eastAsia="Times New Roman"/>
                <w:noProof/>
                <w:lang w:val="en-US"/>
              </w:rPr>
              <w:t xml:space="preserve"> </w:t>
            </w:r>
          </w:p>
          <w:p w14:paraId="0609E878" w14:textId="500AC036" w:rsidR="2A1AD167" w:rsidRDefault="2A5B6674" w:rsidP="00603157">
            <w:pPr>
              <w:spacing w:before="0" w:after="160"/>
              <w:rPr>
                <w:rFonts w:eastAsia="Times New Roman"/>
                <w:noProof/>
                <w:lang w:val="en-US"/>
              </w:rPr>
            </w:pPr>
            <w:r w:rsidRPr="6CD386C1">
              <w:rPr>
                <w:rFonts w:eastAsia="Times New Roman"/>
                <w:noProof/>
              </w:rPr>
              <w:t xml:space="preserve">The Digital Europe programme’s original budget was EUR 7.588 bln covering five specific objectives over the 2021-2027 period. For the implementation of the new specific objective 6 (semiconductors), EUR 800 mln were transferred to Digital Europe programme. On the other hand, EUR 270 mln were transferred from the Digital Europe programme to the Secure Connectivity Programme. Further changes </w:t>
            </w:r>
            <w:r w:rsidR="0C7DD998" w:rsidRPr="6CD386C1">
              <w:rPr>
                <w:rFonts w:eastAsia="Times New Roman"/>
                <w:noProof/>
              </w:rPr>
              <w:t xml:space="preserve">through the Chips Act </w:t>
            </w:r>
            <w:r w:rsidRPr="6CD386C1">
              <w:rPr>
                <w:rFonts w:eastAsia="Times New Roman"/>
                <w:noProof/>
              </w:rPr>
              <w:t>brought the programme’s total budget to EUR 8.1</w:t>
            </w:r>
            <w:r w:rsidR="2E0A7B1B" w:rsidRPr="6CD386C1">
              <w:rPr>
                <w:rFonts w:eastAsia="Times New Roman"/>
                <w:noProof/>
              </w:rPr>
              <w:t>68</w:t>
            </w:r>
            <w:r w:rsidRPr="6CD386C1">
              <w:rPr>
                <w:rFonts w:eastAsia="Times New Roman"/>
                <w:noProof/>
              </w:rPr>
              <w:t xml:space="preserve"> bln</w:t>
            </w:r>
            <w:r w:rsidR="64D2B4B3" w:rsidRPr="6CD386C1">
              <w:rPr>
                <w:rFonts w:eastAsia="Times New Roman"/>
                <w:noProof/>
              </w:rPr>
              <w:t>.</w:t>
            </w:r>
          </w:p>
        </w:tc>
      </w:tr>
      <w:tr w:rsidR="00E82E80" w14:paraId="071DE860"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C9F64F" w14:textId="408D60A0" w:rsidR="2A1AD167" w:rsidRDefault="2A1AD167" w:rsidP="00603157">
            <w:pPr>
              <w:spacing w:before="0" w:after="160"/>
              <w:rPr>
                <w:rFonts w:eastAsia="Times New Roman"/>
                <w:noProof/>
                <w:lang w:val="en-US"/>
              </w:rPr>
            </w:pPr>
            <w:r w:rsidRPr="2A1AD167">
              <w:rPr>
                <w:rFonts w:eastAsia="Times New Roman"/>
                <w:b/>
                <w:bCs/>
                <w:noProof/>
              </w:rPr>
              <w:t>Focus</w:t>
            </w:r>
            <w:r w:rsidRPr="2A1AD167">
              <w:rPr>
                <w:rFonts w:eastAsia="Times New Roman"/>
                <w:noProof/>
                <w:lang w:val="en-US"/>
              </w:rPr>
              <w:t xml:space="preserve"> </w:t>
            </w:r>
          </w:p>
          <w:p w14:paraId="41CA95FE" w14:textId="7FF769DD" w:rsidR="2A1AD167" w:rsidRDefault="5C10216E" w:rsidP="00603157">
            <w:pPr>
              <w:spacing w:before="0" w:after="160"/>
              <w:rPr>
                <w:rFonts w:eastAsia="Times New Roman"/>
                <w:noProof/>
                <w:lang w:val="en-US"/>
              </w:rPr>
            </w:pPr>
            <w:r w:rsidRPr="238D8D6C">
              <w:rPr>
                <w:rFonts w:eastAsia="Times New Roman"/>
                <w:noProof/>
              </w:rPr>
              <w:t xml:space="preserve">The Digital Europe programme (DEP) aims to </w:t>
            </w:r>
            <w:r w:rsidR="64DF8891" w:rsidRPr="238D8D6C">
              <w:rPr>
                <w:rFonts w:eastAsia="Times New Roman"/>
                <w:noProof/>
              </w:rPr>
              <w:t xml:space="preserve">deploy pan-European digital infrastructures and capacities, and </w:t>
            </w:r>
            <w:r w:rsidRPr="238D8D6C">
              <w:rPr>
                <w:rFonts w:eastAsia="Times New Roman"/>
                <w:noProof/>
              </w:rPr>
              <w:t>bring digital technology to businesses, citizens and public administrations. It provides strategic funding to face challenges in the area of digital technology and infrastructure, supporting projects in six key capacity areas: supercomputing, artificial intelligence, cybersecurity, advanced digital skills</w:t>
            </w:r>
            <w:r w:rsidR="64DF8891" w:rsidRPr="238D8D6C">
              <w:rPr>
                <w:rFonts w:eastAsia="Times New Roman"/>
                <w:noProof/>
              </w:rPr>
              <w:t>, interoperability,</w:t>
            </w:r>
            <w:r w:rsidRPr="238D8D6C">
              <w:rPr>
                <w:rFonts w:eastAsia="Times New Roman"/>
                <w:noProof/>
              </w:rPr>
              <w:t xml:space="preserve"> and the wide use of digital technologies across the economy and society, including through digital innovation hubs</w:t>
            </w:r>
            <w:r w:rsidR="0268EEED" w:rsidRPr="238D8D6C">
              <w:rPr>
                <w:rFonts w:eastAsia="Times New Roman"/>
                <w:noProof/>
              </w:rPr>
              <w:t>, and semiconductors</w:t>
            </w:r>
            <w:r w:rsidRPr="238D8D6C">
              <w:rPr>
                <w:rFonts w:eastAsia="Times New Roman"/>
                <w:noProof/>
              </w:rPr>
              <w:t xml:space="preserve">. </w:t>
            </w:r>
            <w:r w:rsidR="22C42E81" w:rsidRPr="238D8D6C">
              <w:rPr>
                <w:rFonts w:eastAsia="Times New Roman"/>
                <w:noProof/>
              </w:rPr>
              <w:t>The</w:t>
            </w:r>
            <w:r w:rsidRPr="238D8D6C">
              <w:rPr>
                <w:rFonts w:eastAsia="Times New Roman"/>
                <w:noProof/>
              </w:rPr>
              <w:t xml:space="preserve"> specific objective </w:t>
            </w:r>
            <w:r w:rsidR="7C586D75" w:rsidRPr="238D8D6C">
              <w:rPr>
                <w:rFonts w:eastAsia="Times New Roman"/>
                <w:noProof/>
              </w:rPr>
              <w:t xml:space="preserve">on semiconductors </w:t>
            </w:r>
            <w:r w:rsidRPr="238D8D6C">
              <w:rPr>
                <w:rFonts w:eastAsia="Times New Roman"/>
                <w:noProof/>
              </w:rPr>
              <w:t>was integrated into the Digital Europe Programme with the adoption of the Chips Act Regulation, which promotes Europe’s leadership in semiconductor technologies and applications.</w:t>
            </w:r>
            <w:r w:rsidRPr="238D8D6C">
              <w:rPr>
                <w:rFonts w:eastAsia="Times New Roman"/>
                <w:noProof/>
                <w:lang w:val="en-US"/>
              </w:rPr>
              <w:t xml:space="preserve"> </w:t>
            </w:r>
          </w:p>
        </w:tc>
      </w:tr>
      <w:tr w:rsidR="00E82E80" w14:paraId="5E72C8A9"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4EACB1" w14:textId="15B06FB2" w:rsidR="2A1AD167" w:rsidRDefault="2A1AD167" w:rsidP="00603157">
            <w:pPr>
              <w:spacing w:before="0" w:after="160"/>
              <w:rPr>
                <w:rFonts w:eastAsia="Times New Roman"/>
                <w:noProof/>
                <w:lang w:val="en-US"/>
              </w:rPr>
            </w:pPr>
            <w:r w:rsidRPr="2A1AD167">
              <w:rPr>
                <w:rFonts w:eastAsia="Times New Roman"/>
                <w:b/>
                <w:bCs/>
                <w:noProof/>
              </w:rPr>
              <w:t>Delivery mode</w:t>
            </w:r>
            <w:r w:rsidRPr="2A1AD167">
              <w:rPr>
                <w:rFonts w:eastAsia="Times New Roman"/>
                <w:noProof/>
                <w:lang w:val="en-US"/>
              </w:rPr>
              <w:t xml:space="preserve"> </w:t>
            </w:r>
          </w:p>
          <w:p w14:paraId="040804F6" w14:textId="603BFB0B" w:rsidR="2A1AD167" w:rsidRDefault="5C10216E" w:rsidP="00603157">
            <w:pPr>
              <w:spacing w:before="0" w:after="160"/>
              <w:rPr>
                <w:rFonts w:eastAsia="Times New Roman"/>
                <w:noProof/>
              </w:rPr>
            </w:pPr>
            <w:r w:rsidRPr="238D8D6C">
              <w:rPr>
                <w:rFonts w:eastAsia="Times New Roman"/>
                <w:noProof/>
              </w:rPr>
              <w:t xml:space="preserve">Three specific objectives (artificial intelligence, advanced digital skills, deployment and best use of digital capacities and interoperability) are managed directly by the Commission, with support in some areas from the Executive Agency for Health and Digital (HaDEA). The other three specific objectives (high-performance computing, cybersecurity and trust, semiconductors) are implemented respectively through the EuroHPC joint undertaking, the European Cybersecurity Industrial, Technology and Research Competence Centre, and the Chips Joint Undertaking. </w:t>
            </w:r>
            <w:r w:rsidR="561C3DBB" w:rsidRPr="00846210">
              <w:rPr>
                <w:rFonts w:eastAsia="Times New Roman"/>
                <w:noProof/>
              </w:rPr>
              <w:t xml:space="preserve">Some activities are implemented via Contribution Agreements </w:t>
            </w:r>
            <w:r w:rsidR="561C3DBB" w:rsidRPr="00846210">
              <w:rPr>
                <w:rFonts w:eastAsia="Times New Roman"/>
                <w:noProof/>
                <w:lang w:val="en-CA"/>
              </w:rPr>
              <w:t>with the European Space Agency (ESA), the European Centre for Medium-Range Weather Forecasts (ECMWF) and the European Operational Satellite Agency for Monitoring Weather, Climate and the Environment from Space (EUMETSAT) for Destination Earth, with the European Union Agency for Cybersecurity (ENISA) for cybersecurity and the European Union Agency for the Operational Management of Large-Scale IT Systems in the Area of Freedom, Security and Justice (eu-LISA) for the digitalisation of justice. The financial instruments, the Investment Platform for Strategic Digital Technologies and the Chips Fund, are implemented through indirect management with the European Investment Fund under InvestEU.</w:t>
            </w:r>
            <w:r w:rsidR="561C3DBB" w:rsidRPr="00844C92">
              <w:rPr>
                <w:rFonts w:eastAsia="Times New Roman"/>
                <w:noProof/>
              </w:rPr>
              <w:t xml:space="preserve"> </w:t>
            </w:r>
          </w:p>
          <w:p w14:paraId="6504F582" w14:textId="010CD5D3" w:rsidR="2A1AD167" w:rsidRDefault="5C10216E" w:rsidP="00603157">
            <w:pPr>
              <w:spacing w:before="0" w:after="160"/>
              <w:rPr>
                <w:rFonts w:eastAsia="Times New Roman"/>
                <w:noProof/>
                <w:lang w:val="en-US"/>
              </w:rPr>
            </w:pPr>
            <w:r w:rsidRPr="238D8D6C">
              <w:rPr>
                <w:rFonts w:eastAsia="Times New Roman"/>
                <w:noProof/>
              </w:rPr>
              <w:t>The lead DG is DG Communications Networks, Content and Technology (DG CNECT), with other DGs also involved (DG DIGIT, DG FISMA, DG JUST, DG GROW).</w:t>
            </w:r>
            <w:r w:rsidRPr="238D8D6C">
              <w:rPr>
                <w:rFonts w:eastAsia="Times New Roman"/>
                <w:noProof/>
                <w:lang w:val="en-US"/>
              </w:rPr>
              <w:t xml:space="preserve"> </w:t>
            </w:r>
          </w:p>
        </w:tc>
      </w:tr>
      <w:tr w:rsidR="00E82E80" w14:paraId="2CE414EB"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7C41CA" w14:textId="15D0004A" w:rsidR="2A1AD167" w:rsidRDefault="2A1AD167" w:rsidP="00603157">
            <w:pPr>
              <w:spacing w:before="0" w:after="160"/>
              <w:rPr>
                <w:rFonts w:eastAsia="Times New Roman"/>
                <w:noProof/>
                <w:lang w:val="en-US"/>
              </w:rPr>
            </w:pPr>
            <w:r w:rsidRPr="2A1AD167">
              <w:rPr>
                <w:rFonts w:eastAsia="Times New Roman"/>
                <w:b/>
                <w:bCs/>
                <w:noProof/>
              </w:rPr>
              <w:t>Predecessor</w:t>
            </w:r>
            <w:r w:rsidRPr="2A1AD167">
              <w:rPr>
                <w:rFonts w:eastAsia="Times New Roman"/>
                <w:noProof/>
                <w:lang w:val="en-US"/>
              </w:rPr>
              <w:t xml:space="preserve"> </w:t>
            </w:r>
          </w:p>
          <w:p w14:paraId="3AEDF9D5" w14:textId="58675FB2" w:rsidR="2A1AD167" w:rsidRDefault="2A1AD167" w:rsidP="00603157">
            <w:pPr>
              <w:spacing w:before="0" w:after="160"/>
              <w:rPr>
                <w:rFonts w:eastAsia="Times New Roman"/>
                <w:noProof/>
                <w:lang w:val="en-US"/>
              </w:rPr>
            </w:pPr>
            <w:r w:rsidRPr="2A1AD167">
              <w:rPr>
                <w:rFonts w:eastAsia="Times New Roman"/>
                <w:noProof/>
              </w:rPr>
              <w:t>None</w:t>
            </w:r>
            <w:r w:rsidRPr="2A1AD167">
              <w:rPr>
                <w:rFonts w:eastAsia="Times New Roman"/>
                <w:noProof/>
                <w:lang w:val="en-US"/>
              </w:rPr>
              <w:t xml:space="preserve"> </w:t>
            </w:r>
          </w:p>
        </w:tc>
      </w:tr>
      <w:tr w:rsidR="00C04E9D" w14:paraId="0FBCAA2A" w14:textId="77777777" w:rsidTr="00CC2B94">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0F9E56" w14:textId="77777777" w:rsidR="00C04E9D" w:rsidRPr="00975EC4" w:rsidRDefault="00C04E9D" w:rsidP="00C04E9D">
            <w:pPr>
              <w:spacing w:before="40" w:after="40"/>
              <w:rPr>
                <w:b/>
                <w:noProof/>
                <w:lang w:eastAsia="nl-BE"/>
              </w:rPr>
            </w:pPr>
            <w:r w:rsidRPr="00975EC4">
              <w:rPr>
                <w:b/>
                <w:noProof/>
                <w:lang w:eastAsia="nl-BE"/>
              </w:rPr>
              <w:t>Type of recipients</w:t>
            </w:r>
          </w:p>
          <w:p w14:paraId="563A257A" w14:textId="7CFFF177" w:rsidR="00C04E9D" w:rsidRPr="00C04E9D" w:rsidRDefault="00C04E9D" w:rsidP="00C04E9D">
            <w:pPr>
              <w:spacing w:before="0" w:after="160"/>
              <w:rPr>
                <w:rFonts w:eastAsia="Times New Roman"/>
                <w:b/>
                <w:bCs/>
                <w:noProof/>
              </w:rPr>
            </w:pPr>
            <w:r w:rsidRPr="00975EC4">
              <w:rPr>
                <w:bCs/>
                <w:noProof/>
                <w:lang w:eastAsia="nl-BE"/>
              </w:rPr>
              <w:t>Public and private organisations, industry and small and medium-sized enterprises, scientists and academics, universities, etc.</w:t>
            </w:r>
          </w:p>
        </w:tc>
      </w:tr>
      <w:tr w:rsidR="00C04E9D" w14:paraId="232351A7" w14:textId="77777777" w:rsidTr="00CC2B94">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D8D5DD" w14:textId="77777777" w:rsidR="00C04E9D" w:rsidRPr="00975EC4" w:rsidRDefault="00C04E9D" w:rsidP="00C04E9D">
            <w:pPr>
              <w:spacing w:before="40" w:after="40"/>
              <w:rPr>
                <w:b/>
                <w:noProof/>
                <w:lang w:eastAsia="nl-BE"/>
              </w:rPr>
            </w:pPr>
            <w:r w:rsidRPr="00975EC4">
              <w:rPr>
                <w:b/>
                <w:noProof/>
                <w:lang w:eastAsia="nl-BE"/>
              </w:rPr>
              <w:t xml:space="preserve">Forms of EU support </w:t>
            </w:r>
          </w:p>
          <w:p w14:paraId="40915980" w14:textId="609A3D02" w:rsidR="00C04E9D" w:rsidRPr="00C04E9D" w:rsidRDefault="00C04E9D" w:rsidP="00C04E9D">
            <w:pPr>
              <w:spacing w:before="0" w:after="160"/>
              <w:rPr>
                <w:rFonts w:eastAsia="Times New Roman"/>
                <w:b/>
                <w:bCs/>
                <w:noProof/>
              </w:rPr>
            </w:pPr>
            <w:r w:rsidRPr="00975EC4">
              <w:rPr>
                <w:bCs/>
                <w:noProof/>
                <w:lang w:eastAsia="nl-BE"/>
              </w:rPr>
              <w:t>Grants and procurements.</w:t>
            </w:r>
          </w:p>
        </w:tc>
      </w:tr>
      <w:tr w:rsidR="00C04E9D" w14:paraId="029D0E49" w14:textId="77777777" w:rsidTr="00CC2B94">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03874" w14:textId="77777777" w:rsidR="00C04E9D" w:rsidRPr="00975EC4" w:rsidRDefault="00C04E9D" w:rsidP="00C04E9D">
            <w:pPr>
              <w:spacing w:before="40" w:after="40"/>
              <w:rPr>
                <w:b/>
                <w:noProof/>
                <w:lang w:eastAsia="nl-BE"/>
              </w:rPr>
            </w:pPr>
            <w:r w:rsidRPr="00975EC4">
              <w:rPr>
                <w:b/>
                <w:noProof/>
                <w:lang w:eastAsia="nl-BE"/>
              </w:rPr>
              <w:t>Third countries associated to the programme</w:t>
            </w:r>
          </w:p>
          <w:p w14:paraId="27ABBDCC" w14:textId="33F86AB0" w:rsidR="00C04E9D" w:rsidRPr="00C04E9D" w:rsidRDefault="00C04E9D" w:rsidP="00C04E9D">
            <w:pPr>
              <w:pStyle w:val="ListParagraph"/>
              <w:numPr>
                <w:ilvl w:val="0"/>
                <w:numId w:val="107"/>
              </w:numPr>
              <w:spacing w:before="40" w:after="40"/>
              <w:jc w:val="left"/>
              <w:rPr>
                <w:rFonts w:eastAsia="Times New Roman"/>
                <w:b/>
                <w:bCs/>
                <w:noProof/>
              </w:rPr>
            </w:pPr>
            <w:r w:rsidRPr="00975EC4">
              <w:rPr>
                <w:bCs/>
                <w:noProof/>
                <w:lang w:eastAsia="nl-BE"/>
              </w:rPr>
              <w:t>Iceland, Liechtenstein, and Norway are fully associated as members of the European Free Trade Association (EFTA) and the European Economic Area (EEA). Additionally, Ukraine, Montenegro, North Macedonia, Serbia, Albania, Kosovo, Turkey, Moldova, and Bosnia and Herzegovina are associated countries. Switzerland can also participate under transitional arrangements as of January 1, 2025, but with specific limitations.</w:t>
            </w:r>
          </w:p>
        </w:tc>
      </w:tr>
      <w:tr w:rsidR="00C04E9D" w14:paraId="136B3070" w14:textId="77777777" w:rsidTr="00CC2B94">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75788A" w14:textId="77777777" w:rsidR="00C04E9D" w:rsidRPr="00975EC4" w:rsidRDefault="00C04E9D" w:rsidP="00C04E9D">
            <w:pPr>
              <w:spacing w:before="40" w:after="40"/>
              <w:rPr>
                <w:b/>
                <w:noProof/>
                <w:lang w:eastAsia="nl-BE"/>
              </w:rPr>
            </w:pPr>
            <w:r w:rsidRPr="00975EC4">
              <w:rPr>
                <w:b/>
                <w:noProof/>
                <w:lang w:eastAsia="nl-BE"/>
              </w:rPr>
              <w:t>Application</w:t>
            </w:r>
          </w:p>
          <w:p w14:paraId="2C535185" w14:textId="019E0DC5" w:rsidR="00C04E9D" w:rsidRPr="00C04E9D" w:rsidRDefault="00C04E9D" w:rsidP="00C04E9D">
            <w:pPr>
              <w:pStyle w:val="ListParagraph"/>
              <w:numPr>
                <w:ilvl w:val="0"/>
                <w:numId w:val="107"/>
              </w:numPr>
              <w:spacing w:before="40" w:after="40"/>
              <w:jc w:val="left"/>
              <w:rPr>
                <w:rFonts w:eastAsia="Times New Roman"/>
                <w:b/>
                <w:bCs/>
                <w:noProof/>
              </w:rPr>
            </w:pPr>
            <w:r w:rsidRPr="00975EC4">
              <w:rPr>
                <w:bCs/>
                <w:noProof/>
                <w:lang w:eastAsia="nl-BE"/>
              </w:rPr>
              <w:t>Calls for proposals are published on the Funding &amp; Tenders Portal, based on the annual work programme set by the European Commission. Applicants must submit their proposals electronically via the portal, following the specific guidelines and templates provided for each call.</w:t>
            </w:r>
          </w:p>
        </w:tc>
      </w:tr>
    </w:tbl>
    <w:p w14:paraId="0391DCF2" w14:textId="3EB59904" w:rsidR="006D0E8D" w:rsidRPr="00787960" w:rsidRDefault="006D0E8D" w:rsidP="00603157">
      <w:pPr>
        <w:spacing w:before="0" w:after="240"/>
        <w:rPr>
          <w:rFonts w:eastAsia="Times New Roman"/>
          <w:i/>
          <w:iCs/>
          <w:noProof/>
          <w:lang w:val="en-US"/>
        </w:rPr>
      </w:pPr>
    </w:p>
    <w:p w14:paraId="355982F2" w14:textId="09B1C2FB" w:rsidR="0AA200F7" w:rsidRDefault="0AA200F7" w:rsidP="00603157">
      <w:pPr>
        <w:spacing w:before="0" w:after="240"/>
        <w:rPr>
          <w:rFonts w:eastAsia="Times New Roman"/>
          <w:i/>
          <w:iCs/>
          <w:noProof/>
          <w:lang w:val="en-US"/>
        </w:rPr>
      </w:pPr>
      <w:r w:rsidRPr="2A1AD167">
        <w:rPr>
          <w:rFonts w:eastAsia="Times New Roman"/>
          <w:i/>
          <w:iCs/>
          <w:noProof/>
        </w:rPr>
        <w:t>Innovation Fund</w:t>
      </w:r>
      <w:r w:rsidRPr="2A1AD167">
        <w:rPr>
          <w:rFonts w:eastAsia="Times New Roman"/>
          <w:i/>
          <w:iCs/>
          <w:noProof/>
          <w:lang w:val="en-US"/>
        </w:rPr>
        <w:t xml:space="preserve"> </w:t>
      </w:r>
    </w:p>
    <w:tbl>
      <w:tblPr>
        <w:tblW w:w="10065" w:type="dxa"/>
        <w:tblInd w:w="-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065"/>
      </w:tblGrid>
      <w:tr w:rsidR="00E82E80" w14:paraId="6E904273"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B61BC5" w14:textId="5F5E0AF3" w:rsidR="2A1AD167" w:rsidRDefault="2A1AD167" w:rsidP="00603157">
            <w:pPr>
              <w:spacing w:before="0" w:after="160"/>
              <w:rPr>
                <w:rFonts w:eastAsia="Times New Roman"/>
                <w:noProof/>
                <w:lang w:val="en-US"/>
              </w:rPr>
            </w:pPr>
            <w:r w:rsidRPr="2A1AD167">
              <w:rPr>
                <w:rFonts w:eastAsia="Times New Roman"/>
                <w:b/>
                <w:bCs/>
                <w:noProof/>
              </w:rPr>
              <w:t>Regulation</w:t>
            </w:r>
            <w:r w:rsidRPr="2A1AD167">
              <w:rPr>
                <w:rFonts w:eastAsia="Times New Roman"/>
                <w:noProof/>
                <w:lang w:val="en-US"/>
              </w:rPr>
              <w:t xml:space="preserve"> </w:t>
            </w:r>
          </w:p>
          <w:p w14:paraId="652F6866" w14:textId="77777777" w:rsidR="2A1AD167" w:rsidRDefault="2A1AD167" w:rsidP="00603157">
            <w:pPr>
              <w:spacing w:before="0" w:after="160"/>
              <w:rPr>
                <w:rFonts w:eastAsia="Times New Roman"/>
                <w:noProof/>
                <w:lang w:val="en-US"/>
              </w:rPr>
            </w:pPr>
            <w:r w:rsidRPr="2A1AD167">
              <w:rPr>
                <w:rFonts w:eastAsia="Times New Roman"/>
                <w:noProof/>
              </w:rPr>
              <w:t>Commission Delegated Regulation (EU) 2019/856</w:t>
            </w:r>
            <w:r w:rsidRPr="2A1AD167">
              <w:rPr>
                <w:rFonts w:eastAsia="Times New Roman"/>
                <w:noProof/>
                <w:lang w:val="en-US"/>
              </w:rPr>
              <w:t xml:space="preserve"> </w:t>
            </w:r>
          </w:p>
          <w:p w14:paraId="54D9A720" w14:textId="7073DBCB" w:rsidR="006D0E8D" w:rsidRDefault="006D0E8D" w:rsidP="00603157">
            <w:pPr>
              <w:spacing w:before="0" w:after="160"/>
              <w:rPr>
                <w:rFonts w:eastAsia="Times New Roman"/>
                <w:noProof/>
                <w:lang w:val="en-US"/>
              </w:rPr>
            </w:pPr>
            <w:r>
              <w:rPr>
                <w:rFonts w:eastAsia="Times New Roman"/>
                <w:noProof/>
                <w:lang w:val="en-US"/>
              </w:rPr>
              <w:t xml:space="preserve">Legal base: </w:t>
            </w:r>
            <w:r w:rsidR="00D1707C" w:rsidRPr="00D1707C">
              <w:rPr>
                <w:rFonts w:eastAsia="Times New Roman"/>
                <w:noProof/>
                <w:lang w:val="en-US"/>
              </w:rPr>
              <w:t>Article 10a(8) of Directive 2003/87/EC</w:t>
            </w:r>
          </w:p>
        </w:tc>
      </w:tr>
      <w:tr w:rsidR="00E82E80" w14:paraId="3B9737A5"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3D2BAF" w14:textId="634C3A47" w:rsidR="2A1AD167" w:rsidRDefault="2A1AD167" w:rsidP="00603157">
            <w:pPr>
              <w:spacing w:before="0" w:after="160"/>
              <w:rPr>
                <w:rFonts w:eastAsia="Times New Roman"/>
                <w:noProof/>
                <w:lang w:val="en-US"/>
              </w:rPr>
            </w:pPr>
            <w:r w:rsidRPr="2A1AD167">
              <w:rPr>
                <w:rFonts w:eastAsia="Times New Roman"/>
                <w:b/>
                <w:bCs/>
                <w:noProof/>
              </w:rPr>
              <w:t>Period</w:t>
            </w:r>
          </w:p>
          <w:p w14:paraId="69F5D27F" w14:textId="2F45091B" w:rsidR="2A1AD167" w:rsidRDefault="2A1AD167" w:rsidP="00603157">
            <w:pPr>
              <w:spacing w:before="0" w:after="160"/>
              <w:rPr>
                <w:rFonts w:eastAsia="Times New Roman"/>
                <w:noProof/>
                <w:lang w:val="en-US"/>
              </w:rPr>
            </w:pPr>
            <w:r w:rsidRPr="2A1AD167">
              <w:rPr>
                <w:rFonts w:eastAsia="Times New Roman"/>
                <w:noProof/>
              </w:rPr>
              <w:t>2021 – 20</w:t>
            </w:r>
            <w:r w:rsidR="00735771">
              <w:rPr>
                <w:rFonts w:eastAsia="Times New Roman"/>
                <w:noProof/>
              </w:rPr>
              <w:t>30</w:t>
            </w:r>
            <w:r w:rsidRPr="2A1AD167">
              <w:rPr>
                <w:rFonts w:eastAsia="Times New Roman"/>
                <w:noProof/>
                <w:lang w:val="en-US"/>
              </w:rPr>
              <w:t xml:space="preserve"> </w:t>
            </w:r>
          </w:p>
        </w:tc>
      </w:tr>
      <w:tr w:rsidR="00E82E80" w14:paraId="30A620CB"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E9BA4E" w14:textId="42C8943B" w:rsidR="2A1AD167" w:rsidRDefault="2A1AD167" w:rsidP="00603157">
            <w:pPr>
              <w:spacing w:before="0" w:after="160"/>
              <w:rPr>
                <w:rFonts w:eastAsia="Times New Roman"/>
                <w:noProof/>
                <w:lang w:val="en-US"/>
              </w:rPr>
            </w:pPr>
            <w:r w:rsidRPr="2A1AD167">
              <w:rPr>
                <w:rFonts w:eastAsia="Times New Roman"/>
                <w:b/>
                <w:bCs/>
                <w:noProof/>
              </w:rPr>
              <w:t>Impact assessment</w:t>
            </w:r>
            <w:r w:rsidRPr="2A1AD167">
              <w:rPr>
                <w:rFonts w:eastAsia="Times New Roman"/>
                <w:noProof/>
                <w:lang w:val="en-US"/>
              </w:rPr>
              <w:t xml:space="preserve"> </w:t>
            </w:r>
          </w:p>
          <w:p w14:paraId="1CD210D7" w14:textId="1255707C" w:rsidR="2A1AD167" w:rsidRDefault="2A1AD167" w:rsidP="00603157">
            <w:pPr>
              <w:spacing w:before="0" w:after="160"/>
              <w:rPr>
                <w:rFonts w:eastAsia="Times New Roman"/>
                <w:noProof/>
                <w:lang w:val="en-US"/>
              </w:rPr>
            </w:pPr>
            <w:r w:rsidRPr="2A1AD167">
              <w:rPr>
                <w:rFonts w:eastAsia="Times New Roman"/>
                <w:noProof/>
              </w:rPr>
              <w:t xml:space="preserve">Carried out in 2018: </w:t>
            </w:r>
            <w:hyperlink r:id="rId43" w:history="1">
              <w:r w:rsidRPr="2A1AD167">
                <w:rPr>
                  <w:rStyle w:val="Hyperlink"/>
                  <w:rFonts w:eastAsia="Times New Roman"/>
                  <w:noProof/>
                  <w:color w:val="0000FF"/>
                </w:rPr>
                <w:t>link</w:t>
              </w:r>
            </w:hyperlink>
            <w:r w:rsidRPr="2A1AD167">
              <w:rPr>
                <w:rFonts w:eastAsia="Times New Roman"/>
                <w:noProof/>
                <w:lang w:val="en-US"/>
              </w:rPr>
              <w:t xml:space="preserve"> </w:t>
            </w:r>
          </w:p>
        </w:tc>
      </w:tr>
      <w:tr w:rsidR="00E82E80" w14:paraId="22AD5E53"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0D47DF" w14:textId="6C3038BF" w:rsidR="2A1AD167" w:rsidRDefault="2A1AD167" w:rsidP="00603157">
            <w:pPr>
              <w:spacing w:before="0" w:after="160"/>
              <w:rPr>
                <w:rFonts w:eastAsia="Times New Roman"/>
                <w:noProof/>
                <w:lang w:val="en-US"/>
              </w:rPr>
            </w:pPr>
            <w:r w:rsidRPr="2A1AD167">
              <w:rPr>
                <w:rFonts w:eastAsia="Times New Roman"/>
                <w:b/>
                <w:bCs/>
                <w:noProof/>
              </w:rPr>
              <w:t>Mid-term evaluation</w:t>
            </w:r>
            <w:r w:rsidRPr="2A1AD167">
              <w:rPr>
                <w:rFonts w:eastAsia="Times New Roman"/>
                <w:noProof/>
                <w:lang w:val="en-US"/>
              </w:rPr>
              <w:t xml:space="preserve"> </w:t>
            </w:r>
          </w:p>
          <w:p w14:paraId="31676939" w14:textId="04C1AFCB" w:rsidR="2A1AD167" w:rsidRDefault="2A1AD167" w:rsidP="00603157">
            <w:pPr>
              <w:spacing w:before="0" w:after="160"/>
              <w:rPr>
                <w:rFonts w:eastAsia="Times New Roman"/>
                <w:noProof/>
                <w:lang w:val="en-US"/>
              </w:rPr>
            </w:pPr>
            <w:r w:rsidRPr="2A1AD167">
              <w:rPr>
                <w:rFonts w:eastAsia="Times New Roman"/>
                <w:noProof/>
              </w:rPr>
              <w:t>Not publicly available (planned for 2025)</w:t>
            </w:r>
            <w:r w:rsidRPr="2A1AD167">
              <w:rPr>
                <w:rFonts w:eastAsia="Times New Roman"/>
                <w:noProof/>
                <w:lang w:val="en-US"/>
              </w:rPr>
              <w:t xml:space="preserve"> </w:t>
            </w:r>
          </w:p>
        </w:tc>
      </w:tr>
      <w:tr w:rsidR="00E82E80" w14:paraId="0CC86A3E"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7AD754" w14:textId="1C4D367D" w:rsidR="2A1AD167" w:rsidRDefault="2A1AD167" w:rsidP="00603157">
            <w:pPr>
              <w:spacing w:before="0" w:after="160"/>
              <w:rPr>
                <w:rFonts w:eastAsia="Times New Roman"/>
                <w:noProof/>
                <w:lang w:val="en-US"/>
              </w:rPr>
            </w:pPr>
            <w:r w:rsidRPr="2A1AD167">
              <w:rPr>
                <w:rFonts w:eastAsia="Times New Roman"/>
                <w:b/>
                <w:bCs/>
                <w:noProof/>
              </w:rPr>
              <w:t>Budget</w:t>
            </w:r>
            <w:r w:rsidRPr="2A1AD167">
              <w:rPr>
                <w:rFonts w:eastAsia="Times New Roman"/>
                <w:noProof/>
                <w:lang w:val="en-US"/>
              </w:rPr>
              <w:t xml:space="preserve"> </w:t>
            </w:r>
          </w:p>
          <w:p w14:paraId="539E188A" w14:textId="1FBBDCEF" w:rsidR="2A1AD167" w:rsidRDefault="2A1AD167" w:rsidP="00603157">
            <w:pPr>
              <w:spacing w:before="0" w:after="160"/>
              <w:rPr>
                <w:rFonts w:eastAsia="Times New Roman"/>
                <w:noProof/>
                <w:lang w:val="en-US"/>
              </w:rPr>
            </w:pPr>
            <w:r w:rsidRPr="2A1AD167">
              <w:rPr>
                <w:rFonts w:eastAsia="Times New Roman"/>
                <w:noProof/>
              </w:rPr>
              <w:t>The revised EU emissions trading system directive stipulates that the Innovation Fund will be endowed with the revenues from the auctioning of around 530 million allowances from 2020 to 2030 and any unspent revenues from the second call of the predecessor programme, the NER 300, which translates into around EUR 40 bln (at a carbon price of EUR 75 per tonne of carbon dioxide). The budget programming for 2021-2027 amounts to EUR 8.3 bln.</w:t>
            </w:r>
            <w:r w:rsidRPr="2A1AD167">
              <w:rPr>
                <w:rFonts w:eastAsia="Times New Roman"/>
                <w:noProof/>
                <w:lang w:val="en-US"/>
              </w:rPr>
              <w:t xml:space="preserve"> </w:t>
            </w:r>
          </w:p>
        </w:tc>
      </w:tr>
      <w:tr w:rsidR="00E82E80" w14:paraId="41F6C8DF"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16435E" w14:textId="551104A8" w:rsidR="2A1AD167" w:rsidRDefault="2A1AD167" w:rsidP="00603157">
            <w:pPr>
              <w:keepNext/>
              <w:keepLines/>
              <w:spacing w:before="0" w:after="160"/>
              <w:rPr>
                <w:rFonts w:eastAsia="Times New Roman"/>
                <w:noProof/>
                <w:lang w:val="en-US"/>
              </w:rPr>
            </w:pPr>
            <w:r w:rsidRPr="2A1AD167">
              <w:rPr>
                <w:rFonts w:eastAsia="Times New Roman"/>
                <w:b/>
                <w:bCs/>
                <w:noProof/>
              </w:rPr>
              <w:t>Focus</w:t>
            </w:r>
            <w:r w:rsidRPr="2A1AD167">
              <w:rPr>
                <w:rFonts w:eastAsia="Times New Roman"/>
                <w:noProof/>
                <w:lang w:val="en-US"/>
              </w:rPr>
              <w:t xml:space="preserve"> </w:t>
            </w:r>
          </w:p>
          <w:p w14:paraId="43609919" w14:textId="66478450" w:rsidR="2A1AD167" w:rsidRDefault="2A1AD167" w:rsidP="00603157">
            <w:pPr>
              <w:keepNext/>
              <w:keepLines/>
              <w:spacing w:before="0" w:after="160"/>
              <w:rPr>
                <w:rFonts w:eastAsia="Times New Roman"/>
                <w:noProof/>
                <w:lang w:val="en-US"/>
              </w:rPr>
            </w:pPr>
            <w:r w:rsidRPr="2A1AD167">
              <w:rPr>
                <w:rFonts w:eastAsia="Times New Roman"/>
                <w:noProof/>
              </w:rPr>
              <w:t>The Innovation Fund aims at catalysing funding for highly innovative technologies and flagship projects in all Member States that can yield significant emission reductions. The Innovation Fund is the EU fund for climate policy, with a focus on energy and industry. It aims to bring to the market solutions to decarbonise European industry</w:t>
            </w:r>
            <w:r w:rsidR="00171BF3">
              <w:rPr>
                <w:rFonts w:eastAsia="Times New Roman"/>
                <w:noProof/>
              </w:rPr>
              <w:t>, scale up clean tech manufacturing</w:t>
            </w:r>
            <w:r w:rsidRPr="2A1AD167">
              <w:rPr>
                <w:rFonts w:eastAsia="Times New Roman"/>
                <w:noProof/>
              </w:rPr>
              <w:t xml:space="preserve"> and support its transition to climate neutrality while fostering its competitiveness.</w:t>
            </w:r>
            <w:r w:rsidRPr="2A1AD167">
              <w:rPr>
                <w:rFonts w:eastAsia="Times New Roman"/>
                <w:noProof/>
                <w:lang w:val="en-US"/>
              </w:rPr>
              <w:t xml:space="preserve"> </w:t>
            </w:r>
          </w:p>
        </w:tc>
      </w:tr>
      <w:tr w:rsidR="00E82E80" w14:paraId="51A5D039"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E17ACA" w14:textId="69A20EB6" w:rsidR="2A1AD167" w:rsidRDefault="2A1AD167" w:rsidP="00603157">
            <w:pPr>
              <w:spacing w:before="0" w:after="160"/>
              <w:rPr>
                <w:rFonts w:eastAsia="Times New Roman"/>
                <w:noProof/>
                <w:lang w:val="en-US"/>
              </w:rPr>
            </w:pPr>
            <w:r w:rsidRPr="2A1AD167">
              <w:rPr>
                <w:rFonts w:eastAsia="Times New Roman"/>
                <w:b/>
                <w:bCs/>
                <w:noProof/>
              </w:rPr>
              <w:t>Delivery mode</w:t>
            </w:r>
            <w:r w:rsidRPr="2A1AD167">
              <w:rPr>
                <w:rFonts w:eastAsia="Times New Roman"/>
                <w:noProof/>
                <w:lang w:val="en-US"/>
              </w:rPr>
              <w:t xml:space="preserve"> </w:t>
            </w:r>
          </w:p>
          <w:p w14:paraId="492DF3CF" w14:textId="3BF6DB43" w:rsidR="2A1AD167" w:rsidRDefault="2A1AD167" w:rsidP="00603157">
            <w:pPr>
              <w:spacing w:before="0" w:after="160"/>
              <w:rPr>
                <w:rFonts w:eastAsia="Times New Roman"/>
                <w:noProof/>
                <w:lang w:val="en-US"/>
              </w:rPr>
            </w:pPr>
            <w:r w:rsidRPr="2A1AD167">
              <w:rPr>
                <w:rFonts w:eastAsia="Times New Roman"/>
                <w:noProof/>
              </w:rPr>
              <w:t>The Innovation Fund is implemented in direct management by the Commission (DG Climate Action) with the assistance of the European Climate, Infrastructure and Environment Executive Agency, to which the implementation of the grant component of the programme is delegated. Some activities are implemented in indirect management, through the European Investment Bank (EIB), for the management of the project development assistance support, and the channelling of Innovation Fund resources via financial instruments. The monetisation of the Innovation Fund allowances and the management of the Innovation Fund revenues have also been delegated to the EIB.</w:t>
            </w:r>
            <w:r w:rsidRPr="2A1AD167">
              <w:rPr>
                <w:rFonts w:eastAsia="Times New Roman"/>
                <w:noProof/>
                <w:lang w:val="en-US"/>
              </w:rPr>
              <w:t xml:space="preserve"> </w:t>
            </w:r>
          </w:p>
        </w:tc>
      </w:tr>
      <w:tr w:rsidR="00E82E80" w14:paraId="6A7D83F4"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1D7B7C" w14:textId="68818768" w:rsidR="2A1AD167" w:rsidRDefault="2A1AD167" w:rsidP="00603157">
            <w:pPr>
              <w:spacing w:before="0" w:after="160"/>
              <w:rPr>
                <w:rFonts w:eastAsia="Times New Roman"/>
                <w:noProof/>
                <w:lang w:val="en-US"/>
              </w:rPr>
            </w:pPr>
            <w:r w:rsidRPr="2A1AD167">
              <w:rPr>
                <w:rFonts w:eastAsia="Times New Roman"/>
                <w:b/>
                <w:bCs/>
                <w:noProof/>
              </w:rPr>
              <w:t>Predecessor</w:t>
            </w:r>
            <w:r w:rsidRPr="2A1AD167">
              <w:rPr>
                <w:rFonts w:eastAsia="Times New Roman"/>
                <w:noProof/>
                <w:lang w:val="en-US"/>
              </w:rPr>
              <w:t xml:space="preserve"> </w:t>
            </w:r>
          </w:p>
          <w:p w14:paraId="52681FA4" w14:textId="42A3C984" w:rsidR="2A1AD167" w:rsidRDefault="2A1AD167" w:rsidP="00603157">
            <w:pPr>
              <w:spacing w:before="0" w:after="160"/>
              <w:rPr>
                <w:rFonts w:eastAsia="Times New Roman"/>
                <w:noProof/>
                <w:lang w:val="en-US"/>
              </w:rPr>
            </w:pPr>
            <w:r w:rsidRPr="2A1AD167">
              <w:rPr>
                <w:rFonts w:eastAsia="Times New Roman"/>
                <w:noProof/>
              </w:rPr>
              <w:t xml:space="preserve">The Innovation Fund builds on its predecessor, the NER 300 programme (which was an off-budget fund, thus not part of the 2014-2020 </w:t>
            </w:r>
            <w:r w:rsidR="005F4877">
              <w:rPr>
                <w:rFonts w:eastAsia="Times New Roman"/>
                <w:noProof/>
              </w:rPr>
              <w:t>MFF</w:t>
            </w:r>
            <w:r w:rsidRPr="2A1AD167">
              <w:rPr>
                <w:rFonts w:eastAsia="Times New Roman"/>
                <w:noProof/>
              </w:rPr>
              <w:t>), but it is open also to projects from energy-intensive industries, has a larger grant coverage, provides support in more flexible ways, and – following recommendations from the European Court of Auditors – has a streamlined governance and simplified decision-making.</w:t>
            </w:r>
            <w:r w:rsidRPr="2A1AD167">
              <w:rPr>
                <w:rFonts w:eastAsia="Times New Roman"/>
                <w:noProof/>
                <w:lang w:val="en-US"/>
              </w:rPr>
              <w:t xml:space="preserve"> </w:t>
            </w:r>
          </w:p>
        </w:tc>
      </w:tr>
      <w:tr w:rsidR="00387E80" w14:paraId="7B9804FD" w14:textId="77777777" w:rsidTr="00E46350">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63AF04" w14:textId="77777777" w:rsidR="00387E80" w:rsidRPr="00787960" w:rsidRDefault="00387E80" w:rsidP="00387E80">
            <w:pPr>
              <w:spacing w:before="40" w:after="40"/>
              <w:rPr>
                <w:b/>
                <w:noProof/>
                <w:lang w:eastAsia="nl-BE"/>
              </w:rPr>
            </w:pPr>
            <w:r w:rsidRPr="00787960">
              <w:rPr>
                <w:b/>
                <w:noProof/>
                <w:lang w:eastAsia="nl-BE"/>
              </w:rPr>
              <w:t>Type of recipients</w:t>
            </w:r>
          </w:p>
          <w:p w14:paraId="2F3E1428" w14:textId="6F91196E" w:rsidR="00387E80" w:rsidRPr="00387E80" w:rsidRDefault="00387E80" w:rsidP="00387E80">
            <w:pPr>
              <w:spacing w:before="0" w:after="160"/>
              <w:rPr>
                <w:rFonts w:eastAsia="Times New Roman"/>
                <w:b/>
                <w:bCs/>
                <w:noProof/>
              </w:rPr>
            </w:pPr>
            <w:r w:rsidRPr="00787960">
              <w:rPr>
                <w:bCs/>
                <w:noProof/>
                <w:lang w:eastAsia="nl-BE"/>
              </w:rPr>
              <w:t>Any legal entity (private company, public body, consortium) registered in countries in the European Economic Area that participate in the EU ETS.</w:t>
            </w:r>
          </w:p>
        </w:tc>
      </w:tr>
      <w:tr w:rsidR="00387E80" w14:paraId="67A101EF" w14:textId="77777777" w:rsidTr="00E46350">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25D3D7" w14:textId="77777777" w:rsidR="00387E80" w:rsidRPr="00787960" w:rsidRDefault="00387E80" w:rsidP="00387E80">
            <w:pPr>
              <w:spacing w:before="40" w:after="40"/>
              <w:rPr>
                <w:b/>
                <w:noProof/>
                <w:lang w:eastAsia="nl-BE"/>
              </w:rPr>
            </w:pPr>
            <w:r w:rsidRPr="00787960">
              <w:rPr>
                <w:b/>
                <w:noProof/>
                <w:lang w:eastAsia="nl-BE"/>
              </w:rPr>
              <w:t xml:space="preserve">Forms of EU funding </w:t>
            </w:r>
          </w:p>
          <w:p w14:paraId="4D44E8BA" w14:textId="083C9907" w:rsidR="00387E80" w:rsidRPr="00387E80" w:rsidRDefault="00387E80" w:rsidP="00387E80">
            <w:pPr>
              <w:spacing w:before="0" w:after="160"/>
              <w:rPr>
                <w:rFonts w:eastAsia="Times New Roman"/>
                <w:b/>
                <w:bCs/>
                <w:noProof/>
              </w:rPr>
            </w:pPr>
            <w:r w:rsidRPr="00787960">
              <w:rPr>
                <w:bCs/>
                <w:noProof/>
                <w:lang w:eastAsia="nl-BE"/>
              </w:rPr>
              <w:t xml:space="preserve">Grants, prizes, and procurement. Innovation Fund grants can be combined with funding from other support programmes. For example, its resources may contribute to InvestEU financial instruments, to provide debt or equity financing to innovative clean-tech projects. Also, </w:t>
            </w:r>
            <w:r w:rsidRPr="00787960">
              <w:rPr>
                <w:bCs/>
                <w:noProof/>
                <w:lang w:val="en-US" w:eastAsia="nl-BE"/>
              </w:rPr>
              <w:t>the programme may award project development assistance in the form of technical assistance</w:t>
            </w:r>
          </w:p>
        </w:tc>
      </w:tr>
      <w:tr w:rsidR="00387E80" w14:paraId="520D7C12" w14:textId="77777777" w:rsidTr="00E46350">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409EA" w14:textId="77777777" w:rsidR="00387E80" w:rsidRPr="00787960" w:rsidRDefault="00387E80" w:rsidP="00387E80">
            <w:pPr>
              <w:spacing w:before="40" w:after="40"/>
              <w:rPr>
                <w:b/>
                <w:noProof/>
                <w:lang w:eastAsia="nl-BE"/>
              </w:rPr>
            </w:pPr>
            <w:r w:rsidRPr="00787960">
              <w:rPr>
                <w:b/>
                <w:noProof/>
                <w:lang w:eastAsia="nl-BE"/>
              </w:rPr>
              <w:t>Third countries associated to the programme</w:t>
            </w:r>
          </w:p>
          <w:p w14:paraId="2F8D128D" w14:textId="41B58EE6" w:rsidR="00387E80" w:rsidRPr="00387E80" w:rsidRDefault="00387E80" w:rsidP="00387E80">
            <w:pPr>
              <w:spacing w:before="0" w:after="160"/>
              <w:rPr>
                <w:rFonts w:eastAsia="Times New Roman"/>
                <w:b/>
                <w:bCs/>
                <w:noProof/>
              </w:rPr>
            </w:pPr>
            <w:r w:rsidRPr="00787960">
              <w:rPr>
                <w:bCs/>
                <w:noProof/>
                <w:lang w:eastAsia="nl-BE"/>
              </w:rPr>
              <w:t xml:space="preserve">Liechtenstein, </w:t>
            </w:r>
            <w:r w:rsidRPr="00787960">
              <w:rPr>
                <w:noProof/>
                <w:lang w:eastAsia="nl-BE"/>
              </w:rPr>
              <w:t>Iceland</w:t>
            </w:r>
            <w:r w:rsidRPr="00787960">
              <w:rPr>
                <w:bCs/>
                <w:noProof/>
                <w:lang w:eastAsia="nl-BE"/>
              </w:rPr>
              <w:t>,</w:t>
            </w:r>
            <w:r w:rsidRPr="00787960">
              <w:rPr>
                <w:noProof/>
                <w:lang w:eastAsia="nl-BE"/>
              </w:rPr>
              <w:t xml:space="preserve"> and Norway</w:t>
            </w:r>
            <w:r w:rsidRPr="00787960">
              <w:rPr>
                <w:bCs/>
                <w:noProof/>
                <w:lang w:eastAsia="nl-BE"/>
              </w:rPr>
              <w:t>.</w:t>
            </w:r>
          </w:p>
        </w:tc>
      </w:tr>
      <w:tr w:rsidR="00387E80" w14:paraId="60CFBC94" w14:textId="77777777" w:rsidTr="00E46350">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5D9800" w14:textId="77777777" w:rsidR="00387E80" w:rsidRPr="00787960" w:rsidRDefault="00387E80" w:rsidP="00387E80">
            <w:pPr>
              <w:spacing w:before="40" w:after="40"/>
              <w:rPr>
                <w:b/>
                <w:noProof/>
                <w:lang w:eastAsia="nl-BE"/>
              </w:rPr>
            </w:pPr>
            <w:r w:rsidRPr="00787960">
              <w:rPr>
                <w:b/>
                <w:noProof/>
                <w:lang w:eastAsia="nl-BE"/>
              </w:rPr>
              <w:t>Application</w:t>
            </w:r>
          </w:p>
          <w:p w14:paraId="4FE39342" w14:textId="77777777" w:rsidR="00387E80" w:rsidRPr="00787960" w:rsidRDefault="00387E80" w:rsidP="00387E80">
            <w:pPr>
              <w:spacing w:before="40" w:after="40"/>
              <w:rPr>
                <w:bCs/>
                <w:noProof/>
                <w:lang w:eastAsia="nl-BE"/>
              </w:rPr>
            </w:pPr>
            <w:r w:rsidRPr="00787960">
              <w:rPr>
                <w:bCs/>
                <w:noProof/>
                <w:lang w:eastAsia="nl-BE"/>
              </w:rPr>
              <w:t>The Innovation Fund awards grants through regular calls for proposals and competitive bidding procedures (auctions). The application procedures follow the following steps:</w:t>
            </w:r>
          </w:p>
          <w:p w14:paraId="68953393" w14:textId="77777777" w:rsidR="00387E80" w:rsidRPr="00787960" w:rsidRDefault="00387E80" w:rsidP="00387E80">
            <w:pPr>
              <w:pStyle w:val="ListParagraph"/>
              <w:numPr>
                <w:ilvl w:val="0"/>
                <w:numId w:val="108"/>
              </w:numPr>
              <w:spacing w:before="40" w:after="40"/>
              <w:rPr>
                <w:bCs/>
                <w:noProof/>
                <w:lang w:eastAsia="nl-BE"/>
              </w:rPr>
            </w:pPr>
            <w:r w:rsidRPr="00787960">
              <w:rPr>
                <w:b/>
                <w:noProof/>
                <w:lang w:eastAsia="nl-BE"/>
              </w:rPr>
              <w:t>Call issuance &amp; requirements</w:t>
            </w:r>
            <w:r w:rsidRPr="00787960">
              <w:rPr>
                <w:bCs/>
                <w:noProof/>
                <w:lang w:eastAsia="nl-BE"/>
              </w:rPr>
              <w:t>: CINEA (under DG CLIMA) publishes open calls, either single-stage or two-phase (Expression of Interest + Full Proposal), detailing project scope, eligibility, evaluation criteria, and deadlines</w:t>
            </w:r>
          </w:p>
          <w:p w14:paraId="3EE87E1F" w14:textId="77777777" w:rsidR="00387E80" w:rsidRPr="00787960" w:rsidRDefault="00387E80" w:rsidP="00387E80">
            <w:pPr>
              <w:pStyle w:val="ListParagraph"/>
              <w:numPr>
                <w:ilvl w:val="0"/>
                <w:numId w:val="108"/>
              </w:numPr>
              <w:spacing w:before="40" w:after="40"/>
              <w:rPr>
                <w:bCs/>
                <w:noProof/>
                <w:lang w:eastAsia="nl-BE"/>
              </w:rPr>
            </w:pPr>
            <w:r w:rsidRPr="00787960">
              <w:rPr>
                <w:b/>
                <w:noProof/>
                <w:lang w:eastAsia="nl-BE"/>
              </w:rPr>
              <w:t>Proposal submission via portal</w:t>
            </w:r>
            <w:r w:rsidRPr="00787960">
              <w:rPr>
                <w:bCs/>
                <w:noProof/>
                <w:lang w:eastAsia="nl-BE"/>
              </w:rPr>
              <w:t>: Project promoters can apply via the EU Funding and Tenders portal by submitting their proposals when there is an open call for projects.</w:t>
            </w:r>
          </w:p>
          <w:p w14:paraId="239D338F" w14:textId="783B3E6E" w:rsidR="00387E80" w:rsidRPr="00387E80" w:rsidRDefault="00387E80" w:rsidP="00387E80">
            <w:pPr>
              <w:spacing w:before="0" w:after="160"/>
              <w:rPr>
                <w:rFonts w:eastAsia="Times New Roman"/>
                <w:b/>
                <w:bCs/>
                <w:noProof/>
              </w:rPr>
            </w:pPr>
            <w:r w:rsidRPr="00787960">
              <w:rPr>
                <w:b/>
                <w:noProof/>
                <w:lang w:eastAsia="nl-BE"/>
              </w:rPr>
              <w:t>Evaluation and award criteria</w:t>
            </w:r>
            <w:r w:rsidRPr="00787960">
              <w:rPr>
                <w:bCs/>
                <w:noProof/>
                <w:lang w:eastAsia="nl-BE"/>
              </w:rPr>
              <w:t>: Proposals are evaluated externally based on    effectiveness of greenhouse gas emissions avoidance, degree of innovation, project maturity, replicability, cost efficiency. Small-scale projects may follow simplified evaluation.</w:t>
            </w:r>
          </w:p>
        </w:tc>
      </w:tr>
    </w:tbl>
    <w:p w14:paraId="52B86841" w14:textId="27C63F21" w:rsidR="0AA200F7" w:rsidRDefault="0AA200F7" w:rsidP="00603157">
      <w:pPr>
        <w:spacing w:before="0" w:after="240"/>
        <w:rPr>
          <w:rFonts w:eastAsia="Times New Roman"/>
          <w:noProof/>
          <w:lang w:val="en-US"/>
        </w:rPr>
      </w:pPr>
      <w:r w:rsidRPr="2A1AD167">
        <w:rPr>
          <w:rFonts w:eastAsia="Times New Roman"/>
          <w:noProof/>
          <w:lang w:val="en-US"/>
        </w:rPr>
        <w:t xml:space="preserve"> </w:t>
      </w:r>
    </w:p>
    <w:p w14:paraId="7B143DFE" w14:textId="564578FD" w:rsidR="0AA200F7" w:rsidRDefault="0AA200F7" w:rsidP="00603157">
      <w:pPr>
        <w:spacing w:before="0" w:after="240"/>
        <w:rPr>
          <w:rFonts w:eastAsia="Times New Roman"/>
          <w:i/>
          <w:iCs/>
          <w:noProof/>
          <w:lang w:val="en-US"/>
        </w:rPr>
      </w:pPr>
      <w:r w:rsidRPr="2A1AD167">
        <w:rPr>
          <w:rFonts w:eastAsia="Times New Roman"/>
          <w:i/>
          <w:iCs/>
          <w:noProof/>
        </w:rPr>
        <w:t>LIFE</w:t>
      </w:r>
      <w:r w:rsidRPr="2A1AD167">
        <w:rPr>
          <w:rFonts w:eastAsia="Times New Roman"/>
          <w:i/>
          <w:iCs/>
          <w:noProof/>
          <w:lang w:val="en-US"/>
        </w:rPr>
        <w:t xml:space="preserve"> </w:t>
      </w:r>
    </w:p>
    <w:tbl>
      <w:tblPr>
        <w:tblW w:w="10065" w:type="dxa"/>
        <w:tblInd w:w="-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065"/>
      </w:tblGrid>
      <w:tr w:rsidR="00E82E80" w14:paraId="55873CFA"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88B9AD" w14:textId="21927641" w:rsidR="2A1AD167" w:rsidRDefault="2A1AD167" w:rsidP="00603157">
            <w:pPr>
              <w:spacing w:before="0" w:after="160"/>
              <w:rPr>
                <w:rFonts w:eastAsia="Times New Roman"/>
                <w:noProof/>
                <w:lang w:val="en-US"/>
              </w:rPr>
            </w:pPr>
            <w:r w:rsidRPr="2A1AD167">
              <w:rPr>
                <w:rFonts w:eastAsia="Times New Roman"/>
                <w:b/>
                <w:bCs/>
                <w:noProof/>
              </w:rPr>
              <w:t>Regulation</w:t>
            </w:r>
            <w:r w:rsidRPr="2A1AD167">
              <w:rPr>
                <w:rFonts w:eastAsia="Times New Roman"/>
                <w:noProof/>
                <w:lang w:val="en-US"/>
              </w:rPr>
              <w:t xml:space="preserve"> </w:t>
            </w:r>
          </w:p>
          <w:p w14:paraId="3C822789" w14:textId="77777777" w:rsidR="2A1AD167" w:rsidRDefault="2A1AD167" w:rsidP="00603157">
            <w:pPr>
              <w:spacing w:before="0" w:after="160"/>
              <w:rPr>
                <w:rFonts w:eastAsia="Times New Roman"/>
                <w:noProof/>
                <w:lang w:val="en-US"/>
              </w:rPr>
            </w:pPr>
            <w:r w:rsidRPr="2A1AD167">
              <w:rPr>
                <w:rFonts w:eastAsia="Times New Roman"/>
                <w:noProof/>
              </w:rPr>
              <w:t>Regulation (EU) 2021/783 of the European Parliament and of the Council</w:t>
            </w:r>
            <w:r w:rsidRPr="2A1AD167">
              <w:rPr>
                <w:rFonts w:eastAsia="Times New Roman"/>
                <w:noProof/>
                <w:lang w:val="en-US"/>
              </w:rPr>
              <w:t xml:space="preserve"> </w:t>
            </w:r>
          </w:p>
          <w:p w14:paraId="28770BE5" w14:textId="067B1167" w:rsidR="00C67930" w:rsidRDefault="00C67930" w:rsidP="00603157">
            <w:pPr>
              <w:spacing w:before="0" w:after="160"/>
              <w:rPr>
                <w:rFonts w:eastAsia="Times New Roman"/>
                <w:noProof/>
                <w:lang w:val="en-US"/>
              </w:rPr>
            </w:pPr>
            <w:r>
              <w:rPr>
                <w:rFonts w:eastAsia="Times New Roman"/>
                <w:noProof/>
                <w:lang w:val="en-US"/>
              </w:rPr>
              <w:t xml:space="preserve">Legal base: </w:t>
            </w:r>
            <w:r w:rsidR="004102F9">
              <w:rPr>
                <w:rFonts w:eastAsia="Times New Roman"/>
                <w:noProof/>
                <w:lang w:val="en-US"/>
              </w:rPr>
              <w:t>Article 192(1) of the Treaty on the functioning of the Eur</w:t>
            </w:r>
            <w:r w:rsidR="00585701">
              <w:rPr>
                <w:rFonts w:eastAsia="Times New Roman"/>
                <w:noProof/>
                <w:lang w:val="en-US"/>
              </w:rPr>
              <w:t>opean Union</w:t>
            </w:r>
          </w:p>
        </w:tc>
      </w:tr>
      <w:tr w:rsidR="00E82E80" w14:paraId="03E4BD01"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83D3F9" w14:textId="7764D7CA" w:rsidR="2A1AD167" w:rsidRDefault="2A1AD167" w:rsidP="00603157">
            <w:pPr>
              <w:spacing w:before="0" w:after="160"/>
              <w:rPr>
                <w:rFonts w:eastAsia="Times New Roman"/>
                <w:noProof/>
                <w:lang w:val="en-US"/>
              </w:rPr>
            </w:pPr>
            <w:r w:rsidRPr="2A1AD167">
              <w:rPr>
                <w:rFonts w:eastAsia="Times New Roman"/>
                <w:b/>
                <w:bCs/>
                <w:noProof/>
              </w:rPr>
              <w:t>Period</w:t>
            </w:r>
          </w:p>
          <w:p w14:paraId="57DED618" w14:textId="2ED4D104" w:rsidR="2A1AD167" w:rsidRDefault="2A1AD167" w:rsidP="00603157">
            <w:pPr>
              <w:spacing w:before="0" w:after="160"/>
              <w:rPr>
                <w:rFonts w:eastAsia="Times New Roman"/>
                <w:noProof/>
                <w:lang w:val="en-US"/>
              </w:rPr>
            </w:pPr>
            <w:r w:rsidRPr="2A1AD167">
              <w:rPr>
                <w:rFonts w:eastAsia="Times New Roman"/>
                <w:noProof/>
              </w:rPr>
              <w:t>2021 – 2027</w:t>
            </w:r>
            <w:r w:rsidRPr="2A1AD167">
              <w:rPr>
                <w:rFonts w:eastAsia="Times New Roman"/>
                <w:noProof/>
                <w:lang w:val="en-US"/>
              </w:rPr>
              <w:t xml:space="preserve"> </w:t>
            </w:r>
          </w:p>
        </w:tc>
      </w:tr>
      <w:tr w:rsidR="00E82E80" w14:paraId="6D108877"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E1E483" w14:textId="33DC8BFC" w:rsidR="2A1AD167" w:rsidRDefault="2A1AD167" w:rsidP="00603157">
            <w:pPr>
              <w:spacing w:before="0" w:after="160"/>
              <w:rPr>
                <w:rFonts w:eastAsia="Times New Roman"/>
                <w:noProof/>
                <w:lang w:val="en-US"/>
              </w:rPr>
            </w:pPr>
            <w:r w:rsidRPr="2A1AD167">
              <w:rPr>
                <w:rFonts w:eastAsia="Times New Roman"/>
                <w:b/>
                <w:bCs/>
                <w:noProof/>
              </w:rPr>
              <w:t>Impact assessment</w:t>
            </w:r>
            <w:r w:rsidRPr="2A1AD167">
              <w:rPr>
                <w:rFonts w:eastAsia="Times New Roman"/>
                <w:noProof/>
                <w:lang w:val="en-US"/>
              </w:rPr>
              <w:t xml:space="preserve"> </w:t>
            </w:r>
          </w:p>
          <w:p w14:paraId="33D8FE9B" w14:textId="072A28C5" w:rsidR="2A1AD167" w:rsidRDefault="2A1AD167" w:rsidP="00603157">
            <w:pPr>
              <w:spacing w:before="0" w:after="160"/>
              <w:rPr>
                <w:rFonts w:eastAsia="Times New Roman"/>
                <w:noProof/>
                <w:lang w:val="en-US"/>
              </w:rPr>
            </w:pPr>
            <w:r w:rsidRPr="2A1AD167">
              <w:rPr>
                <w:rFonts w:eastAsia="Times New Roman"/>
                <w:noProof/>
              </w:rPr>
              <w:t xml:space="preserve">Carried out in 2018: </w:t>
            </w:r>
            <w:hyperlink r:id="rId44" w:history="1">
              <w:r w:rsidRPr="2A1AD167">
                <w:rPr>
                  <w:rStyle w:val="Hyperlink"/>
                  <w:rFonts w:eastAsia="Times New Roman"/>
                  <w:noProof/>
                  <w:color w:val="0000FF"/>
                </w:rPr>
                <w:t>link</w:t>
              </w:r>
            </w:hyperlink>
            <w:r w:rsidRPr="2A1AD167">
              <w:rPr>
                <w:rFonts w:eastAsia="Times New Roman"/>
                <w:noProof/>
                <w:lang w:val="en-US"/>
              </w:rPr>
              <w:t xml:space="preserve"> </w:t>
            </w:r>
          </w:p>
        </w:tc>
      </w:tr>
      <w:tr w:rsidR="00E82E80" w14:paraId="381C8CAE"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C5E2C6" w14:textId="67963B53" w:rsidR="2A1AD167" w:rsidRDefault="2A1AD167" w:rsidP="00603157">
            <w:pPr>
              <w:spacing w:before="0" w:after="160"/>
              <w:rPr>
                <w:rFonts w:eastAsia="Times New Roman"/>
                <w:noProof/>
                <w:lang w:val="en-US"/>
              </w:rPr>
            </w:pPr>
            <w:r w:rsidRPr="2A1AD167">
              <w:rPr>
                <w:rFonts w:eastAsia="Times New Roman"/>
                <w:b/>
                <w:bCs/>
                <w:noProof/>
              </w:rPr>
              <w:t>Mid-term evaluation</w:t>
            </w:r>
            <w:r w:rsidRPr="2A1AD167">
              <w:rPr>
                <w:rFonts w:eastAsia="Times New Roman"/>
                <w:noProof/>
                <w:lang w:val="en-US"/>
              </w:rPr>
              <w:t xml:space="preserve"> </w:t>
            </w:r>
          </w:p>
          <w:p w14:paraId="51E7358C" w14:textId="33F40AEE" w:rsidR="2A1AD167" w:rsidRDefault="5C10216E" w:rsidP="00603157">
            <w:pPr>
              <w:spacing w:before="0" w:after="160"/>
              <w:rPr>
                <w:rFonts w:eastAsia="Times New Roman"/>
                <w:noProof/>
                <w:lang w:val="en-US"/>
              </w:rPr>
            </w:pPr>
            <w:r w:rsidRPr="238D8D6C">
              <w:rPr>
                <w:rFonts w:eastAsia="Times New Roman"/>
                <w:noProof/>
              </w:rPr>
              <w:t xml:space="preserve">Not publicly available (planned for </w:t>
            </w:r>
            <w:r w:rsidR="3520A86D" w:rsidRPr="238D8D6C">
              <w:rPr>
                <w:rFonts w:eastAsia="Times New Roman"/>
                <w:noProof/>
              </w:rPr>
              <w:t xml:space="preserve">third </w:t>
            </w:r>
            <w:r w:rsidRPr="238D8D6C">
              <w:rPr>
                <w:rFonts w:eastAsia="Times New Roman"/>
                <w:noProof/>
              </w:rPr>
              <w:t>quarter 202</w:t>
            </w:r>
            <w:r w:rsidR="5C643AB8" w:rsidRPr="238D8D6C">
              <w:rPr>
                <w:rFonts w:eastAsia="Times New Roman"/>
                <w:noProof/>
              </w:rPr>
              <w:t>5</w:t>
            </w:r>
            <w:r w:rsidRPr="238D8D6C">
              <w:rPr>
                <w:rFonts w:eastAsia="Times New Roman"/>
                <w:noProof/>
              </w:rPr>
              <w:t>)</w:t>
            </w:r>
            <w:r w:rsidRPr="238D8D6C">
              <w:rPr>
                <w:rFonts w:eastAsia="Times New Roman"/>
                <w:noProof/>
                <w:lang w:val="en-US"/>
              </w:rPr>
              <w:t xml:space="preserve"> </w:t>
            </w:r>
          </w:p>
        </w:tc>
      </w:tr>
      <w:tr w:rsidR="00E82E80" w14:paraId="5098670B"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DEE01F" w14:textId="7D2029FE" w:rsidR="2A1AD167" w:rsidRDefault="2A1AD167" w:rsidP="00603157">
            <w:pPr>
              <w:spacing w:before="0" w:after="160"/>
              <w:rPr>
                <w:rFonts w:eastAsia="Times New Roman"/>
                <w:noProof/>
                <w:lang w:val="en-US"/>
              </w:rPr>
            </w:pPr>
            <w:r w:rsidRPr="2A1AD167">
              <w:rPr>
                <w:rFonts w:eastAsia="Times New Roman"/>
                <w:b/>
                <w:bCs/>
                <w:noProof/>
              </w:rPr>
              <w:t>Budget</w:t>
            </w:r>
            <w:r w:rsidRPr="2A1AD167">
              <w:rPr>
                <w:rFonts w:eastAsia="Times New Roman"/>
                <w:noProof/>
                <w:lang w:val="en-US"/>
              </w:rPr>
              <w:t xml:space="preserve"> </w:t>
            </w:r>
          </w:p>
          <w:p w14:paraId="759C7383" w14:textId="0023AAB1" w:rsidR="2A1AD167" w:rsidRDefault="2A1AD167" w:rsidP="00603157">
            <w:pPr>
              <w:spacing w:before="0" w:after="160"/>
              <w:rPr>
                <w:rFonts w:eastAsia="Times New Roman"/>
                <w:noProof/>
                <w:lang w:val="en-US"/>
              </w:rPr>
            </w:pPr>
            <w:r w:rsidRPr="2A1AD167">
              <w:rPr>
                <w:rFonts w:eastAsia="Times New Roman"/>
                <w:noProof/>
              </w:rPr>
              <w:t>The current LIFE programme (2021-2027) has a total budget of EUR 5.45 bln (compared to EUR 3.4 bln for previous programme 2014-2020).</w:t>
            </w:r>
          </w:p>
        </w:tc>
      </w:tr>
      <w:tr w:rsidR="00E82E80" w14:paraId="200B93FD"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904F27" w14:textId="4259829F" w:rsidR="2A1AD167" w:rsidRDefault="2A1AD167" w:rsidP="00603157">
            <w:pPr>
              <w:spacing w:before="0" w:after="160"/>
              <w:rPr>
                <w:rFonts w:eastAsia="Times New Roman"/>
                <w:noProof/>
                <w:lang w:val="en-US"/>
              </w:rPr>
            </w:pPr>
            <w:r w:rsidRPr="2A1AD167">
              <w:rPr>
                <w:rFonts w:eastAsia="Times New Roman"/>
                <w:b/>
                <w:bCs/>
                <w:noProof/>
              </w:rPr>
              <w:t>Focus</w:t>
            </w:r>
            <w:r w:rsidRPr="2A1AD167">
              <w:rPr>
                <w:rFonts w:eastAsia="Times New Roman"/>
                <w:noProof/>
                <w:lang w:val="en-US"/>
              </w:rPr>
              <w:t xml:space="preserve"> </w:t>
            </w:r>
          </w:p>
          <w:p w14:paraId="05315084" w14:textId="1B14AC3C" w:rsidR="2A1AD167" w:rsidRDefault="5C10216E" w:rsidP="00603157">
            <w:pPr>
              <w:spacing w:before="0" w:after="160"/>
              <w:rPr>
                <w:rFonts w:eastAsia="Times New Roman"/>
                <w:noProof/>
                <w:lang w:val="en-US"/>
              </w:rPr>
            </w:pPr>
            <w:r w:rsidRPr="238D8D6C">
              <w:rPr>
                <w:rFonts w:eastAsia="Times New Roman"/>
                <w:noProof/>
              </w:rPr>
              <w:t>The programme for the environment and climate action (LIFE) aims to facilitate the shift towards a sustainable, circular, energy-efficient, renewable energy-based, climate-neutral and climate-resilient economy. LIFE contribute</w:t>
            </w:r>
            <w:r w:rsidR="0041C881" w:rsidRPr="238D8D6C">
              <w:rPr>
                <w:rFonts w:eastAsia="Times New Roman"/>
                <w:noProof/>
              </w:rPr>
              <w:t>s</w:t>
            </w:r>
            <w:r w:rsidRPr="238D8D6C">
              <w:rPr>
                <w:rFonts w:eastAsia="Times New Roman"/>
                <w:noProof/>
              </w:rPr>
              <w:t xml:space="preserve"> to reduce greenhouse gas emissions and our vulnerability to the harmful effects of climate change, to protect, restore and improve the quality of the environment – including air, water and soil – and to halt and reverse biodiversity loss. Moreover, it tackle</w:t>
            </w:r>
            <w:r w:rsidR="04EABB53" w:rsidRPr="238D8D6C">
              <w:rPr>
                <w:rFonts w:eastAsia="Times New Roman"/>
                <w:noProof/>
              </w:rPr>
              <w:t>s</w:t>
            </w:r>
            <w:r w:rsidRPr="238D8D6C">
              <w:rPr>
                <w:rFonts w:eastAsia="Times New Roman"/>
                <w:noProof/>
              </w:rPr>
              <w:t xml:space="preserve"> the degradation of ecosystems, including through supporting the implementation and management of the Natura 2000 network, thereby contributing to sustainable development.</w:t>
            </w:r>
            <w:r w:rsidRPr="238D8D6C">
              <w:rPr>
                <w:rFonts w:eastAsia="Times New Roman"/>
                <w:noProof/>
                <w:lang w:val="en-US"/>
              </w:rPr>
              <w:t xml:space="preserve"> </w:t>
            </w:r>
          </w:p>
        </w:tc>
      </w:tr>
      <w:tr w:rsidR="00E82E80" w14:paraId="76E1D19C"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9570F1" w14:textId="39C4B334" w:rsidR="2A1AD167" w:rsidRDefault="2A1AD167" w:rsidP="00603157">
            <w:pPr>
              <w:spacing w:before="0" w:after="160"/>
              <w:rPr>
                <w:rFonts w:eastAsia="Times New Roman"/>
                <w:noProof/>
                <w:lang w:val="en-US"/>
              </w:rPr>
            </w:pPr>
            <w:r w:rsidRPr="2A1AD167">
              <w:rPr>
                <w:rFonts w:eastAsia="Times New Roman"/>
                <w:b/>
                <w:bCs/>
                <w:noProof/>
              </w:rPr>
              <w:t>Delivery mode</w:t>
            </w:r>
            <w:r w:rsidRPr="2A1AD167">
              <w:rPr>
                <w:rFonts w:eastAsia="Times New Roman"/>
                <w:noProof/>
                <w:lang w:val="en-US"/>
              </w:rPr>
              <w:t xml:space="preserve"> </w:t>
            </w:r>
          </w:p>
          <w:p w14:paraId="3563C12D" w14:textId="04D3F40D" w:rsidR="2A1AD167" w:rsidRDefault="2A1AD167" w:rsidP="00603157">
            <w:pPr>
              <w:spacing w:before="0" w:after="160"/>
              <w:rPr>
                <w:rFonts w:eastAsia="Times New Roman"/>
                <w:noProof/>
                <w:lang w:val="en-US"/>
              </w:rPr>
            </w:pPr>
            <w:r w:rsidRPr="2A1AD167">
              <w:rPr>
                <w:rFonts w:eastAsia="Times New Roman"/>
                <w:noProof/>
              </w:rPr>
              <w:t>LIFE is implemented through direct management (grants, procurement, prizes and technical assistance to support investments) and indirect management for specific activities, including with the European Investment Bank (EIB) to support the mobilisation of investments in line with the objective of the LIFE programme. Within the Commission, DG Environment is the lead, with support from DG Energy and DG Climate Action. Each DG is responsible of specific subprogrammes. The European Climate, Infrastructure and Environment Executive Agency manages the bulk of the grants, few procurement activities and a technical assistance scheme to support green investment and the greening of other investments (Green Assist).</w:t>
            </w:r>
            <w:r w:rsidRPr="2A1AD167">
              <w:rPr>
                <w:rFonts w:eastAsia="Times New Roman"/>
                <w:noProof/>
                <w:lang w:val="en-US"/>
              </w:rPr>
              <w:t xml:space="preserve"> </w:t>
            </w:r>
          </w:p>
        </w:tc>
      </w:tr>
      <w:tr w:rsidR="00E82E80" w14:paraId="32468CC9"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E25BE5" w14:textId="1ECAE9DC" w:rsidR="2A1AD167" w:rsidRDefault="2A1AD167" w:rsidP="00603157">
            <w:pPr>
              <w:spacing w:before="0" w:after="160"/>
              <w:rPr>
                <w:rFonts w:eastAsia="Times New Roman"/>
                <w:noProof/>
                <w:lang w:val="en-US"/>
              </w:rPr>
            </w:pPr>
            <w:r w:rsidRPr="2A1AD167">
              <w:rPr>
                <w:rFonts w:eastAsia="Times New Roman"/>
                <w:b/>
                <w:bCs/>
                <w:noProof/>
              </w:rPr>
              <w:t>Predecessor</w:t>
            </w:r>
            <w:r w:rsidRPr="2A1AD167">
              <w:rPr>
                <w:rFonts w:eastAsia="Times New Roman"/>
                <w:noProof/>
                <w:lang w:val="en-US"/>
              </w:rPr>
              <w:t xml:space="preserve"> </w:t>
            </w:r>
          </w:p>
          <w:p w14:paraId="07327101" w14:textId="10B65ABB" w:rsidR="2A1AD167" w:rsidRDefault="5C10216E" w:rsidP="00603157">
            <w:pPr>
              <w:spacing w:before="0" w:after="160"/>
              <w:rPr>
                <w:rFonts w:eastAsia="Times New Roman"/>
                <w:noProof/>
                <w:lang w:val="en-US"/>
              </w:rPr>
            </w:pPr>
            <w:r w:rsidRPr="238D8D6C">
              <w:rPr>
                <w:rFonts w:eastAsia="Times New Roman"/>
                <w:noProof/>
              </w:rPr>
              <w:t>The 2021-2027 LIFE programme buil</w:t>
            </w:r>
            <w:r w:rsidR="1D51C867" w:rsidRPr="238D8D6C">
              <w:rPr>
                <w:rFonts w:eastAsia="Times New Roman"/>
                <w:noProof/>
              </w:rPr>
              <w:t>ds</w:t>
            </w:r>
            <w:r w:rsidRPr="238D8D6C">
              <w:rPr>
                <w:rFonts w:eastAsia="Times New Roman"/>
                <w:noProof/>
              </w:rPr>
              <w:t xml:space="preserve"> on the strategic integrated projects first launched under the 2014-2020 LIFE programme. Compared to the previous MFF, the number of subprogrammes has increased from two (environment and climate action) to four (nature and biodiversity, circular economy and quality of life, climate change mitigation and adaptation, and clean energy transition). The ‘Clean energy transition’ subprogramme has an incorporated actions for capacity building supporting energy, efficiency and renewable energy previously funded under Horizon 2020 (until 2020).</w:t>
            </w:r>
          </w:p>
        </w:tc>
      </w:tr>
      <w:tr w:rsidR="00D25497" w14:paraId="7FE52ADB"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81207F" w14:textId="77777777" w:rsidR="00D25497" w:rsidRPr="00787960" w:rsidRDefault="00D25497" w:rsidP="00D25497">
            <w:pPr>
              <w:spacing w:before="40" w:after="40"/>
              <w:rPr>
                <w:b/>
                <w:noProof/>
                <w:lang w:eastAsia="nl-BE"/>
              </w:rPr>
            </w:pPr>
            <w:r w:rsidRPr="00787960">
              <w:rPr>
                <w:b/>
                <w:noProof/>
                <w:lang w:eastAsia="nl-BE"/>
              </w:rPr>
              <w:t>Type of recipients</w:t>
            </w:r>
          </w:p>
          <w:p w14:paraId="2BAF51E3" w14:textId="39C850F9" w:rsidR="00D25497" w:rsidRPr="00D25497" w:rsidRDefault="00D25497" w:rsidP="00D25497">
            <w:pPr>
              <w:spacing w:before="0" w:after="160"/>
              <w:rPr>
                <w:rFonts w:eastAsia="Times New Roman"/>
                <w:b/>
                <w:bCs/>
                <w:noProof/>
              </w:rPr>
            </w:pPr>
            <w:r w:rsidRPr="00787960">
              <w:rPr>
                <w:bCs/>
                <w:noProof/>
                <w:lang w:eastAsia="nl-BE"/>
              </w:rPr>
              <w:t>EU national or local authorities, private commercial organisations and private non-commercial organisations (e.g. non-governmental organisations).</w:t>
            </w:r>
          </w:p>
        </w:tc>
      </w:tr>
      <w:tr w:rsidR="00D25497" w14:paraId="3B90D50D"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D73A12" w14:textId="77777777" w:rsidR="00D25497" w:rsidRPr="00787960" w:rsidRDefault="00D25497" w:rsidP="00D25497">
            <w:pPr>
              <w:spacing w:before="40" w:after="40"/>
              <w:rPr>
                <w:b/>
                <w:noProof/>
                <w:lang w:eastAsia="nl-BE"/>
              </w:rPr>
            </w:pPr>
            <w:r w:rsidRPr="00787960">
              <w:rPr>
                <w:b/>
                <w:noProof/>
                <w:lang w:eastAsia="nl-BE"/>
              </w:rPr>
              <w:t xml:space="preserve">Forms of EU support </w:t>
            </w:r>
          </w:p>
          <w:p w14:paraId="6F9B802B" w14:textId="5FDBA7AB" w:rsidR="00D25497" w:rsidRPr="00D25497" w:rsidRDefault="00D25497" w:rsidP="00D25497">
            <w:pPr>
              <w:spacing w:before="0" w:after="160"/>
              <w:rPr>
                <w:rFonts w:eastAsia="Times New Roman"/>
                <w:b/>
                <w:bCs/>
                <w:noProof/>
              </w:rPr>
            </w:pPr>
            <w:r w:rsidRPr="00787960">
              <w:rPr>
                <w:bCs/>
                <w:noProof/>
                <w:lang w:eastAsia="nl-BE"/>
              </w:rPr>
              <w:t>Grants, procurements and prizes.</w:t>
            </w:r>
          </w:p>
        </w:tc>
      </w:tr>
      <w:tr w:rsidR="00D25497" w14:paraId="6EAC5DA8"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BC30E1" w14:textId="77777777" w:rsidR="00D25497" w:rsidRPr="00787960" w:rsidRDefault="00D25497" w:rsidP="00D25497">
            <w:pPr>
              <w:spacing w:before="40" w:after="40"/>
              <w:rPr>
                <w:b/>
                <w:noProof/>
                <w:lang w:eastAsia="nl-BE"/>
              </w:rPr>
            </w:pPr>
            <w:r w:rsidRPr="00787960">
              <w:rPr>
                <w:b/>
                <w:noProof/>
                <w:lang w:eastAsia="nl-BE"/>
              </w:rPr>
              <w:t>Third countries associated to the programme</w:t>
            </w:r>
          </w:p>
          <w:p w14:paraId="7883ADB8" w14:textId="36ABCE7A" w:rsidR="00D25497" w:rsidRPr="00D25497" w:rsidRDefault="00D25497" w:rsidP="00D25497">
            <w:pPr>
              <w:spacing w:before="0" w:after="160"/>
              <w:rPr>
                <w:rFonts w:eastAsia="Times New Roman"/>
                <w:b/>
                <w:bCs/>
                <w:noProof/>
              </w:rPr>
            </w:pPr>
            <w:r w:rsidRPr="00787960">
              <w:rPr>
                <w:bCs/>
                <w:noProof/>
                <w:lang w:eastAsia="nl-BE"/>
              </w:rPr>
              <w:t xml:space="preserve">Iceland, Moldova, North Macedonia, and Ukraine. </w:t>
            </w:r>
          </w:p>
        </w:tc>
      </w:tr>
      <w:tr w:rsidR="00D25497" w14:paraId="65FF3EFB"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1CF4A2" w14:textId="77777777" w:rsidR="00D25497" w:rsidRPr="00787960" w:rsidRDefault="00D25497" w:rsidP="00D25497">
            <w:pPr>
              <w:spacing w:before="40" w:after="40"/>
              <w:rPr>
                <w:b/>
                <w:noProof/>
                <w:lang w:eastAsia="nl-BE"/>
              </w:rPr>
            </w:pPr>
            <w:r w:rsidRPr="00787960">
              <w:rPr>
                <w:b/>
                <w:noProof/>
                <w:lang w:eastAsia="nl-BE"/>
              </w:rPr>
              <w:t>Application</w:t>
            </w:r>
          </w:p>
          <w:p w14:paraId="0E30176C" w14:textId="09E1F4A6" w:rsidR="00D25497" w:rsidRPr="00D25497" w:rsidRDefault="00D25497" w:rsidP="00D25497">
            <w:pPr>
              <w:spacing w:before="0" w:after="160"/>
              <w:rPr>
                <w:rFonts w:eastAsia="Times New Roman"/>
                <w:b/>
                <w:bCs/>
                <w:noProof/>
              </w:rPr>
            </w:pPr>
            <w:r w:rsidRPr="00787960">
              <w:rPr>
                <w:bCs/>
                <w:noProof/>
                <w:lang w:eastAsia="nl-BE"/>
              </w:rPr>
              <w:t>Calls for proposals are published on the Funding &amp; Tenders Portal, based on the annual work programme set by the European Commission. Applicants must submit their proposals electronically via the portal, following the specific guidelines and templates provided for each call.</w:t>
            </w:r>
          </w:p>
        </w:tc>
      </w:tr>
    </w:tbl>
    <w:p w14:paraId="6328D829" w14:textId="4948D4AF" w:rsidR="0AA200F7" w:rsidRDefault="0AA200F7" w:rsidP="00603157">
      <w:pPr>
        <w:spacing w:before="0" w:after="240"/>
        <w:rPr>
          <w:rFonts w:eastAsia="Times New Roman"/>
          <w:noProof/>
          <w:lang w:val="en-US"/>
        </w:rPr>
      </w:pPr>
      <w:r w:rsidRPr="2A1AD167">
        <w:rPr>
          <w:rFonts w:eastAsia="Times New Roman"/>
          <w:noProof/>
          <w:lang w:val="en-US"/>
        </w:rPr>
        <w:t xml:space="preserve"> </w:t>
      </w:r>
    </w:p>
    <w:p w14:paraId="0A22457E" w14:textId="4E0375F5" w:rsidR="0AA200F7" w:rsidRDefault="0AA200F7" w:rsidP="00603157">
      <w:pPr>
        <w:spacing w:before="0" w:after="240"/>
        <w:rPr>
          <w:rFonts w:eastAsia="Times New Roman"/>
          <w:i/>
          <w:iCs/>
          <w:noProof/>
          <w:lang w:val="en-US"/>
        </w:rPr>
      </w:pPr>
      <w:r w:rsidRPr="2A1AD167">
        <w:rPr>
          <w:rFonts w:eastAsia="Times New Roman"/>
          <w:noProof/>
          <w:lang w:val="en-US"/>
        </w:rPr>
        <w:t xml:space="preserve"> </w:t>
      </w:r>
      <w:r w:rsidRPr="2A1AD167">
        <w:rPr>
          <w:rFonts w:eastAsia="Times New Roman"/>
          <w:i/>
          <w:iCs/>
          <w:noProof/>
        </w:rPr>
        <w:t>Connecting Europe Facility (CEF)</w:t>
      </w:r>
      <w:r w:rsidRPr="2A1AD167">
        <w:rPr>
          <w:rFonts w:eastAsia="Times New Roman"/>
          <w:i/>
          <w:iCs/>
          <w:noProof/>
          <w:lang w:val="en-US"/>
        </w:rPr>
        <w:t xml:space="preserve"> </w:t>
      </w:r>
    </w:p>
    <w:tbl>
      <w:tblPr>
        <w:tblW w:w="10065" w:type="dxa"/>
        <w:tblInd w:w="-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065"/>
      </w:tblGrid>
      <w:tr w:rsidR="002E0305" w14:paraId="1851E851"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8D3659" w14:textId="7D8A9746" w:rsidR="2A1AD167" w:rsidRDefault="2A1AD167" w:rsidP="00603157">
            <w:pPr>
              <w:spacing w:before="0" w:after="160"/>
              <w:rPr>
                <w:rFonts w:eastAsia="Times New Roman"/>
                <w:noProof/>
                <w:lang w:val="en-US"/>
              </w:rPr>
            </w:pPr>
            <w:r w:rsidRPr="2A1AD167">
              <w:rPr>
                <w:rFonts w:eastAsia="Times New Roman"/>
                <w:b/>
                <w:bCs/>
                <w:noProof/>
              </w:rPr>
              <w:t>Regulation</w:t>
            </w:r>
            <w:r w:rsidRPr="2A1AD167">
              <w:rPr>
                <w:rFonts w:eastAsia="Times New Roman"/>
                <w:noProof/>
                <w:lang w:val="en-US"/>
              </w:rPr>
              <w:t xml:space="preserve"> </w:t>
            </w:r>
          </w:p>
          <w:p w14:paraId="3B158D1E" w14:textId="77777777" w:rsidR="2A1AD167" w:rsidRDefault="2A1AD167" w:rsidP="00603157">
            <w:pPr>
              <w:spacing w:before="0" w:after="160"/>
              <w:rPr>
                <w:rFonts w:eastAsia="Times New Roman"/>
                <w:noProof/>
                <w:lang w:val="en-US"/>
              </w:rPr>
            </w:pPr>
            <w:r w:rsidRPr="2A1AD167">
              <w:rPr>
                <w:rFonts w:eastAsia="Times New Roman"/>
                <w:noProof/>
              </w:rPr>
              <w:t>Regulation (EU) No 2021/1153 of the European Parliament and of the Council</w:t>
            </w:r>
            <w:r w:rsidRPr="2A1AD167">
              <w:rPr>
                <w:rFonts w:eastAsia="Times New Roman"/>
                <w:noProof/>
                <w:lang w:val="en-US"/>
              </w:rPr>
              <w:t xml:space="preserve"> </w:t>
            </w:r>
          </w:p>
          <w:p w14:paraId="55062C12" w14:textId="3A573F8F" w:rsidR="00C45CE7" w:rsidRDefault="00C45CE7" w:rsidP="00603157">
            <w:pPr>
              <w:spacing w:before="0" w:after="160"/>
              <w:rPr>
                <w:rFonts w:eastAsia="Times New Roman"/>
                <w:noProof/>
                <w:lang w:val="en-US"/>
              </w:rPr>
            </w:pPr>
            <w:r>
              <w:rPr>
                <w:rFonts w:eastAsia="Times New Roman"/>
                <w:noProof/>
                <w:lang w:val="en-US"/>
              </w:rPr>
              <w:t>Legal base: Article 172 of the treaty on the functioning of the European Union</w:t>
            </w:r>
          </w:p>
        </w:tc>
      </w:tr>
      <w:tr w:rsidR="002E0305" w14:paraId="6D971E77"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E5B562" w14:textId="76B821E0" w:rsidR="2A1AD167" w:rsidRDefault="2A1AD167" w:rsidP="00603157">
            <w:pPr>
              <w:spacing w:before="0" w:after="160"/>
              <w:rPr>
                <w:rFonts w:eastAsia="Times New Roman"/>
                <w:noProof/>
                <w:lang w:val="en-US"/>
              </w:rPr>
            </w:pPr>
            <w:r w:rsidRPr="2A1AD167">
              <w:rPr>
                <w:rFonts w:eastAsia="Times New Roman"/>
                <w:b/>
                <w:bCs/>
                <w:noProof/>
              </w:rPr>
              <w:t>Period</w:t>
            </w:r>
            <w:r w:rsidRPr="2A1AD167">
              <w:rPr>
                <w:rFonts w:eastAsia="Times New Roman"/>
                <w:noProof/>
                <w:lang w:val="en-US"/>
              </w:rPr>
              <w:t xml:space="preserve"> </w:t>
            </w:r>
          </w:p>
          <w:p w14:paraId="2AF2F1EB" w14:textId="236C9A72" w:rsidR="2A1AD167" w:rsidRDefault="2A1AD167" w:rsidP="00603157">
            <w:pPr>
              <w:spacing w:before="0" w:after="160"/>
              <w:rPr>
                <w:rFonts w:eastAsia="Times New Roman"/>
                <w:noProof/>
                <w:lang w:val="en-US"/>
              </w:rPr>
            </w:pPr>
            <w:r w:rsidRPr="2A1AD167">
              <w:rPr>
                <w:rFonts w:eastAsia="Times New Roman"/>
                <w:noProof/>
              </w:rPr>
              <w:t>2021 – 2027</w:t>
            </w:r>
            <w:r w:rsidRPr="2A1AD167">
              <w:rPr>
                <w:rFonts w:eastAsia="Times New Roman"/>
                <w:noProof/>
                <w:lang w:val="en-US"/>
              </w:rPr>
              <w:t xml:space="preserve"> </w:t>
            </w:r>
          </w:p>
        </w:tc>
      </w:tr>
      <w:tr w:rsidR="002E0305" w14:paraId="67BF3E25"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F12FA7" w14:textId="2E01B99B" w:rsidR="2A1AD167" w:rsidRDefault="2A1AD167" w:rsidP="00603157">
            <w:pPr>
              <w:spacing w:before="0" w:after="160"/>
              <w:rPr>
                <w:rFonts w:eastAsia="Times New Roman"/>
                <w:noProof/>
                <w:lang w:val="en-US"/>
              </w:rPr>
            </w:pPr>
            <w:r w:rsidRPr="2A1AD167">
              <w:rPr>
                <w:rFonts w:eastAsia="Times New Roman"/>
                <w:b/>
                <w:bCs/>
                <w:noProof/>
              </w:rPr>
              <w:t>Impact assessment</w:t>
            </w:r>
            <w:r w:rsidRPr="2A1AD167">
              <w:rPr>
                <w:rFonts w:eastAsia="Times New Roman"/>
                <w:noProof/>
                <w:lang w:val="en-US"/>
              </w:rPr>
              <w:t xml:space="preserve"> </w:t>
            </w:r>
          </w:p>
          <w:p w14:paraId="72C25546" w14:textId="57CD0844" w:rsidR="2A1AD167" w:rsidRDefault="2A1AD167" w:rsidP="00603157">
            <w:pPr>
              <w:spacing w:before="0" w:after="160"/>
              <w:rPr>
                <w:rFonts w:eastAsia="Times New Roman"/>
                <w:noProof/>
                <w:lang w:val="en-US"/>
              </w:rPr>
            </w:pPr>
            <w:r w:rsidRPr="2A1AD167">
              <w:rPr>
                <w:rFonts w:eastAsia="Times New Roman"/>
                <w:noProof/>
              </w:rPr>
              <w:t xml:space="preserve">Carried out in 2018: </w:t>
            </w:r>
            <w:hyperlink r:id="rId45" w:history="1">
              <w:r w:rsidRPr="2A1AD167">
                <w:rPr>
                  <w:rStyle w:val="Hyperlink"/>
                  <w:rFonts w:eastAsia="Times New Roman"/>
                  <w:noProof/>
                  <w:color w:val="0000FF"/>
                </w:rPr>
                <w:t>link</w:t>
              </w:r>
            </w:hyperlink>
            <w:r w:rsidRPr="2A1AD167">
              <w:rPr>
                <w:rFonts w:eastAsia="Times New Roman"/>
                <w:noProof/>
                <w:lang w:val="en-US"/>
              </w:rPr>
              <w:t xml:space="preserve"> </w:t>
            </w:r>
          </w:p>
        </w:tc>
      </w:tr>
      <w:tr w:rsidR="002E0305" w14:paraId="14364F3D"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767BAF" w14:textId="3EC2C467" w:rsidR="2A1AD167" w:rsidRDefault="2A1AD167" w:rsidP="00603157">
            <w:pPr>
              <w:spacing w:before="0" w:after="160"/>
              <w:rPr>
                <w:rFonts w:eastAsia="Times New Roman"/>
                <w:noProof/>
                <w:lang w:val="en-US"/>
              </w:rPr>
            </w:pPr>
            <w:r w:rsidRPr="2A1AD167">
              <w:rPr>
                <w:rFonts w:eastAsia="Times New Roman"/>
                <w:b/>
                <w:bCs/>
                <w:noProof/>
              </w:rPr>
              <w:t>Mid-term evaluation</w:t>
            </w:r>
            <w:r w:rsidRPr="2A1AD167">
              <w:rPr>
                <w:rFonts w:eastAsia="Times New Roman"/>
                <w:noProof/>
                <w:lang w:val="en-US"/>
              </w:rPr>
              <w:t xml:space="preserve"> </w:t>
            </w:r>
          </w:p>
          <w:p w14:paraId="23C375DD" w14:textId="68E2B97D" w:rsidR="2A1AD167" w:rsidRDefault="2A1AD167" w:rsidP="00603157">
            <w:pPr>
              <w:spacing w:before="0" w:after="160"/>
              <w:rPr>
                <w:rFonts w:eastAsia="Times New Roman"/>
                <w:noProof/>
                <w:lang w:val="en-US"/>
              </w:rPr>
            </w:pPr>
            <w:r w:rsidRPr="2A1AD167">
              <w:rPr>
                <w:rFonts w:eastAsia="Times New Roman"/>
                <w:noProof/>
              </w:rPr>
              <w:t>Not publicly available (planned for 2025)</w:t>
            </w:r>
          </w:p>
        </w:tc>
      </w:tr>
      <w:tr w:rsidR="002E0305" w:rsidRPr="00620872" w14:paraId="0CE36FFF"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62B527" w14:textId="67569F65" w:rsidR="2A1AD167" w:rsidRDefault="2A1AD167" w:rsidP="00603157">
            <w:pPr>
              <w:spacing w:before="0" w:after="160"/>
              <w:rPr>
                <w:rFonts w:eastAsia="Times New Roman"/>
                <w:noProof/>
                <w:lang w:val="da"/>
              </w:rPr>
            </w:pPr>
            <w:r w:rsidRPr="2A1AD167">
              <w:rPr>
                <w:rFonts w:eastAsia="Times New Roman"/>
                <w:b/>
                <w:bCs/>
                <w:noProof/>
                <w:lang w:val="da"/>
              </w:rPr>
              <w:t>Budget</w:t>
            </w:r>
            <w:r w:rsidRPr="2A1AD167">
              <w:rPr>
                <w:rFonts w:eastAsia="Times New Roman"/>
                <w:noProof/>
                <w:lang w:val="da"/>
              </w:rPr>
              <w:t xml:space="preserve"> </w:t>
            </w:r>
          </w:p>
          <w:p w14:paraId="1664B478" w14:textId="5107B516" w:rsidR="2A1AD167" w:rsidRDefault="2A1AD167" w:rsidP="00603157">
            <w:pPr>
              <w:spacing w:before="0" w:after="160"/>
              <w:rPr>
                <w:rFonts w:eastAsia="Times New Roman"/>
                <w:noProof/>
                <w:lang w:val="da"/>
              </w:rPr>
            </w:pPr>
            <w:r w:rsidRPr="2A1AD167">
              <w:rPr>
                <w:rFonts w:eastAsia="Times New Roman"/>
                <w:noProof/>
                <w:lang w:val="da"/>
              </w:rPr>
              <w:t xml:space="preserve">EUR 31.72 bln (budget programming 2021-2027) </w:t>
            </w:r>
            <w:r w:rsidR="008073BC">
              <w:rPr>
                <w:rFonts w:eastAsia="Times New Roman"/>
                <w:noProof/>
                <w:lang w:val="da"/>
              </w:rPr>
              <w:t xml:space="preserve">– CEF-Digital: EUR 1.8 bln, </w:t>
            </w:r>
          </w:p>
        </w:tc>
      </w:tr>
      <w:tr w:rsidR="002E0305" w14:paraId="78DC26C0"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8A1CB5" w14:textId="4CCBC23D" w:rsidR="2A1AD167" w:rsidRDefault="2A1AD167" w:rsidP="00603157">
            <w:pPr>
              <w:spacing w:before="0" w:after="160"/>
              <w:rPr>
                <w:rFonts w:eastAsia="Times New Roman"/>
                <w:noProof/>
                <w:lang w:val="en-US"/>
              </w:rPr>
            </w:pPr>
            <w:r w:rsidRPr="2A1AD167">
              <w:rPr>
                <w:rFonts w:eastAsia="Times New Roman"/>
                <w:b/>
                <w:bCs/>
                <w:noProof/>
              </w:rPr>
              <w:t>Focus</w:t>
            </w:r>
            <w:r w:rsidRPr="2A1AD167">
              <w:rPr>
                <w:rFonts w:eastAsia="Times New Roman"/>
                <w:noProof/>
                <w:lang w:val="en-US"/>
              </w:rPr>
              <w:t xml:space="preserve"> </w:t>
            </w:r>
          </w:p>
          <w:p w14:paraId="1CD58B0C" w14:textId="6C3CA8C7" w:rsidR="2A1AD167" w:rsidRDefault="2A1AD167" w:rsidP="00603157">
            <w:pPr>
              <w:spacing w:before="0" w:after="160"/>
              <w:rPr>
                <w:rFonts w:eastAsia="Times New Roman"/>
                <w:noProof/>
                <w:lang w:val="en-US"/>
              </w:rPr>
            </w:pPr>
            <w:r w:rsidRPr="2A1AD167">
              <w:rPr>
                <w:rFonts w:eastAsia="Times New Roman"/>
                <w:noProof/>
              </w:rPr>
              <w:t>CEF aims to develop and modernize trans-European networks, supporting the 2030 climate and energy targets, long-term decarbonization goals of the European Green Deal, and fostering sustainable growth and cohesion. It targets investments in the transport, energy and digital sectors.</w:t>
            </w:r>
          </w:p>
        </w:tc>
      </w:tr>
      <w:tr w:rsidR="002E0305" w14:paraId="48F0F57A"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D28EAC" w14:textId="4FFC7E42" w:rsidR="2A1AD167" w:rsidRDefault="2A1AD167" w:rsidP="00603157">
            <w:pPr>
              <w:spacing w:before="0" w:after="160"/>
              <w:rPr>
                <w:rFonts w:eastAsia="Times New Roman"/>
                <w:noProof/>
                <w:lang w:val="en-US"/>
              </w:rPr>
            </w:pPr>
            <w:r w:rsidRPr="2A1AD167">
              <w:rPr>
                <w:rFonts w:eastAsia="Times New Roman"/>
                <w:b/>
                <w:bCs/>
                <w:noProof/>
              </w:rPr>
              <w:t>Delivery mode</w:t>
            </w:r>
            <w:r w:rsidRPr="2A1AD167">
              <w:rPr>
                <w:rFonts w:eastAsia="Times New Roman"/>
                <w:noProof/>
                <w:lang w:val="en-US"/>
              </w:rPr>
              <w:t xml:space="preserve"> </w:t>
            </w:r>
          </w:p>
          <w:p w14:paraId="4DA530BE" w14:textId="25887D00" w:rsidR="2A1AD167" w:rsidRDefault="2A1AD167" w:rsidP="00603157">
            <w:pPr>
              <w:spacing w:before="0" w:after="160"/>
              <w:rPr>
                <w:rFonts w:eastAsia="Times New Roman"/>
                <w:noProof/>
                <w:lang w:val="en-US"/>
              </w:rPr>
            </w:pPr>
            <w:r w:rsidRPr="2A1AD167">
              <w:rPr>
                <w:rFonts w:eastAsia="Times New Roman"/>
                <w:noProof/>
              </w:rPr>
              <w:t>CEF is implemented under direct management by the Commission through Executive Agencies: CINEA for transport and energy and HaDEA for digital.</w:t>
            </w:r>
            <w:r w:rsidRPr="2A1AD167">
              <w:rPr>
                <w:rFonts w:eastAsia="Times New Roman"/>
                <w:noProof/>
                <w:lang w:val="en-US"/>
              </w:rPr>
              <w:t xml:space="preserve"> </w:t>
            </w:r>
          </w:p>
        </w:tc>
      </w:tr>
      <w:tr w:rsidR="002E0305" w14:paraId="1501D64B"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13D59B" w14:textId="7FA9C462" w:rsidR="2A1AD167" w:rsidRDefault="2A1AD167" w:rsidP="00603157">
            <w:pPr>
              <w:spacing w:before="0" w:after="160"/>
              <w:rPr>
                <w:rFonts w:eastAsia="Times New Roman"/>
                <w:noProof/>
                <w:lang w:val="en-US"/>
              </w:rPr>
            </w:pPr>
            <w:r w:rsidRPr="2A1AD167">
              <w:rPr>
                <w:rFonts w:eastAsia="Times New Roman"/>
                <w:b/>
                <w:bCs/>
                <w:noProof/>
              </w:rPr>
              <w:t>Predecessor</w:t>
            </w:r>
            <w:r w:rsidRPr="2A1AD167">
              <w:rPr>
                <w:rFonts w:eastAsia="Times New Roman"/>
                <w:noProof/>
                <w:lang w:val="en-US"/>
              </w:rPr>
              <w:t xml:space="preserve"> </w:t>
            </w:r>
          </w:p>
          <w:p w14:paraId="2F25FD88" w14:textId="02E07FD9" w:rsidR="2A1AD167" w:rsidRDefault="2A1AD167" w:rsidP="00603157">
            <w:pPr>
              <w:spacing w:before="0" w:after="160"/>
              <w:rPr>
                <w:rFonts w:eastAsia="Times New Roman"/>
                <w:noProof/>
                <w:lang w:val="en-US"/>
              </w:rPr>
            </w:pPr>
            <w:r w:rsidRPr="2A1AD167">
              <w:rPr>
                <w:rFonts w:eastAsia="Times New Roman"/>
                <w:noProof/>
              </w:rPr>
              <w:t>For the transport and energy sectors, the CEF continues the successful work of its 2014-2020 multiannual financial framework predecessor, with a focus on new priority actions, such as dual-use civilian-military infrastructure requirements, new energy infrastructure categories and cross-border projects in the field of renewable energy. For the digital strand, the CEF departs from the 2014-2020 CEF Telecom by being fully dedicated to supporting the deployment of high-performance digital communication infrastructures. While building on the experience gained with the previous programme, CEF Digital represents a step forward in terms of the scope, volume and intensity of the proposed EU support, in particular concerning new critical infrastructures like 5G corridors and secure backbone networks.</w:t>
            </w:r>
            <w:r w:rsidRPr="2A1AD167">
              <w:rPr>
                <w:rFonts w:eastAsia="Times New Roman"/>
                <w:noProof/>
                <w:lang w:val="en-US"/>
              </w:rPr>
              <w:t xml:space="preserve"> </w:t>
            </w:r>
          </w:p>
          <w:p w14:paraId="26ACD933" w14:textId="6C287031" w:rsidR="2A1AD167" w:rsidRDefault="2A1AD167" w:rsidP="00603157">
            <w:pPr>
              <w:spacing w:before="0" w:after="160"/>
              <w:rPr>
                <w:rFonts w:eastAsia="Times New Roman"/>
                <w:noProof/>
                <w:lang w:val="en-US"/>
              </w:rPr>
            </w:pPr>
            <w:r w:rsidRPr="2A1AD167">
              <w:rPr>
                <w:rFonts w:eastAsia="Times New Roman"/>
                <w:noProof/>
              </w:rPr>
              <w:t>Compared to its predecessors, CEF introduced improvements such as a unified management structure (delegated to Executive Agencies), common coordination, better monitoring, diversified funding rates, and shared financial instruments across transport, energy, and telecommunications.</w:t>
            </w:r>
            <w:r w:rsidRPr="2A1AD167">
              <w:rPr>
                <w:rFonts w:eastAsia="Times New Roman"/>
                <w:noProof/>
                <w:lang w:val="en-US"/>
              </w:rPr>
              <w:t xml:space="preserve"> </w:t>
            </w:r>
          </w:p>
        </w:tc>
      </w:tr>
      <w:tr w:rsidR="00782694" w:rsidRPr="00D25497" w14:paraId="3236E4B4" w14:textId="77777777" w:rsidTr="00A07D7C">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F3F874" w14:textId="77777777" w:rsidR="00693B86" w:rsidRPr="00787960" w:rsidRDefault="00693B86" w:rsidP="00693B86">
            <w:pPr>
              <w:spacing w:before="40" w:after="40"/>
              <w:rPr>
                <w:b/>
                <w:noProof/>
                <w:lang w:eastAsia="nl-BE"/>
              </w:rPr>
            </w:pPr>
            <w:r w:rsidRPr="00787960">
              <w:rPr>
                <w:b/>
                <w:noProof/>
                <w:lang w:eastAsia="nl-BE"/>
              </w:rPr>
              <w:t>Type of recipients</w:t>
            </w:r>
          </w:p>
          <w:p w14:paraId="268F3842" w14:textId="1ADCCAB9" w:rsidR="00693B86" w:rsidRPr="00693B86" w:rsidRDefault="00693B86" w:rsidP="00693B86">
            <w:pPr>
              <w:spacing w:before="0" w:after="160"/>
              <w:rPr>
                <w:rFonts w:eastAsia="Times New Roman"/>
                <w:b/>
                <w:bCs/>
                <w:noProof/>
              </w:rPr>
            </w:pPr>
            <w:r w:rsidRPr="00787960">
              <w:rPr>
                <w:bCs/>
                <w:noProof/>
                <w:lang w:eastAsia="nl-BE"/>
              </w:rPr>
              <w:t>Industry, small and medium-sized enterprises, research organisations, other public and private entities established in a Member State or in a non-EU country associated with the programme, or created under EU law, and international organisations.</w:t>
            </w:r>
          </w:p>
        </w:tc>
      </w:tr>
      <w:tr w:rsidR="00782694" w:rsidRPr="00D25497" w14:paraId="0A579B4C" w14:textId="77777777" w:rsidTr="00A07D7C">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DDC068" w14:textId="77777777" w:rsidR="00693B86" w:rsidRPr="00787960" w:rsidRDefault="00693B86" w:rsidP="00693B86">
            <w:pPr>
              <w:spacing w:before="40" w:after="40"/>
              <w:rPr>
                <w:b/>
                <w:noProof/>
                <w:lang w:eastAsia="nl-BE"/>
              </w:rPr>
            </w:pPr>
            <w:r w:rsidRPr="00787960">
              <w:rPr>
                <w:b/>
                <w:noProof/>
                <w:lang w:eastAsia="nl-BE"/>
              </w:rPr>
              <w:t xml:space="preserve">Forms of EU support </w:t>
            </w:r>
          </w:p>
          <w:p w14:paraId="482B0C7B" w14:textId="5ED3AE79" w:rsidR="00693B86" w:rsidRPr="00693B86" w:rsidRDefault="00693B86" w:rsidP="00693B86">
            <w:pPr>
              <w:spacing w:before="0" w:after="160"/>
              <w:rPr>
                <w:rFonts w:eastAsia="Times New Roman"/>
                <w:b/>
                <w:bCs/>
                <w:noProof/>
              </w:rPr>
            </w:pPr>
            <w:r w:rsidRPr="00787960">
              <w:rPr>
                <w:bCs/>
                <w:noProof/>
                <w:lang w:eastAsia="nl-BE"/>
              </w:rPr>
              <w:t>Grants and procurements. CEF may also contribute to blending operations.</w:t>
            </w:r>
          </w:p>
        </w:tc>
      </w:tr>
      <w:tr w:rsidR="00782694" w:rsidRPr="00D25497" w14:paraId="4ED21078" w14:textId="77777777" w:rsidTr="00A07D7C">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8654FD" w14:textId="77777777" w:rsidR="00693B86" w:rsidRPr="00787960" w:rsidRDefault="00693B86" w:rsidP="00693B86">
            <w:pPr>
              <w:spacing w:before="40" w:after="40"/>
              <w:rPr>
                <w:b/>
                <w:noProof/>
                <w:lang w:eastAsia="nl-BE"/>
              </w:rPr>
            </w:pPr>
            <w:r w:rsidRPr="00787960">
              <w:rPr>
                <w:b/>
                <w:noProof/>
                <w:lang w:eastAsia="nl-BE"/>
              </w:rPr>
              <w:t>Third countries associated to the programme</w:t>
            </w:r>
          </w:p>
          <w:p w14:paraId="36B376F2" w14:textId="77777777" w:rsidR="00693B86" w:rsidRPr="00787960" w:rsidRDefault="00693B86" w:rsidP="00693B86">
            <w:pPr>
              <w:spacing w:before="40" w:after="40"/>
              <w:rPr>
                <w:noProof/>
                <w:lang w:eastAsia="nl-BE"/>
              </w:rPr>
            </w:pPr>
            <w:r w:rsidRPr="00787960">
              <w:rPr>
                <w:noProof/>
                <w:lang w:eastAsia="nl-BE"/>
              </w:rPr>
              <w:t xml:space="preserve">There are four categories of countries eligible for association with the programme: </w:t>
            </w:r>
          </w:p>
          <w:p w14:paraId="1DE6EF05" w14:textId="77777777" w:rsidR="00693B86" w:rsidRPr="00787960" w:rsidRDefault="00693B86" w:rsidP="00693B86">
            <w:pPr>
              <w:pStyle w:val="ListParagraph"/>
              <w:numPr>
                <w:ilvl w:val="0"/>
                <w:numId w:val="109"/>
              </w:numPr>
              <w:spacing w:before="40" w:after="40"/>
              <w:rPr>
                <w:noProof/>
                <w:lang w:eastAsia="nl-BE"/>
              </w:rPr>
            </w:pPr>
            <w:r w:rsidRPr="00787960">
              <w:rPr>
                <w:noProof/>
                <w:lang w:eastAsia="nl-BE"/>
              </w:rPr>
              <w:t>Members of the European Free Trade Association (EFTA) which are members of the European Economic Area (EEA)</w:t>
            </w:r>
          </w:p>
          <w:p w14:paraId="3F6C42C5" w14:textId="77777777" w:rsidR="00693B86" w:rsidRPr="00787960" w:rsidRDefault="00693B86" w:rsidP="00693B86">
            <w:pPr>
              <w:pStyle w:val="ListParagraph"/>
              <w:numPr>
                <w:ilvl w:val="0"/>
                <w:numId w:val="109"/>
              </w:numPr>
              <w:spacing w:before="40" w:after="40"/>
              <w:rPr>
                <w:noProof/>
                <w:lang w:eastAsia="nl-BE"/>
              </w:rPr>
            </w:pPr>
            <w:r w:rsidRPr="00787960">
              <w:rPr>
                <w:noProof/>
                <w:lang w:eastAsia="nl-BE"/>
              </w:rPr>
              <w:t>Acceding countries, candidate countries and potential candidates</w:t>
            </w:r>
          </w:p>
          <w:p w14:paraId="374A62FF" w14:textId="77777777" w:rsidR="00693B86" w:rsidRPr="00787960" w:rsidRDefault="00693B86" w:rsidP="00693B86">
            <w:pPr>
              <w:pStyle w:val="ListParagraph"/>
              <w:numPr>
                <w:ilvl w:val="0"/>
                <w:numId w:val="109"/>
              </w:numPr>
              <w:spacing w:before="40" w:after="40"/>
              <w:rPr>
                <w:noProof/>
                <w:lang w:eastAsia="nl-BE"/>
              </w:rPr>
            </w:pPr>
            <w:r w:rsidRPr="00787960">
              <w:rPr>
                <w:noProof/>
                <w:lang w:eastAsia="nl-BE"/>
              </w:rPr>
              <w:t>European Neighbourhood Policy (ENP) countries</w:t>
            </w:r>
          </w:p>
          <w:p w14:paraId="2577729C" w14:textId="3BC4ABE6" w:rsidR="00693B86" w:rsidRPr="00693B86" w:rsidRDefault="00693B86" w:rsidP="00693B86">
            <w:pPr>
              <w:spacing w:before="0" w:after="160"/>
              <w:rPr>
                <w:rFonts w:eastAsia="Times New Roman"/>
                <w:b/>
                <w:bCs/>
                <w:noProof/>
              </w:rPr>
            </w:pPr>
            <w:r w:rsidRPr="00787960">
              <w:rPr>
                <w:noProof/>
                <w:lang w:eastAsia="nl-BE"/>
              </w:rPr>
              <w:t>Other third countries based on specific agreements.</w:t>
            </w:r>
          </w:p>
        </w:tc>
      </w:tr>
      <w:tr w:rsidR="00782694" w:rsidRPr="00D25497" w14:paraId="3196DAB0" w14:textId="77777777" w:rsidTr="00A07D7C">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0C1BF3" w14:textId="77777777" w:rsidR="00693B86" w:rsidRPr="00787960" w:rsidRDefault="00693B86" w:rsidP="00693B86">
            <w:pPr>
              <w:spacing w:before="40" w:after="40"/>
              <w:rPr>
                <w:b/>
                <w:noProof/>
                <w:lang w:eastAsia="nl-BE"/>
              </w:rPr>
            </w:pPr>
            <w:r w:rsidRPr="00787960">
              <w:rPr>
                <w:b/>
                <w:noProof/>
                <w:lang w:eastAsia="nl-BE"/>
              </w:rPr>
              <w:t>Application</w:t>
            </w:r>
          </w:p>
          <w:p w14:paraId="31994060" w14:textId="5B94CF78" w:rsidR="00693B86" w:rsidRPr="00693B86" w:rsidRDefault="00693B86" w:rsidP="00693B86">
            <w:pPr>
              <w:spacing w:before="0" w:after="160"/>
              <w:rPr>
                <w:rFonts w:eastAsia="Times New Roman"/>
                <w:b/>
                <w:bCs/>
                <w:noProof/>
              </w:rPr>
            </w:pPr>
            <w:r w:rsidRPr="00787960">
              <w:rPr>
                <w:bCs/>
                <w:noProof/>
                <w:lang w:eastAsia="nl-BE"/>
              </w:rPr>
              <w:t>Calls for proposals under CEF are defined in line with multiannual and annual Work Programmes adopted by the European Commission. These Work Programmes set the strategic priorities, available budget per sector (Transport, Energy, Digital), and detailed conditions for funding. Each call specifies the objectives, eligibility criteria, funding rates, and expected impacts, and may target specific project types (e.g. cross-border transport links, renewable energy corridors, or 5G infrastructure). Calls are launched on the EU Funding &amp; Tenders Portal and are typically open for several months. Applicants submit proposals via the EU Funding &amp; Tenders Portal, using available templates.</w:t>
            </w:r>
          </w:p>
        </w:tc>
      </w:tr>
    </w:tbl>
    <w:p w14:paraId="725C3F51" w14:textId="7E27D1AA" w:rsidR="0AA200F7" w:rsidRDefault="0AA200F7" w:rsidP="00603157">
      <w:pPr>
        <w:spacing w:before="0" w:after="240"/>
        <w:rPr>
          <w:rFonts w:eastAsia="Times New Roman"/>
          <w:noProof/>
          <w:lang w:val="en-US"/>
        </w:rPr>
      </w:pPr>
      <w:r w:rsidRPr="2A1AD167">
        <w:rPr>
          <w:rFonts w:eastAsia="Times New Roman"/>
          <w:noProof/>
          <w:lang w:val="en-US"/>
        </w:rPr>
        <w:t xml:space="preserve"> </w:t>
      </w:r>
    </w:p>
    <w:p w14:paraId="42991D70" w14:textId="7AE43B15" w:rsidR="0AA200F7" w:rsidRDefault="0AA200F7" w:rsidP="00603157">
      <w:pPr>
        <w:spacing w:before="0" w:after="240"/>
        <w:rPr>
          <w:rFonts w:eastAsia="Times New Roman"/>
          <w:i/>
          <w:iCs/>
          <w:noProof/>
          <w:lang w:val="en-US"/>
        </w:rPr>
      </w:pPr>
      <w:r w:rsidRPr="2A1AD167">
        <w:rPr>
          <w:rFonts w:eastAsia="Times New Roman"/>
          <w:i/>
          <w:iCs/>
          <w:noProof/>
        </w:rPr>
        <w:t>European Defence Fund (EDF)</w:t>
      </w:r>
      <w:r w:rsidRPr="2A1AD167">
        <w:rPr>
          <w:rFonts w:eastAsia="Times New Roman"/>
          <w:i/>
          <w:iCs/>
          <w:noProof/>
          <w:lang w:val="en-US"/>
        </w:rPr>
        <w:t xml:space="preserve"> </w:t>
      </w:r>
    </w:p>
    <w:tbl>
      <w:tblPr>
        <w:tblW w:w="10065" w:type="dxa"/>
        <w:tblInd w:w="-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065"/>
      </w:tblGrid>
      <w:tr w:rsidR="00E82E80" w14:paraId="7B494880"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39198" w14:textId="59519E74" w:rsidR="2A1AD167" w:rsidRDefault="2A1AD167" w:rsidP="00603157">
            <w:pPr>
              <w:spacing w:before="0" w:after="160"/>
              <w:rPr>
                <w:rFonts w:eastAsia="Times New Roman"/>
                <w:noProof/>
                <w:lang w:val="en-US"/>
              </w:rPr>
            </w:pPr>
            <w:r w:rsidRPr="2A1AD167">
              <w:rPr>
                <w:rFonts w:eastAsia="Times New Roman"/>
                <w:b/>
                <w:bCs/>
                <w:noProof/>
              </w:rPr>
              <w:t>Regulation</w:t>
            </w:r>
            <w:r w:rsidRPr="2A1AD167">
              <w:rPr>
                <w:rFonts w:eastAsia="Times New Roman"/>
                <w:noProof/>
                <w:lang w:val="en-US"/>
              </w:rPr>
              <w:t xml:space="preserve"> </w:t>
            </w:r>
          </w:p>
          <w:p w14:paraId="29E15CFE" w14:textId="77777777" w:rsidR="2A1AD167" w:rsidRDefault="2A1AD167" w:rsidP="00603157">
            <w:pPr>
              <w:spacing w:before="0" w:after="160"/>
              <w:rPr>
                <w:rFonts w:eastAsia="Times New Roman"/>
                <w:noProof/>
                <w:lang w:val="en-US"/>
              </w:rPr>
            </w:pPr>
            <w:r w:rsidRPr="2A1AD167">
              <w:rPr>
                <w:rFonts w:eastAsia="Times New Roman"/>
                <w:noProof/>
              </w:rPr>
              <w:t>Regulation (EU) 2021/697 of the European Parliament and of the Council</w:t>
            </w:r>
            <w:r w:rsidRPr="2A1AD167">
              <w:rPr>
                <w:rFonts w:eastAsia="Times New Roman"/>
                <w:noProof/>
                <w:lang w:val="en-US"/>
              </w:rPr>
              <w:t xml:space="preserve"> </w:t>
            </w:r>
          </w:p>
          <w:p w14:paraId="3FBE86AD" w14:textId="1650975B" w:rsidR="007842BC" w:rsidRDefault="007842BC" w:rsidP="00603157">
            <w:pPr>
              <w:spacing w:before="0" w:after="160"/>
              <w:rPr>
                <w:rFonts w:eastAsia="Times New Roman"/>
                <w:noProof/>
                <w:lang w:val="en-US"/>
              </w:rPr>
            </w:pPr>
            <w:r>
              <w:rPr>
                <w:rFonts w:eastAsia="Times New Roman"/>
                <w:noProof/>
                <w:lang w:val="en-US"/>
              </w:rPr>
              <w:t>Legal base:</w:t>
            </w:r>
            <w:r w:rsidR="009D251A" w:rsidRPr="009D251A">
              <w:rPr>
                <w:noProof/>
              </w:rPr>
              <w:t xml:space="preserve"> </w:t>
            </w:r>
            <w:r w:rsidR="009D251A" w:rsidRPr="009D251A">
              <w:rPr>
                <w:rFonts w:eastAsia="Times New Roman"/>
                <w:noProof/>
              </w:rPr>
              <w:t xml:space="preserve">Article 173(3), Article 182(4), Article 183 and the second paragraph of Article 188 </w:t>
            </w:r>
            <w:r w:rsidR="009D251A">
              <w:rPr>
                <w:rFonts w:eastAsia="Times New Roman"/>
                <w:noProof/>
                <w:lang w:val="en-US"/>
              </w:rPr>
              <w:t>of the treaty on the functioning of the European Union</w:t>
            </w:r>
            <w:r w:rsidR="009D251A" w:rsidDel="009D251A">
              <w:rPr>
                <w:rFonts w:eastAsia="Times New Roman"/>
                <w:noProof/>
                <w:lang w:val="en-US"/>
              </w:rPr>
              <w:t xml:space="preserve"> </w:t>
            </w:r>
          </w:p>
        </w:tc>
      </w:tr>
      <w:tr w:rsidR="00E82E80" w14:paraId="0B425016"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F0C7E1" w14:textId="15D8F679" w:rsidR="2A1AD167" w:rsidRDefault="2A1AD167" w:rsidP="00603157">
            <w:pPr>
              <w:spacing w:before="0" w:after="160"/>
              <w:rPr>
                <w:rFonts w:eastAsia="Times New Roman"/>
                <w:noProof/>
                <w:lang w:val="en-US"/>
              </w:rPr>
            </w:pPr>
            <w:r w:rsidRPr="2A1AD167">
              <w:rPr>
                <w:rFonts w:eastAsia="Times New Roman"/>
                <w:b/>
                <w:bCs/>
                <w:noProof/>
              </w:rPr>
              <w:t>Period</w:t>
            </w:r>
            <w:r w:rsidRPr="2A1AD167">
              <w:rPr>
                <w:rFonts w:eastAsia="Times New Roman"/>
                <w:noProof/>
                <w:lang w:val="en-US"/>
              </w:rPr>
              <w:t xml:space="preserve"> </w:t>
            </w:r>
          </w:p>
          <w:p w14:paraId="08721387" w14:textId="114F26A7" w:rsidR="2A1AD167" w:rsidRDefault="2A1AD167" w:rsidP="00603157">
            <w:pPr>
              <w:spacing w:before="0" w:after="160"/>
              <w:rPr>
                <w:rFonts w:eastAsia="Times New Roman"/>
                <w:noProof/>
                <w:lang w:val="en-US"/>
              </w:rPr>
            </w:pPr>
            <w:r w:rsidRPr="2A1AD167">
              <w:rPr>
                <w:rFonts w:eastAsia="Times New Roman"/>
                <w:noProof/>
              </w:rPr>
              <w:t>2021 – 2027</w:t>
            </w:r>
            <w:r w:rsidRPr="2A1AD167">
              <w:rPr>
                <w:rFonts w:eastAsia="Times New Roman"/>
                <w:noProof/>
                <w:lang w:val="en-US"/>
              </w:rPr>
              <w:t xml:space="preserve"> </w:t>
            </w:r>
          </w:p>
        </w:tc>
      </w:tr>
      <w:tr w:rsidR="00E82E80" w14:paraId="5652BC4D"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41FFA6" w14:textId="2AC65B0A" w:rsidR="2A1AD167" w:rsidRDefault="2A1AD167" w:rsidP="00603157">
            <w:pPr>
              <w:spacing w:before="0" w:after="160"/>
              <w:rPr>
                <w:rFonts w:eastAsia="Times New Roman"/>
                <w:noProof/>
                <w:lang w:val="en-US"/>
              </w:rPr>
            </w:pPr>
            <w:r w:rsidRPr="2A1AD167">
              <w:rPr>
                <w:rFonts w:eastAsia="Times New Roman"/>
                <w:b/>
                <w:bCs/>
                <w:noProof/>
              </w:rPr>
              <w:t>Impact assessment</w:t>
            </w:r>
            <w:r w:rsidRPr="2A1AD167">
              <w:rPr>
                <w:rFonts w:eastAsia="Times New Roman"/>
                <w:noProof/>
                <w:lang w:val="en-US"/>
              </w:rPr>
              <w:t xml:space="preserve"> </w:t>
            </w:r>
          </w:p>
          <w:p w14:paraId="422769A9" w14:textId="41A08866" w:rsidR="2A1AD167" w:rsidRDefault="2A1AD167" w:rsidP="00603157">
            <w:pPr>
              <w:spacing w:before="0" w:after="160"/>
              <w:rPr>
                <w:rFonts w:eastAsia="Times New Roman"/>
                <w:noProof/>
                <w:lang w:val="en-US"/>
              </w:rPr>
            </w:pPr>
            <w:r w:rsidRPr="2A1AD167">
              <w:rPr>
                <w:rFonts w:eastAsia="Times New Roman"/>
                <w:noProof/>
              </w:rPr>
              <w:t xml:space="preserve">Carried out in 2018: </w:t>
            </w:r>
            <w:hyperlink r:id="rId46" w:history="1">
              <w:r w:rsidRPr="2A1AD167">
                <w:rPr>
                  <w:rStyle w:val="Hyperlink"/>
                  <w:rFonts w:eastAsia="Times New Roman"/>
                  <w:noProof/>
                  <w:color w:val="0000FF"/>
                </w:rPr>
                <w:t>link</w:t>
              </w:r>
            </w:hyperlink>
            <w:r w:rsidRPr="2A1AD167">
              <w:rPr>
                <w:rFonts w:eastAsia="Times New Roman"/>
                <w:noProof/>
                <w:lang w:val="en-US"/>
              </w:rPr>
              <w:t xml:space="preserve"> </w:t>
            </w:r>
          </w:p>
        </w:tc>
      </w:tr>
      <w:tr w:rsidR="00E82E80" w14:paraId="23A51BFE"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8B2BBD" w14:textId="1A3653A3" w:rsidR="2A1AD167" w:rsidRDefault="2A1AD167" w:rsidP="00603157">
            <w:pPr>
              <w:spacing w:before="0" w:after="160"/>
              <w:rPr>
                <w:rFonts w:eastAsia="Times New Roman"/>
                <w:noProof/>
                <w:lang w:val="en-US"/>
              </w:rPr>
            </w:pPr>
            <w:r w:rsidRPr="2A1AD167">
              <w:rPr>
                <w:rFonts w:eastAsia="Times New Roman"/>
                <w:b/>
                <w:bCs/>
                <w:noProof/>
              </w:rPr>
              <w:t>Mid-term evaluation</w:t>
            </w:r>
            <w:r w:rsidRPr="2A1AD167">
              <w:rPr>
                <w:rFonts w:eastAsia="Times New Roman"/>
                <w:noProof/>
                <w:lang w:val="en-US"/>
              </w:rPr>
              <w:t xml:space="preserve"> </w:t>
            </w:r>
          </w:p>
          <w:p w14:paraId="5400B244" w14:textId="0DA845BB" w:rsidR="2A1AD167" w:rsidRDefault="2A1AD167" w:rsidP="00603157">
            <w:pPr>
              <w:spacing w:before="0" w:after="160"/>
              <w:rPr>
                <w:rFonts w:eastAsia="Times New Roman"/>
                <w:noProof/>
                <w:lang w:val="en-US"/>
              </w:rPr>
            </w:pPr>
            <w:r w:rsidRPr="2A1AD167">
              <w:rPr>
                <w:rFonts w:eastAsia="Times New Roman"/>
                <w:noProof/>
              </w:rPr>
              <w:t>Not yet published</w:t>
            </w:r>
            <w:r w:rsidRPr="2A1AD167">
              <w:rPr>
                <w:rFonts w:eastAsia="Times New Roman"/>
                <w:noProof/>
                <w:lang w:val="en-US"/>
              </w:rPr>
              <w:t xml:space="preserve"> </w:t>
            </w:r>
          </w:p>
        </w:tc>
      </w:tr>
      <w:tr w:rsidR="00E82E80" w14:paraId="4753AB65"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025A2E" w14:textId="627019FC" w:rsidR="2A1AD167" w:rsidRDefault="2A1AD167" w:rsidP="00603157">
            <w:pPr>
              <w:spacing w:before="0" w:after="160"/>
              <w:rPr>
                <w:rFonts w:eastAsia="Times New Roman"/>
                <w:noProof/>
                <w:lang w:val="en-US"/>
              </w:rPr>
            </w:pPr>
            <w:r w:rsidRPr="2A1AD167">
              <w:rPr>
                <w:rFonts w:eastAsia="Times New Roman"/>
                <w:b/>
                <w:bCs/>
                <w:noProof/>
              </w:rPr>
              <w:t>Budget</w:t>
            </w:r>
            <w:r w:rsidRPr="2A1AD167">
              <w:rPr>
                <w:rFonts w:eastAsia="Times New Roman"/>
                <w:noProof/>
                <w:lang w:val="en-US"/>
              </w:rPr>
              <w:t xml:space="preserve"> </w:t>
            </w:r>
          </w:p>
          <w:p w14:paraId="7B646849" w14:textId="6E5FE474" w:rsidR="2A1AD167" w:rsidRDefault="2A1AD167" w:rsidP="00603157">
            <w:pPr>
              <w:spacing w:before="0" w:after="160"/>
              <w:rPr>
                <w:rFonts w:eastAsia="Times New Roman"/>
                <w:noProof/>
                <w:lang w:val="en-US"/>
              </w:rPr>
            </w:pPr>
            <w:r w:rsidRPr="2A1AD167">
              <w:rPr>
                <w:rFonts w:eastAsia="Times New Roman"/>
                <w:noProof/>
              </w:rPr>
              <w:t>Around EUR 7.95 billion.</w:t>
            </w:r>
          </w:p>
        </w:tc>
      </w:tr>
      <w:tr w:rsidR="00E82E80" w14:paraId="7212842D"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7EB6D6" w14:textId="6AC2390B" w:rsidR="2A1AD167" w:rsidRDefault="2A1AD167" w:rsidP="00603157">
            <w:pPr>
              <w:spacing w:before="0" w:after="160"/>
              <w:rPr>
                <w:rFonts w:eastAsia="Times New Roman"/>
                <w:noProof/>
                <w:lang w:val="en-US"/>
              </w:rPr>
            </w:pPr>
            <w:r w:rsidRPr="2A1AD167">
              <w:rPr>
                <w:rFonts w:eastAsia="Times New Roman"/>
                <w:b/>
                <w:bCs/>
                <w:noProof/>
              </w:rPr>
              <w:t>Focus</w:t>
            </w:r>
            <w:r w:rsidRPr="2A1AD167">
              <w:rPr>
                <w:rFonts w:eastAsia="Times New Roman"/>
                <w:noProof/>
                <w:lang w:val="en-US"/>
              </w:rPr>
              <w:t xml:space="preserve"> </w:t>
            </w:r>
          </w:p>
          <w:p w14:paraId="5D99B39B" w14:textId="19267132" w:rsidR="2A1AD167" w:rsidRDefault="2A1AD167" w:rsidP="00603157">
            <w:pPr>
              <w:spacing w:before="0" w:after="160"/>
              <w:rPr>
                <w:rFonts w:eastAsia="Times New Roman"/>
                <w:noProof/>
                <w:lang w:val="en-US"/>
              </w:rPr>
            </w:pPr>
            <w:r w:rsidRPr="2A1AD167">
              <w:rPr>
                <w:rFonts w:eastAsia="Times New Roman"/>
                <w:noProof/>
              </w:rPr>
              <w:t>The European Defence Fund aims to promote cooperation between companies, including SMEs and research actors throughout the Union. It also aims to boost defence capability development through investments and to help EU companies develop innovative technologies and equipment.</w:t>
            </w:r>
            <w:r w:rsidRPr="2A1AD167">
              <w:rPr>
                <w:rFonts w:eastAsia="Times New Roman"/>
                <w:noProof/>
                <w:lang w:val="en-US"/>
              </w:rPr>
              <w:t xml:space="preserve"> </w:t>
            </w:r>
          </w:p>
          <w:p w14:paraId="2CEA8B3F" w14:textId="12A50A6D" w:rsidR="2A1AD167" w:rsidRDefault="2A1AD167" w:rsidP="00603157">
            <w:pPr>
              <w:spacing w:before="0" w:after="160"/>
              <w:rPr>
                <w:rFonts w:eastAsia="Times New Roman"/>
                <w:noProof/>
                <w:lang w:val="en-US"/>
              </w:rPr>
            </w:pPr>
            <w:r w:rsidRPr="2A1AD167">
              <w:rPr>
                <w:rFonts w:eastAsia="Times New Roman"/>
                <w:noProof/>
              </w:rPr>
              <w:t>The European Defence Fund, with its instrument EUDIS, will support the Defence Equity Facility, a component of the InvestEU initiative.</w:t>
            </w:r>
            <w:r w:rsidRPr="2A1AD167">
              <w:rPr>
                <w:rFonts w:eastAsia="Times New Roman"/>
                <w:noProof/>
                <w:lang w:val="en-US"/>
              </w:rPr>
              <w:t xml:space="preserve"> </w:t>
            </w:r>
          </w:p>
        </w:tc>
      </w:tr>
      <w:tr w:rsidR="00E82E80" w14:paraId="627148AE"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B88385" w14:textId="0E897B70" w:rsidR="2A1AD167" w:rsidRDefault="2A1AD167" w:rsidP="00603157">
            <w:pPr>
              <w:keepNext/>
              <w:keepLines/>
              <w:spacing w:before="0" w:after="160"/>
              <w:rPr>
                <w:rFonts w:eastAsia="Times New Roman"/>
                <w:noProof/>
                <w:lang w:val="en-US"/>
              </w:rPr>
            </w:pPr>
            <w:r w:rsidRPr="2A1AD167">
              <w:rPr>
                <w:rFonts w:eastAsia="Times New Roman"/>
                <w:b/>
                <w:bCs/>
                <w:noProof/>
              </w:rPr>
              <w:t>Delivery mode</w:t>
            </w:r>
            <w:r w:rsidRPr="2A1AD167">
              <w:rPr>
                <w:rFonts w:eastAsia="Times New Roman"/>
                <w:noProof/>
                <w:lang w:val="en-US"/>
              </w:rPr>
              <w:t xml:space="preserve"> </w:t>
            </w:r>
          </w:p>
          <w:p w14:paraId="381B640C" w14:textId="2E6E042F" w:rsidR="2A1AD167" w:rsidRDefault="2A1AD167" w:rsidP="00603157">
            <w:pPr>
              <w:keepNext/>
              <w:keepLines/>
              <w:spacing w:before="0" w:after="160"/>
              <w:rPr>
                <w:rFonts w:eastAsia="Times New Roman"/>
                <w:noProof/>
                <w:lang w:val="en-US"/>
              </w:rPr>
            </w:pPr>
            <w:r w:rsidRPr="2A1AD167">
              <w:rPr>
                <w:rFonts w:eastAsia="Times New Roman"/>
                <w:noProof/>
              </w:rPr>
              <w:t>Implemented directly by the Commission (DG DEFIS), which will be supported by the National Focal Points (NFPs). On an ad hoc basis, and if justified, specific initiatives may be implemented under indirect management.</w:t>
            </w:r>
            <w:r w:rsidRPr="2A1AD167">
              <w:rPr>
                <w:rFonts w:eastAsia="Times New Roman"/>
                <w:noProof/>
                <w:lang w:val="en-US"/>
              </w:rPr>
              <w:t xml:space="preserve"> </w:t>
            </w:r>
          </w:p>
        </w:tc>
      </w:tr>
      <w:tr w:rsidR="00E82E80" w14:paraId="57F0FC8F"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3A42DB" w14:textId="71E1D21A" w:rsidR="2A1AD167" w:rsidRDefault="2A1AD167" w:rsidP="00603157">
            <w:pPr>
              <w:spacing w:before="0" w:after="160"/>
              <w:rPr>
                <w:rFonts w:eastAsia="Times New Roman"/>
                <w:noProof/>
                <w:lang w:val="en-US"/>
              </w:rPr>
            </w:pPr>
            <w:r w:rsidRPr="2A1AD167">
              <w:rPr>
                <w:rFonts w:eastAsia="Times New Roman"/>
                <w:b/>
                <w:bCs/>
                <w:noProof/>
              </w:rPr>
              <w:t>Predecessor</w:t>
            </w:r>
            <w:r w:rsidRPr="2A1AD167">
              <w:rPr>
                <w:rFonts w:eastAsia="Times New Roman"/>
                <w:noProof/>
                <w:lang w:val="en-US"/>
              </w:rPr>
              <w:t xml:space="preserve"> </w:t>
            </w:r>
          </w:p>
          <w:p w14:paraId="22B08F13" w14:textId="72C06360" w:rsidR="2A1AD167" w:rsidRDefault="2A1AD167" w:rsidP="00603157">
            <w:pPr>
              <w:spacing w:before="0" w:after="160"/>
              <w:rPr>
                <w:rFonts w:eastAsia="Times New Roman"/>
                <w:noProof/>
                <w:lang w:val="en-US"/>
              </w:rPr>
            </w:pPr>
            <w:r w:rsidRPr="2A1AD167">
              <w:rPr>
                <w:rFonts w:eastAsia="Times New Roman"/>
                <w:noProof/>
              </w:rPr>
              <w:t>The EDF builds and expands on the experience acquired through two precursor programmes implemented under the 2014-2020 multiannual financial framework, namely the Preparatory Action on Defence Research (PADR) and the European Defence Industrial Development Programme (EDIDP).</w:t>
            </w:r>
            <w:r w:rsidRPr="2A1AD167">
              <w:rPr>
                <w:rFonts w:eastAsia="Times New Roman"/>
                <w:noProof/>
                <w:lang w:val="en-US"/>
              </w:rPr>
              <w:t xml:space="preserve"> </w:t>
            </w:r>
          </w:p>
          <w:p w14:paraId="2012110E" w14:textId="517FB1C4" w:rsidR="2A1AD167" w:rsidRDefault="2A1AD167" w:rsidP="00603157">
            <w:pPr>
              <w:spacing w:before="0" w:after="160"/>
              <w:rPr>
                <w:rFonts w:eastAsia="Times New Roman"/>
                <w:noProof/>
                <w:lang w:val="en-US"/>
              </w:rPr>
            </w:pPr>
            <w:r w:rsidRPr="2A1AD167">
              <w:rPr>
                <w:rFonts w:eastAsia="Times New Roman"/>
                <w:noProof/>
              </w:rPr>
              <w:t>The design of the EDF largely builds on the architecture of these two 2014-2020 programmes, but it has been implemented as one single fund. The EDF is expected to lead to better exploitation of defence research results, bridging the gap between the research and the development phases and promoting all forms of innovation, including support for disruptive defence technologies, and to encourage small and medium-sized enterprises and entities not yet involved in defence-specific research and development to participate in the programme and to be involved in cross-border cooperation.</w:t>
            </w:r>
            <w:r w:rsidRPr="2A1AD167">
              <w:rPr>
                <w:rFonts w:eastAsia="Times New Roman"/>
                <w:noProof/>
                <w:lang w:val="en-US"/>
              </w:rPr>
              <w:t xml:space="preserve"> </w:t>
            </w:r>
          </w:p>
        </w:tc>
      </w:tr>
      <w:tr w:rsidR="006D56DE" w14:paraId="2B7F1F96" w14:textId="77777777" w:rsidTr="00BC3B53">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318EE4" w14:textId="77777777" w:rsidR="006D56DE" w:rsidRPr="00787960" w:rsidRDefault="006D56DE" w:rsidP="006D56DE">
            <w:pPr>
              <w:spacing w:before="40" w:after="40"/>
              <w:rPr>
                <w:b/>
                <w:noProof/>
                <w:lang w:eastAsia="nl-BE"/>
              </w:rPr>
            </w:pPr>
            <w:r w:rsidRPr="00787960">
              <w:rPr>
                <w:b/>
                <w:noProof/>
                <w:lang w:eastAsia="nl-BE"/>
              </w:rPr>
              <w:t>Type of recipients</w:t>
            </w:r>
          </w:p>
          <w:p w14:paraId="7D43C23A" w14:textId="67752C0A" w:rsidR="006D56DE" w:rsidRPr="006D56DE" w:rsidRDefault="006D56DE" w:rsidP="006D56DE">
            <w:pPr>
              <w:spacing w:before="0" w:after="160"/>
              <w:rPr>
                <w:rFonts w:eastAsia="Times New Roman"/>
                <w:b/>
                <w:bCs/>
                <w:noProof/>
              </w:rPr>
            </w:pPr>
            <w:r w:rsidRPr="00787960">
              <w:rPr>
                <w:bCs/>
                <w:noProof/>
                <w:lang w:eastAsia="nl-BE"/>
              </w:rPr>
              <w:t>Industry consortia; companies of all sizes, including small and medium-sized enterprises and mid-caps; research centres and universities.</w:t>
            </w:r>
          </w:p>
        </w:tc>
      </w:tr>
      <w:tr w:rsidR="006D56DE" w14:paraId="67EF4E39" w14:textId="77777777" w:rsidTr="00BC3B53">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EB825A" w14:textId="77777777" w:rsidR="006D56DE" w:rsidRPr="00787960" w:rsidRDefault="006D56DE" w:rsidP="006D56DE">
            <w:pPr>
              <w:spacing w:before="40" w:after="40"/>
              <w:rPr>
                <w:b/>
                <w:noProof/>
                <w:lang w:eastAsia="nl-BE"/>
              </w:rPr>
            </w:pPr>
            <w:r w:rsidRPr="00787960">
              <w:rPr>
                <w:b/>
                <w:noProof/>
                <w:lang w:eastAsia="nl-BE"/>
              </w:rPr>
              <w:t xml:space="preserve">Forms of EU support </w:t>
            </w:r>
          </w:p>
          <w:p w14:paraId="53F48DC3" w14:textId="4B35E896" w:rsidR="006D56DE" w:rsidRPr="006D56DE" w:rsidRDefault="006D56DE" w:rsidP="006D56DE">
            <w:pPr>
              <w:spacing w:before="0" w:after="160"/>
              <w:rPr>
                <w:rFonts w:eastAsia="Times New Roman"/>
                <w:b/>
                <w:bCs/>
                <w:noProof/>
              </w:rPr>
            </w:pPr>
            <w:r w:rsidRPr="00787960">
              <w:rPr>
                <w:bCs/>
                <w:noProof/>
                <w:lang w:eastAsia="nl-BE"/>
              </w:rPr>
              <w:t>Grants.</w:t>
            </w:r>
          </w:p>
        </w:tc>
      </w:tr>
      <w:tr w:rsidR="006D56DE" w14:paraId="66010C10" w14:textId="77777777" w:rsidTr="00BC3B53">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98DF7C" w14:textId="77777777" w:rsidR="006D56DE" w:rsidRPr="00787960" w:rsidRDefault="006D56DE" w:rsidP="006D56DE">
            <w:pPr>
              <w:spacing w:before="40" w:after="40"/>
              <w:rPr>
                <w:b/>
                <w:noProof/>
                <w:lang w:eastAsia="nl-BE"/>
              </w:rPr>
            </w:pPr>
            <w:r w:rsidRPr="00787960">
              <w:rPr>
                <w:b/>
                <w:noProof/>
                <w:lang w:eastAsia="nl-BE"/>
              </w:rPr>
              <w:t>Third countries associated to the programme</w:t>
            </w:r>
          </w:p>
          <w:p w14:paraId="7C390C04" w14:textId="77777777" w:rsidR="006D56DE" w:rsidRPr="00787960" w:rsidRDefault="006D56DE" w:rsidP="006D56DE">
            <w:pPr>
              <w:spacing w:before="40" w:after="40"/>
              <w:rPr>
                <w:bCs/>
                <w:noProof/>
                <w:lang w:eastAsia="nl-BE"/>
              </w:rPr>
            </w:pPr>
            <w:r w:rsidRPr="00787960">
              <w:rPr>
                <w:bCs/>
                <w:noProof/>
                <w:lang w:eastAsia="nl-BE"/>
              </w:rPr>
              <w:t>Norway.</w:t>
            </w:r>
          </w:p>
          <w:p w14:paraId="338EEFF6" w14:textId="77777777" w:rsidR="006D56DE" w:rsidRPr="00787960" w:rsidRDefault="006D56DE" w:rsidP="006D56DE">
            <w:pPr>
              <w:spacing w:before="40" w:after="40"/>
              <w:rPr>
                <w:bCs/>
                <w:noProof/>
                <w:lang w:eastAsia="nl-BE"/>
              </w:rPr>
            </w:pPr>
            <w:r w:rsidRPr="00787960">
              <w:rPr>
                <w:bCs/>
                <w:noProof/>
                <w:lang w:eastAsia="nl-BE"/>
              </w:rPr>
              <w:t>The Fund is open to the participation of members of the European Free Trade Association which are members of the EEA.</w:t>
            </w:r>
          </w:p>
          <w:p w14:paraId="11D6517E" w14:textId="0D98899C" w:rsidR="006D56DE" w:rsidRPr="006D56DE" w:rsidRDefault="006D56DE" w:rsidP="006D56DE">
            <w:pPr>
              <w:pStyle w:val="ListParagraph"/>
              <w:numPr>
                <w:ilvl w:val="0"/>
                <w:numId w:val="109"/>
              </w:numPr>
              <w:spacing w:before="40" w:after="40"/>
              <w:rPr>
                <w:rFonts w:eastAsia="Times New Roman"/>
                <w:b/>
                <w:bCs/>
                <w:noProof/>
              </w:rPr>
            </w:pPr>
            <w:r w:rsidRPr="00787960">
              <w:rPr>
                <w:bCs/>
                <w:noProof/>
                <w:lang w:eastAsia="nl-BE"/>
              </w:rPr>
              <w:t>For the purposes of an action supported by the Fund, the recipients and subcontractors involved in an action shall not be subject to control by a non-associated third country or by a non-associated third-country entity.</w:t>
            </w:r>
          </w:p>
        </w:tc>
      </w:tr>
      <w:tr w:rsidR="006D56DE" w14:paraId="28C1516A" w14:textId="77777777" w:rsidTr="00BC3B53">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38B1FB" w14:textId="77777777" w:rsidR="006D56DE" w:rsidRPr="00787960" w:rsidRDefault="006D56DE" w:rsidP="006D56DE">
            <w:pPr>
              <w:spacing w:before="40" w:after="40"/>
              <w:rPr>
                <w:b/>
                <w:noProof/>
                <w:lang w:eastAsia="nl-BE"/>
              </w:rPr>
            </w:pPr>
            <w:r w:rsidRPr="00787960">
              <w:rPr>
                <w:b/>
                <w:noProof/>
                <w:lang w:eastAsia="nl-BE"/>
              </w:rPr>
              <w:t>Application</w:t>
            </w:r>
          </w:p>
          <w:p w14:paraId="1AE6BCD2" w14:textId="77777777" w:rsidR="006D56DE" w:rsidRPr="00787960" w:rsidRDefault="006D56DE" w:rsidP="006D56DE">
            <w:pPr>
              <w:spacing w:before="40" w:after="40"/>
              <w:rPr>
                <w:bCs/>
                <w:noProof/>
                <w:lang w:eastAsia="nl-BE"/>
              </w:rPr>
            </w:pPr>
            <w:r w:rsidRPr="00787960">
              <w:rPr>
                <w:bCs/>
                <w:noProof/>
                <w:lang w:eastAsia="nl-BE"/>
              </w:rPr>
              <w:t>Applying for funding requires the creation of a consortium consisting of at least three Member States or associated countries (currently only Norway). Calls for disruptive technologies allow smaller consortia (at least two entities from two Member States or associated countries).</w:t>
            </w:r>
          </w:p>
          <w:p w14:paraId="20E69630" w14:textId="77777777" w:rsidR="006D56DE" w:rsidRPr="00787960" w:rsidRDefault="006D56DE" w:rsidP="006D56DE">
            <w:pPr>
              <w:spacing w:before="40" w:after="40"/>
              <w:rPr>
                <w:bCs/>
                <w:noProof/>
                <w:lang w:eastAsia="nl-BE"/>
              </w:rPr>
            </w:pPr>
            <w:r w:rsidRPr="00787960">
              <w:rPr>
                <w:bCs/>
                <w:noProof/>
                <w:lang w:eastAsia="nl-BE"/>
              </w:rPr>
              <w:t xml:space="preserve">Recipients and subcontractors must be EU-based, with their executive management structure in the EU.  </w:t>
            </w:r>
          </w:p>
          <w:p w14:paraId="491C775E" w14:textId="77777777" w:rsidR="006D56DE" w:rsidRPr="00787960" w:rsidRDefault="006D56DE" w:rsidP="006D56DE">
            <w:pPr>
              <w:spacing w:before="40" w:after="40"/>
              <w:rPr>
                <w:bCs/>
                <w:noProof/>
                <w:lang w:eastAsia="nl-BE"/>
              </w:rPr>
            </w:pPr>
            <w:r w:rsidRPr="00787960">
              <w:rPr>
                <w:bCs/>
                <w:noProof/>
                <w:lang w:eastAsia="nl-BE"/>
              </w:rPr>
              <w:t xml:space="preserve">They should not be controlled by a non-associated third country, with exceptions possible through approved guarantees. Entities from non-associated third countries can participate, but under conditions ensuring the EU security and defence interests, without receiving EDF funding. </w:t>
            </w:r>
          </w:p>
          <w:p w14:paraId="0710C0CE" w14:textId="641C395F" w:rsidR="006D56DE" w:rsidRPr="006D56DE" w:rsidRDefault="006D56DE" w:rsidP="006D56DE">
            <w:pPr>
              <w:spacing w:before="0" w:after="160"/>
              <w:rPr>
                <w:rFonts w:eastAsia="Times New Roman"/>
                <w:b/>
                <w:bCs/>
                <w:noProof/>
              </w:rPr>
            </w:pPr>
            <w:r w:rsidRPr="00787960">
              <w:rPr>
                <w:bCs/>
                <w:noProof/>
                <w:lang w:eastAsia="nl-BE"/>
              </w:rPr>
              <w:t>Applicants submit proposals via the EU Funding &amp; Tenders Portal, using available templates.</w:t>
            </w:r>
          </w:p>
        </w:tc>
      </w:tr>
    </w:tbl>
    <w:p w14:paraId="7342DE3C" w14:textId="63F91C33" w:rsidR="0AA200F7" w:rsidRDefault="0AA200F7" w:rsidP="00603157">
      <w:pPr>
        <w:spacing w:before="0" w:after="240"/>
        <w:rPr>
          <w:rFonts w:eastAsia="Times New Roman"/>
          <w:noProof/>
          <w:lang w:val="en-US"/>
        </w:rPr>
      </w:pPr>
      <w:r w:rsidRPr="2A1AD167">
        <w:rPr>
          <w:rFonts w:eastAsia="Times New Roman"/>
          <w:noProof/>
          <w:lang w:val="en-US"/>
        </w:rPr>
        <w:t xml:space="preserve"> </w:t>
      </w:r>
    </w:p>
    <w:p w14:paraId="28829E1F" w14:textId="77777777" w:rsidR="00925C21" w:rsidRPr="00855EA1" w:rsidRDefault="00925C21" w:rsidP="00603157">
      <w:pPr>
        <w:spacing w:before="0" w:after="240"/>
        <w:rPr>
          <w:noProof/>
        </w:rPr>
      </w:pPr>
      <w:r w:rsidRPr="00846210">
        <w:rPr>
          <w:rFonts w:eastAsia="Times New Roman"/>
          <w:i/>
          <w:iCs/>
          <w:noProof/>
        </w:rPr>
        <w:t>European Defence Investment Programme (EDIP)</w:t>
      </w:r>
    </w:p>
    <w:tbl>
      <w:tblPr>
        <w:tblStyle w:val="TableGrid1"/>
        <w:tblW w:w="10065" w:type="dxa"/>
        <w:tblInd w:w="-434" w:type="dxa"/>
        <w:tblLook w:val="04A0" w:firstRow="1" w:lastRow="0" w:firstColumn="1" w:lastColumn="0" w:noHBand="0" w:noVBand="1"/>
      </w:tblPr>
      <w:tblGrid>
        <w:gridCol w:w="10065"/>
      </w:tblGrid>
      <w:tr w:rsidR="000727EC" w:rsidRPr="003E32FA" w14:paraId="6FC387DD" w14:textId="77777777" w:rsidTr="00603157">
        <w:tc>
          <w:tcPr>
            <w:tcW w:w="10065" w:type="dxa"/>
          </w:tcPr>
          <w:p w14:paraId="35F8E148" w14:textId="77777777" w:rsidR="00925C21" w:rsidRPr="0088247C" w:rsidRDefault="00925C21" w:rsidP="00603157">
            <w:pPr>
              <w:spacing w:before="0" w:after="160"/>
              <w:rPr>
                <w:b/>
                <w:noProof/>
                <w:lang w:val="en-IE"/>
              </w:rPr>
            </w:pPr>
            <w:r w:rsidRPr="0088247C">
              <w:rPr>
                <w:b/>
                <w:noProof/>
                <w:lang w:val="en-IE"/>
              </w:rPr>
              <w:t>Regulation</w:t>
            </w:r>
          </w:p>
          <w:p w14:paraId="27E74EB7" w14:textId="77777777" w:rsidR="00925C21" w:rsidRPr="0088247C" w:rsidRDefault="00925C21" w:rsidP="00603157">
            <w:pPr>
              <w:spacing w:before="0" w:after="160"/>
              <w:rPr>
                <w:noProof/>
                <w:lang w:val="en-IE"/>
              </w:rPr>
            </w:pPr>
            <w:r w:rsidRPr="0088247C">
              <w:rPr>
                <w:noProof/>
                <w:lang w:val="en-IE"/>
              </w:rPr>
              <w:t>Proposal for a regulation of the European Parliament and of the Council establishing the European Defence Industry Programme and a framework of measures to ensure the timely availability and supply of defence products (EDIP) (2024)</w:t>
            </w:r>
          </w:p>
        </w:tc>
      </w:tr>
      <w:tr w:rsidR="000727EC" w:rsidRPr="003E32FA" w14:paraId="0256B1B9" w14:textId="77777777" w:rsidTr="00603157">
        <w:tc>
          <w:tcPr>
            <w:tcW w:w="10065" w:type="dxa"/>
          </w:tcPr>
          <w:p w14:paraId="3B400AC4" w14:textId="77777777" w:rsidR="00925C21" w:rsidRPr="0088247C" w:rsidRDefault="00925C21" w:rsidP="00603157">
            <w:pPr>
              <w:spacing w:before="0" w:after="160"/>
              <w:rPr>
                <w:b/>
                <w:noProof/>
                <w:lang w:val="en-IE"/>
              </w:rPr>
            </w:pPr>
            <w:r w:rsidRPr="0088247C">
              <w:rPr>
                <w:b/>
                <w:noProof/>
                <w:lang w:val="en-IE"/>
              </w:rPr>
              <w:t xml:space="preserve">Period </w:t>
            </w:r>
          </w:p>
          <w:p w14:paraId="22E9E72F" w14:textId="77777777" w:rsidR="00925C21" w:rsidRPr="0088247C" w:rsidRDefault="00925C21" w:rsidP="00603157">
            <w:pPr>
              <w:spacing w:before="0" w:after="160"/>
              <w:rPr>
                <w:b/>
                <w:noProof/>
                <w:lang w:val="en-IE"/>
              </w:rPr>
            </w:pPr>
            <w:r w:rsidRPr="0088247C">
              <w:rPr>
                <w:noProof/>
                <w:lang w:val="en-IE"/>
              </w:rPr>
              <w:t>2025 – 2027</w:t>
            </w:r>
          </w:p>
        </w:tc>
      </w:tr>
      <w:tr w:rsidR="000727EC" w:rsidRPr="003E32FA" w14:paraId="5909F075" w14:textId="77777777" w:rsidTr="00603157">
        <w:tc>
          <w:tcPr>
            <w:tcW w:w="10065" w:type="dxa"/>
          </w:tcPr>
          <w:p w14:paraId="52ECA9CC" w14:textId="77777777" w:rsidR="00925C21" w:rsidRPr="0088247C" w:rsidRDefault="00925C21" w:rsidP="00603157">
            <w:pPr>
              <w:spacing w:before="0" w:after="160"/>
              <w:rPr>
                <w:b/>
                <w:noProof/>
                <w:lang w:val="en-IE"/>
              </w:rPr>
            </w:pPr>
            <w:r w:rsidRPr="0088247C">
              <w:rPr>
                <w:b/>
                <w:noProof/>
                <w:lang w:val="en-IE"/>
              </w:rPr>
              <w:t>Impact assessment</w:t>
            </w:r>
          </w:p>
          <w:p w14:paraId="5C3ADBAA" w14:textId="77777777" w:rsidR="00925C21" w:rsidRPr="0088247C" w:rsidRDefault="00925C21" w:rsidP="00603157">
            <w:pPr>
              <w:spacing w:before="0" w:after="160"/>
              <w:rPr>
                <w:noProof/>
                <w:lang w:val="en-IE"/>
              </w:rPr>
            </w:pPr>
            <w:r w:rsidRPr="0088247C">
              <w:rPr>
                <w:noProof/>
                <w:lang w:val="en-IE"/>
              </w:rPr>
              <w:t xml:space="preserve">An Impact Assessment could not be prepared due to urgency. However, SWD C(2024) 4822 accompanying the proposed regulation provides additional information concerning the proposal’s underlying rationale, sets out the problems and their drivers, identifies and evaluates the main options available to address the challenges: </w:t>
            </w:r>
            <w:hyperlink r:id="rId47" w:history="1">
              <w:r w:rsidRPr="0088247C">
                <w:rPr>
                  <w:rStyle w:val="Hyperlink"/>
                  <w:noProof/>
                  <w:lang w:val="en-IE"/>
                </w:rPr>
                <w:t>link</w:t>
              </w:r>
            </w:hyperlink>
            <w:r w:rsidRPr="0088247C">
              <w:rPr>
                <w:noProof/>
                <w:lang w:val="en-IE"/>
              </w:rPr>
              <w:t>.</w:t>
            </w:r>
          </w:p>
        </w:tc>
      </w:tr>
      <w:tr w:rsidR="000727EC" w:rsidRPr="003E32FA" w14:paraId="1EA72641" w14:textId="77777777" w:rsidTr="00603157">
        <w:tc>
          <w:tcPr>
            <w:tcW w:w="10065" w:type="dxa"/>
          </w:tcPr>
          <w:p w14:paraId="6D5AA153" w14:textId="77777777" w:rsidR="00925C21" w:rsidRPr="0088247C" w:rsidRDefault="00925C21" w:rsidP="00603157">
            <w:pPr>
              <w:spacing w:before="0" w:after="160"/>
              <w:rPr>
                <w:b/>
                <w:noProof/>
                <w:lang w:val="en-IE"/>
              </w:rPr>
            </w:pPr>
            <w:r w:rsidRPr="0088247C">
              <w:rPr>
                <w:b/>
                <w:noProof/>
                <w:lang w:val="en-IE"/>
              </w:rPr>
              <w:t>Mid-term evaluation</w:t>
            </w:r>
          </w:p>
          <w:p w14:paraId="48EBF1C6" w14:textId="77777777" w:rsidR="00925C21" w:rsidRPr="0088247C" w:rsidRDefault="00925C21" w:rsidP="00603157">
            <w:pPr>
              <w:spacing w:before="0" w:after="160"/>
              <w:rPr>
                <w:noProof/>
                <w:lang w:val="en-IE"/>
              </w:rPr>
            </w:pPr>
            <w:r w:rsidRPr="0088247C">
              <w:rPr>
                <w:noProof/>
                <w:lang w:val="en-IE"/>
              </w:rPr>
              <w:t>Not applicable.</w:t>
            </w:r>
          </w:p>
        </w:tc>
      </w:tr>
      <w:tr w:rsidR="000727EC" w:rsidRPr="003E32FA" w14:paraId="03FAF62C" w14:textId="77777777" w:rsidTr="00603157">
        <w:tc>
          <w:tcPr>
            <w:tcW w:w="10065" w:type="dxa"/>
          </w:tcPr>
          <w:p w14:paraId="0D733F9E" w14:textId="77777777" w:rsidR="00925C21" w:rsidRPr="0088247C" w:rsidRDefault="00925C21" w:rsidP="00603157">
            <w:pPr>
              <w:spacing w:before="0" w:after="160"/>
              <w:rPr>
                <w:b/>
                <w:noProof/>
                <w:lang w:val="en-IE"/>
              </w:rPr>
            </w:pPr>
            <w:r w:rsidRPr="0088247C">
              <w:rPr>
                <w:b/>
                <w:noProof/>
                <w:lang w:val="en-IE"/>
              </w:rPr>
              <w:t>Budget</w:t>
            </w:r>
          </w:p>
          <w:p w14:paraId="195C4620" w14:textId="77777777" w:rsidR="00925C21" w:rsidRPr="0088247C" w:rsidRDefault="00925C21" w:rsidP="00603157">
            <w:pPr>
              <w:spacing w:before="0" w:after="160"/>
              <w:rPr>
                <w:noProof/>
                <w:lang w:val="en-IE"/>
              </w:rPr>
            </w:pPr>
            <w:r w:rsidRPr="0088247C">
              <w:rPr>
                <w:noProof/>
                <w:lang w:val="en-IE"/>
              </w:rPr>
              <w:t>EUR 1.5 billion.</w:t>
            </w:r>
          </w:p>
        </w:tc>
      </w:tr>
      <w:tr w:rsidR="000727EC" w:rsidRPr="003E32FA" w14:paraId="17DB2293" w14:textId="77777777" w:rsidTr="00603157">
        <w:tc>
          <w:tcPr>
            <w:tcW w:w="10065" w:type="dxa"/>
          </w:tcPr>
          <w:p w14:paraId="4DC2A078" w14:textId="77777777" w:rsidR="00925C21" w:rsidRPr="0088247C" w:rsidRDefault="00925C21" w:rsidP="00603157">
            <w:pPr>
              <w:spacing w:before="0" w:after="160"/>
              <w:rPr>
                <w:b/>
                <w:noProof/>
                <w:lang w:val="en-IE"/>
              </w:rPr>
            </w:pPr>
            <w:r w:rsidRPr="0088247C">
              <w:rPr>
                <w:b/>
                <w:noProof/>
                <w:lang w:val="en-IE"/>
              </w:rPr>
              <w:t>Focus</w:t>
            </w:r>
          </w:p>
          <w:p w14:paraId="3E92F50F" w14:textId="77777777" w:rsidR="00925C21" w:rsidRPr="0088247C" w:rsidRDefault="00925C21" w:rsidP="00603157">
            <w:pPr>
              <w:spacing w:before="0" w:after="160"/>
              <w:rPr>
                <w:noProof/>
                <w:lang w:val="en-IE"/>
              </w:rPr>
            </w:pPr>
            <w:r w:rsidRPr="0088247C">
              <w:rPr>
                <w:noProof/>
                <w:lang w:val="en-IE"/>
              </w:rPr>
              <w:t xml:space="preserve">In March 2024, the European Commission has issued a proposal for a Regulation establishing the European Defence Investment Programme (EDIP) and a framework of measures to ensure the timely availability and supply of defence products. EDIP’s aim is to start implementing concrete measures identified in the 2024 European Defence Industrial Strategy (EDIS). </w:t>
            </w:r>
          </w:p>
          <w:p w14:paraId="26D015A5" w14:textId="77777777" w:rsidR="00925C21" w:rsidRPr="0088247C" w:rsidRDefault="00925C21" w:rsidP="00603157">
            <w:pPr>
              <w:spacing w:before="0" w:after="160"/>
              <w:rPr>
                <w:noProof/>
                <w:lang w:val="en-IE"/>
              </w:rPr>
            </w:pPr>
            <w:r w:rsidRPr="0088247C">
              <w:rPr>
                <w:noProof/>
                <w:lang w:val="en-IE"/>
              </w:rPr>
              <w:t>EDIP looks to: provide financial support with EUR 1.5 billion from the EU budget over the period 2025-2027; strengthen the competitiveness and responsiveness of the European Defence Technology Industrial Base; ensure the availability and supply of defence products; promote cooperation with Ukraine on the recovery, reconstruction and modernisation of its defence industry. EDIP may also include the establishment of a Fund for the acceleration of defence supply chain transformation (‘FAST’). FAST would leverage, de-risk and speed-up investments needed to increase the defence manufacturing capacities of EU-based SMEs and small mid-caps, in the form of a blending operation offering support in the form of debt and/or equity.</w:t>
            </w:r>
          </w:p>
        </w:tc>
      </w:tr>
      <w:tr w:rsidR="000727EC" w:rsidRPr="003E32FA" w14:paraId="4E19623C" w14:textId="77777777" w:rsidTr="00603157">
        <w:tc>
          <w:tcPr>
            <w:tcW w:w="10065" w:type="dxa"/>
          </w:tcPr>
          <w:p w14:paraId="4CCA2DC1" w14:textId="77777777" w:rsidR="00925C21" w:rsidRPr="0088247C" w:rsidRDefault="00925C21" w:rsidP="00603157">
            <w:pPr>
              <w:spacing w:before="0" w:after="160"/>
              <w:rPr>
                <w:b/>
                <w:noProof/>
                <w:lang w:val="en-IE"/>
              </w:rPr>
            </w:pPr>
            <w:r w:rsidRPr="0088247C">
              <w:rPr>
                <w:b/>
                <w:noProof/>
                <w:lang w:val="en-IE"/>
              </w:rPr>
              <w:t>Delivery mode</w:t>
            </w:r>
          </w:p>
          <w:p w14:paraId="034A227A" w14:textId="77777777" w:rsidR="00925C21" w:rsidRPr="0088247C" w:rsidRDefault="00925C21" w:rsidP="00603157">
            <w:pPr>
              <w:spacing w:before="0" w:after="160"/>
              <w:rPr>
                <w:noProof/>
                <w:highlight w:val="yellow"/>
                <w:lang w:val="en-IE"/>
              </w:rPr>
            </w:pPr>
            <w:r w:rsidRPr="0088247C">
              <w:rPr>
                <w:noProof/>
                <w:lang w:val="en-IE"/>
              </w:rPr>
              <w:t>EDIP shall be implemented in direct management by the European Commission and in indirect management (especially for FAST, building inter alia on the experience of the defence equity facility, established in the context of the European Defence Fund as an InvestEU blending operation).</w:t>
            </w:r>
          </w:p>
        </w:tc>
      </w:tr>
      <w:tr w:rsidR="000727EC" w:rsidRPr="003E32FA" w14:paraId="15C5C28B" w14:textId="77777777" w:rsidTr="00603157">
        <w:tc>
          <w:tcPr>
            <w:tcW w:w="10065" w:type="dxa"/>
          </w:tcPr>
          <w:p w14:paraId="3EDA6F51" w14:textId="77777777" w:rsidR="00925C21" w:rsidRPr="0088247C" w:rsidRDefault="00925C21" w:rsidP="00603157">
            <w:pPr>
              <w:spacing w:before="0" w:after="160"/>
              <w:rPr>
                <w:b/>
                <w:noProof/>
                <w:lang w:val="en-IE"/>
              </w:rPr>
            </w:pPr>
            <w:r w:rsidRPr="0088247C">
              <w:rPr>
                <w:b/>
                <w:noProof/>
                <w:lang w:val="en-IE"/>
              </w:rPr>
              <w:t>Predecessor</w:t>
            </w:r>
          </w:p>
          <w:p w14:paraId="5CED46E6" w14:textId="77777777" w:rsidR="00925C21" w:rsidRPr="0088247C" w:rsidRDefault="00925C21" w:rsidP="00603157">
            <w:pPr>
              <w:spacing w:before="0" w:after="160"/>
              <w:rPr>
                <w:noProof/>
                <w:lang w:val="en-IE"/>
              </w:rPr>
            </w:pPr>
            <w:r w:rsidRPr="0088247C">
              <w:rPr>
                <w:noProof/>
                <w:lang w:val="en-IE"/>
              </w:rPr>
              <w:t>EDIP aims to bridge the gap after the ending of the short-term emergency measures such as ASAP and EDIRPA and ensure the EU’s defence industrial readiness for the future. ASAP, adopted by co-legislators in July 2023, will end on 30 June 2025. EDIRPA, adopted by co-legislators in October 2023, will end on 31 December 2025.</w:t>
            </w:r>
          </w:p>
        </w:tc>
      </w:tr>
      <w:tr w:rsidR="000D3323" w14:paraId="2B8A400B" w14:textId="77777777" w:rsidTr="00787960">
        <w:tc>
          <w:tcPr>
            <w:tcW w:w="0" w:type="dxa"/>
          </w:tcPr>
          <w:p w14:paraId="30ABBCE7" w14:textId="77777777" w:rsidR="000D3323" w:rsidRPr="00787960" w:rsidRDefault="000D3323" w:rsidP="000D3323">
            <w:pPr>
              <w:spacing w:before="40" w:after="40"/>
              <w:rPr>
                <w:b/>
                <w:noProof/>
                <w:lang w:val="en-GB"/>
              </w:rPr>
            </w:pPr>
            <w:r w:rsidRPr="004F264E">
              <w:rPr>
                <w:b/>
                <w:noProof/>
                <w:lang w:val="en-IE"/>
              </w:rPr>
              <w:t>Type of recipients</w:t>
            </w:r>
          </w:p>
          <w:p w14:paraId="37DCC54F" w14:textId="477AB5E5" w:rsidR="000D3323" w:rsidRPr="00787960" w:rsidRDefault="000D3323" w:rsidP="000D3323">
            <w:pPr>
              <w:spacing w:before="40" w:after="40"/>
              <w:rPr>
                <w:b/>
                <w:noProof/>
                <w:lang w:val="en-GB"/>
              </w:rPr>
            </w:pPr>
            <w:r w:rsidRPr="004F264E">
              <w:rPr>
                <w:noProof/>
                <w:lang w:val="en-IE"/>
              </w:rPr>
              <w:t>Potential applicants are: national procurement authorities, the European Defence Agency or an international organisation designated to conduct a common procurement (for the follow up to EDIRPA); Producers of</w:t>
            </w:r>
            <w:r w:rsidRPr="000D3323">
              <w:rPr>
                <w:noProof/>
                <w:lang w:val="en-GB"/>
              </w:rPr>
              <w:t xml:space="preserve"> </w:t>
            </w:r>
            <w:r w:rsidRPr="004F264E">
              <w:rPr>
                <w:noProof/>
                <w:lang w:val="en-IE"/>
              </w:rPr>
              <w:t>ammunition and missiles in the EU, as well as their supply chain (for the follow up to ASAP).</w:t>
            </w:r>
          </w:p>
        </w:tc>
      </w:tr>
      <w:tr w:rsidR="000D3323" w14:paraId="6DDC0F50" w14:textId="77777777" w:rsidTr="00787960">
        <w:tc>
          <w:tcPr>
            <w:tcW w:w="0" w:type="dxa"/>
          </w:tcPr>
          <w:p w14:paraId="49A0F313" w14:textId="77777777" w:rsidR="000D3323" w:rsidRPr="00787960" w:rsidRDefault="000D3323" w:rsidP="000D3323">
            <w:pPr>
              <w:spacing w:before="40" w:after="40"/>
              <w:rPr>
                <w:b/>
                <w:noProof/>
                <w:lang w:val="en-GB"/>
              </w:rPr>
            </w:pPr>
            <w:r w:rsidRPr="004F264E">
              <w:rPr>
                <w:b/>
                <w:noProof/>
                <w:lang w:val="en-IE"/>
              </w:rPr>
              <w:t xml:space="preserve">Forms of EU support </w:t>
            </w:r>
          </w:p>
          <w:p w14:paraId="123A9E6A" w14:textId="3E99F46C" w:rsidR="000D3323" w:rsidRPr="00787960" w:rsidRDefault="000D3323" w:rsidP="000D3323">
            <w:pPr>
              <w:spacing w:before="40" w:after="40"/>
              <w:rPr>
                <w:b/>
                <w:noProof/>
                <w:lang w:val="en-GB"/>
              </w:rPr>
            </w:pPr>
            <w:r w:rsidRPr="004F264E">
              <w:rPr>
                <w:noProof/>
                <w:lang w:val="en-IE"/>
              </w:rPr>
              <w:t>Grants, prizes, procurement, and financial instruments within blending operations.</w:t>
            </w:r>
          </w:p>
        </w:tc>
      </w:tr>
      <w:tr w:rsidR="000D3323" w14:paraId="1EE878A3" w14:textId="77777777" w:rsidTr="00787960">
        <w:tc>
          <w:tcPr>
            <w:tcW w:w="0" w:type="dxa"/>
          </w:tcPr>
          <w:p w14:paraId="3342A8E1" w14:textId="77777777" w:rsidR="000D3323" w:rsidRPr="00787960" w:rsidRDefault="000D3323" w:rsidP="000D3323">
            <w:pPr>
              <w:spacing w:before="40" w:after="40"/>
              <w:rPr>
                <w:b/>
                <w:noProof/>
                <w:lang w:val="en-GB"/>
              </w:rPr>
            </w:pPr>
            <w:r w:rsidRPr="004F264E">
              <w:rPr>
                <w:b/>
                <w:noProof/>
                <w:lang w:val="en-IE"/>
              </w:rPr>
              <w:t>Third countries associated to the programme</w:t>
            </w:r>
          </w:p>
          <w:p w14:paraId="2BF2DBD6" w14:textId="1F558AD2" w:rsidR="000D3323" w:rsidRPr="00787960" w:rsidRDefault="000D3323" w:rsidP="000D3323">
            <w:pPr>
              <w:spacing w:before="40" w:after="40"/>
              <w:rPr>
                <w:bCs/>
                <w:noProof/>
                <w:lang w:val="en-GB"/>
              </w:rPr>
            </w:pPr>
            <w:r w:rsidRPr="004F264E">
              <w:rPr>
                <w:noProof/>
                <w:lang w:val="en-IE"/>
              </w:rPr>
              <w:t>The Fund shall be open to the participation of members of the European Free Trade Association which are members of the EEA.</w:t>
            </w:r>
          </w:p>
        </w:tc>
      </w:tr>
      <w:tr w:rsidR="000D3323" w14:paraId="3F8AE33D" w14:textId="77777777" w:rsidTr="00787960">
        <w:tc>
          <w:tcPr>
            <w:tcW w:w="0" w:type="dxa"/>
          </w:tcPr>
          <w:p w14:paraId="2FBB4DEA" w14:textId="77777777" w:rsidR="000D3323" w:rsidRPr="00787960" w:rsidRDefault="000D3323" w:rsidP="000D3323">
            <w:pPr>
              <w:spacing w:before="40" w:after="40"/>
              <w:rPr>
                <w:b/>
                <w:noProof/>
                <w:lang w:val="en-GB"/>
              </w:rPr>
            </w:pPr>
            <w:r w:rsidRPr="004F264E">
              <w:rPr>
                <w:b/>
                <w:noProof/>
                <w:lang w:val="en-IE"/>
              </w:rPr>
              <w:t>Application</w:t>
            </w:r>
          </w:p>
          <w:p w14:paraId="67E10BB4" w14:textId="3FA8E99E" w:rsidR="000D3323" w:rsidRPr="00787960" w:rsidRDefault="000D3323" w:rsidP="000D3323">
            <w:pPr>
              <w:spacing w:before="40" w:after="40"/>
              <w:rPr>
                <w:b/>
                <w:noProof/>
                <w:lang w:val="en-GB"/>
              </w:rPr>
            </w:pPr>
            <w:r w:rsidRPr="004F264E">
              <w:rPr>
                <w:noProof/>
                <w:lang w:val="en-IE"/>
              </w:rPr>
              <w:t>Calls for proposals will be published on the EU Funding and Tenders Portal. Applicants must submit their proposals electronically via the portal, following the specific guidelines and templates provided for each call.</w:t>
            </w:r>
          </w:p>
        </w:tc>
      </w:tr>
    </w:tbl>
    <w:p w14:paraId="6255F79F" w14:textId="398915C2" w:rsidR="0AA200F7" w:rsidRDefault="0AA200F7" w:rsidP="00603157">
      <w:pPr>
        <w:spacing w:before="0" w:after="240"/>
        <w:rPr>
          <w:rFonts w:eastAsia="Times New Roman"/>
          <w:noProof/>
          <w:lang w:val="en-US"/>
        </w:rPr>
      </w:pPr>
    </w:p>
    <w:p w14:paraId="68BA0F24" w14:textId="6480BAA1" w:rsidR="0AA200F7" w:rsidRDefault="0AA200F7" w:rsidP="00603157">
      <w:pPr>
        <w:spacing w:before="0" w:after="240"/>
        <w:rPr>
          <w:rFonts w:eastAsia="Times New Roman"/>
          <w:i/>
          <w:iCs/>
          <w:noProof/>
          <w:lang w:val="en-US"/>
        </w:rPr>
      </w:pPr>
      <w:r w:rsidRPr="2A1AD167">
        <w:rPr>
          <w:rFonts w:eastAsia="Times New Roman"/>
          <w:i/>
          <w:iCs/>
          <w:noProof/>
        </w:rPr>
        <w:t>EU Defence Industry Reinforcement Through Common Procurement Act (EDIRPA)</w:t>
      </w:r>
      <w:r w:rsidRPr="2A1AD167">
        <w:rPr>
          <w:rFonts w:eastAsia="Times New Roman"/>
          <w:i/>
          <w:iCs/>
          <w:noProof/>
          <w:lang w:val="en-US"/>
        </w:rPr>
        <w:t xml:space="preserve"> </w:t>
      </w:r>
    </w:p>
    <w:tbl>
      <w:tblPr>
        <w:tblW w:w="10065" w:type="dxa"/>
        <w:tblInd w:w="-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065"/>
      </w:tblGrid>
      <w:tr w:rsidR="0073733B" w14:paraId="6504A38F"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FB08E0" w14:textId="48758312" w:rsidR="2A1AD167" w:rsidRDefault="2A1AD167" w:rsidP="00603157">
            <w:pPr>
              <w:spacing w:before="0" w:after="160"/>
              <w:rPr>
                <w:rFonts w:eastAsia="Times New Roman"/>
                <w:noProof/>
                <w:lang w:val="en-US"/>
              </w:rPr>
            </w:pPr>
            <w:r w:rsidRPr="2A1AD167">
              <w:rPr>
                <w:rFonts w:eastAsia="Times New Roman"/>
                <w:b/>
                <w:bCs/>
                <w:noProof/>
              </w:rPr>
              <w:t>Regulation</w:t>
            </w:r>
            <w:r w:rsidRPr="2A1AD167">
              <w:rPr>
                <w:rFonts w:eastAsia="Times New Roman"/>
                <w:noProof/>
                <w:lang w:val="en-US"/>
              </w:rPr>
              <w:t xml:space="preserve"> </w:t>
            </w:r>
          </w:p>
          <w:p w14:paraId="255B6B48" w14:textId="77777777" w:rsidR="2A1AD167" w:rsidRDefault="2A1AD167" w:rsidP="00603157">
            <w:pPr>
              <w:spacing w:before="0" w:after="160"/>
              <w:rPr>
                <w:rFonts w:eastAsia="Times New Roman"/>
                <w:noProof/>
                <w:lang w:val="en-US"/>
              </w:rPr>
            </w:pPr>
            <w:r w:rsidRPr="2A1AD167">
              <w:rPr>
                <w:rFonts w:eastAsia="Times New Roman"/>
                <w:noProof/>
              </w:rPr>
              <w:t>Regulation (EU) 2023/2418 of the European Parliament and of the Council of 18 October 2023 on establishing an instrument for the reinforcement of the European defence industry through common procurement (EDIRPA)</w:t>
            </w:r>
            <w:r w:rsidRPr="2A1AD167">
              <w:rPr>
                <w:rFonts w:eastAsia="Times New Roman"/>
                <w:noProof/>
                <w:lang w:val="en-US"/>
              </w:rPr>
              <w:t xml:space="preserve"> </w:t>
            </w:r>
          </w:p>
          <w:p w14:paraId="575DC932" w14:textId="3B36FF98" w:rsidR="007842BC" w:rsidRDefault="007842BC" w:rsidP="00603157">
            <w:pPr>
              <w:spacing w:before="0" w:after="160"/>
              <w:rPr>
                <w:rFonts w:eastAsia="Times New Roman"/>
                <w:noProof/>
                <w:lang w:val="en-US"/>
              </w:rPr>
            </w:pPr>
            <w:r>
              <w:rPr>
                <w:rFonts w:eastAsia="Times New Roman"/>
                <w:noProof/>
                <w:lang w:val="en-US"/>
              </w:rPr>
              <w:t xml:space="preserve">Legal base: </w:t>
            </w:r>
            <w:r w:rsidR="00727F6D" w:rsidRPr="00727F6D">
              <w:rPr>
                <w:rFonts w:eastAsia="Times New Roman"/>
                <w:noProof/>
                <w:lang w:val="en-IE"/>
              </w:rPr>
              <w:t>Article 173(3) TFEU</w:t>
            </w:r>
            <w:r w:rsidR="00727F6D">
              <w:rPr>
                <w:rFonts w:eastAsia="Times New Roman"/>
                <w:noProof/>
                <w:lang w:val="en-IE"/>
              </w:rPr>
              <w:t xml:space="preserve"> of the Treaty on the Functioning of the EU</w:t>
            </w:r>
          </w:p>
        </w:tc>
      </w:tr>
      <w:tr w:rsidR="0073733B" w14:paraId="11021521"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84D3CA" w14:textId="6C674FF5" w:rsidR="2A1AD167" w:rsidRDefault="2A1AD167" w:rsidP="00603157">
            <w:pPr>
              <w:spacing w:before="0" w:after="160"/>
              <w:rPr>
                <w:rFonts w:eastAsia="Times New Roman"/>
                <w:noProof/>
                <w:lang w:val="en-US"/>
              </w:rPr>
            </w:pPr>
            <w:r w:rsidRPr="2A1AD167">
              <w:rPr>
                <w:rFonts w:eastAsia="Times New Roman"/>
                <w:b/>
                <w:bCs/>
                <w:noProof/>
              </w:rPr>
              <w:t>Period</w:t>
            </w:r>
            <w:r w:rsidRPr="2A1AD167">
              <w:rPr>
                <w:rFonts w:eastAsia="Times New Roman"/>
                <w:noProof/>
                <w:lang w:val="en-US"/>
              </w:rPr>
              <w:t xml:space="preserve"> </w:t>
            </w:r>
          </w:p>
          <w:p w14:paraId="077B793A" w14:textId="634164A0" w:rsidR="2A1AD167" w:rsidRDefault="2A1AD167" w:rsidP="00603157">
            <w:pPr>
              <w:spacing w:before="0" w:after="160"/>
              <w:rPr>
                <w:rFonts w:eastAsia="Times New Roman"/>
                <w:noProof/>
                <w:lang w:val="en-US"/>
              </w:rPr>
            </w:pPr>
            <w:r w:rsidRPr="2A1AD167">
              <w:rPr>
                <w:rFonts w:eastAsia="Times New Roman"/>
                <w:noProof/>
              </w:rPr>
              <w:t>2021 – 2027, although the fund was set up in 2023 and will last until 2025</w:t>
            </w:r>
            <w:r w:rsidRPr="2A1AD167">
              <w:rPr>
                <w:rFonts w:eastAsia="Times New Roman"/>
                <w:noProof/>
                <w:lang w:val="en-US"/>
              </w:rPr>
              <w:t xml:space="preserve"> </w:t>
            </w:r>
          </w:p>
        </w:tc>
      </w:tr>
      <w:tr w:rsidR="0073733B" w14:paraId="34A65081"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E17BBC" w14:textId="0DB2953A" w:rsidR="2A1AD167" w:rsidRDefault="2A1AD167" w:rsidP="00603157">
            <w:pPr>
              <w:spacing w:before="0" w:after="160"/>
              <w:rPr>
                <w:rFonts w:eastAsia="Times New Roman"/>
                <w:noProof/>
                <w:lang w:val="en-US"/>
              </w:rPr>
            </w:pPr>
            <w:r w:rsidRPr="2A1AD167">
              <w:rPr>
                <w:rFonts w:eastAsia="Times New Roman"/>
                <w:b/>
                <w:bCs/>
                <w:noProof/>
              </w:rPr>
              <w:t>Impact assessment</w:t>
            </w:r>
            <w:r w:rsidRPr="2A1AD167">
              <w:rPr>
                <w:rFonts w:eastAsia="Times New Roman"/>
                <w:noProof/>
                <w:lang w:val="en-US"/>
              </w:rPr>
              <w:t xml:space="preserve"> </w:t>
            </w:r>
          </w:p>
          <w:p w14:paraId="7A50AA34" w14:textId="271007E4" w:rsidR="2A1AD167" w:rsidRDefault="2A1AD167" w:rsidP="00603157">
            <w:pPr>
              <w:spacing w:before="0" w:after="160"/>
              <w:rPr>
                <w:rFonts w:eastAsia="Times New Roman"/>
                <w:noProof/>
                <w:lang w:val="en-US"/>
              </w:rPr>
            </w:pPr>
            <w:r w:rsidRPr="2A1AD167">
              <w:rPr>
                <w:rFonts w:eastAsia="Times New Roman"/>
                <w:noProof/>
              </w:rPr>
              <w:t>No impact assessment carried out.</w:t>
            </w:r>
            <w:r w:rsidRPr="2A1AD167">
              <w:rPr>
                <w:rFonts w:eastAsia="Times New Roman"/>
                <w:noProof/>
                <w:lang w:val="en-US"/>
              </w:rPr>
              <w:t xml:space="preserve"> </w:t>
            </w:r>
          </w:p>
        </w:tc>
      </w:tr>
      <w:tr w:rsidR="0073733B" w14:paraId="05159242"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BD3810" w14:textId="77DEBE57" w:rsidR="2A1AD167" w:rsidRDefault="2A1AD167" w:rsidP="00603157">
            <w:pPr>
              <w:spacing w:before="0" w:after="160"/>
              <w:rPr>
                <w:rFonts w:eastAsia="Times New Roman"/>
                <w:noProof/>
                <w:lang w:val="en-US"/>
              </w:rPr>
            </w:pPr>
            <w:r w:rsidRPr="2A1AD167">
              <w:rPr>
                <w:rFonts w:eastAsia="Times New Roman"/>
                <w:b/>
                <w:bCs/>
                <w:noProof/>
              </w:rPr>
              <w:t>Mid-term evaluation</w:t>
            </w:r>
            <w:r w:rsidRPr="2A1AD167">
              <w:rPr>
                <w:rFonts w:eastAsia="Times New Roman"/>
                <w:noProof/>
                <w:lang w:val="en-US"/>
              </w:rPr>
              <w:t xml:space="preserve"> </w:t>
            </w:r>
          </w:p>
          <w:p w14:paraId="219C3004" w14:textId="2AC5034B" w:rsidR="2A1AD167" w:rsidRDefault="2A1AD167" w:rsidP="00603157">
            <w:pPr>
              <w:spacing w:before="0" w:after="160"/>
              <w:rPr>
                <w:rFonts w:eastAsia="Times New Roman"/>
                <w:noProof/>
                <w:lang w:val="en-US"/>
              </w:rPr>
            </w:pPr>
            <w:r w:rsidRPr="2A1AD167">
              <w:rPr>
                <w:rFonts w:eastAsia="Times New Roman"/>
                <w:noProof/>
              </w:rPr>
              <w:t>By 31 December 2026, the Commission shall draw up a report evaluating the impact and effectiveness of the actions taken under the Instrument (the ‘evaluation report’) and shall submit it to the European Parliament and to the Council.</w:t>
            </w:r>
            <w:r w:rsidRPr="2A1AD167">
              <w:rPr>
                <w:rFonts w:eastAsia="Times New Roman"/>
                <w:noProof/>
                <w:lang w:val="en-US"/>
              </w:rPr>
              <w:t xml:space="preserve"> </w:t>
            </w:r>
          </w:p>
        </w:tc>
      </w:tr>
      <w:tr w:rsidR="0073733B" w14:paraId="11CE9830"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995073" w14:textId="211A19D4" w:rsidR="2A1AD167" w:rsidRDefault="2A1AD167" w:rsidP="00603157">
            <w:pPr>
              <w:spacing w:before="0" w:after="160"/>
              <w:rPr>
                <w:rFonts w:eastAsia="Times New Roman"/>
                <w:noProof/>
                <w:lang w:val="en-US"/>
              </w:rPr>
            </w:pPr>
            <w:r w:rsidRPr="2A1AD167">
              <w:rPr>
                <w:rFonts w:eastAsia="Times New Roman"/>
                <w:b/>
                <w:bCs/>
                <w:noProof/>
              </w:rPr>
              <w:t>Budget</w:t>
            </w:r>
            <w:r w:rsidRPr="2A1AD167">
              <w:rPr>
                <w:rFonts w:eastAsia="Times New Roman"/>
                <w:noProof/>
                <w:lang w:val="en-US"/>
              </w:rPr>
              <w:t xml:space="preserve"> </w:t>
            </w:r>
          </w:p>
          <w:p w14:paraId="5D3D007E" w14:textId="7C5BEFD9" w:rsidR="2A1AD167" w:rsidRDefault="2A1AD167" w:rsidP="00603157">
            <w:pPr>
              <w:spacing w:before="0" w:after="160"/>
              <w:rPr>
                <w:rFonts w:eastAsia="Times New Roman"/>
                <w:noProof/>
                <w:lang w:val="en-US"/>
              </w:rPr>
            </w:pPr>
            <w:r w:rsidRPr="2A1AD167">
              <w:rPr>
                <w:rFonts w:eastAsia="Times New Roman"/>
                <w:noProof/>
              </w:rPr>
              <w:t>Around EUR 300 mln. All funds have been allocated in November 2024, five selected projects are receiving EUR 60 mln each.</w:t>
            </w:r>
            <w:r w:rsidRPr="2A1AD167">
              <w:rPr>
                <w:rFonts w:eastAsia="Times New Roman"/>
                <w:noProof/>
                <w:lang w:val="en-US"/>
              </w:rPr>
              <w:t xml:space="preserve"> </w:t>
            </w:r>
          </w:p>
        </w:tc>
      </w:tr>
      <w:tr w:rsidR="0073733B" w14:paraId="1F0C5D29"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8BF476" w14:textId="5C1C6056" w:rsidR="2A1AD167" w:rsidRDefault="2A1AD167" w:rsidP="00603157">
            <w:pPr>
              <w:spacing w:before="0" w:after="160"/>
              <w:rPr>
                <w:rFonts w:eastAsia="Times New Roman"/>
                <w:noProof/>
                <w:lang w:val="en-US"/>
              </w:rPr>
            </w:pPr>
            <w:r w:rsidRPr="2A1AD167">
              <w:rPr>
                <w:rFonts w:eastAsia="Times New Roman"/>
                <w:b/>
                <w:bCs/>
                <w:noProof/>
              </w:rPr>
              <w:t>Focus</w:t>
            </w:r>
            <w:r w:rsidRPr="2A1AD167">
              <w:rPr>
                <w:rFonts w:eastAsia="Times New Roman"/>
                <w:noProof/>
                <w:lang w:val="en-US"/>
              </w:rPr>
              <w:t xml:space="preserve"> </w:t>
            </w:r>
          </w:p>
          <w:p w14:paraId="1E5E2085" w14:textId="29E08B47" w:rsidR="2A1AD167" w:rsidRDefault="2A1AD167" w:rsidP="00603157">
            <w:pPr>
              <w:spacing w:before="0" w:after="160"/>
              <w:rPr>
                <w:rFonts w:eastAsia="Times New Roman"/>
                <w:noProof/>
                <w:lang w:val="en-US"/>
              </w:rPr>
            </w:pPr>
            <w:r w:rsidRPr="2A1AD167">
              <w:rPr>
                <w:rFonts w:eastAsia="Times New Roman"/>
                <w:noProof/>
              </w:rPr>
              <w:t>EDIRPA aims at incentivising Member States to commonly procure defence products for which there is an urgent and critical need, especially those amplified following the Russian aggression against Ukraine. EDIRPA also aims at strengthening the European Defence Technological and Industrial Base (EDTIB) – and by providing predictability - to increase its manufacturing capacity and face the increase in demand of defence equipment. It will also lead to increased interoperability between the armed forces of the Member States.</w:t>
            </w:r>
            <w:r w:rsidRPr="2A1AD167">
              <w:rPr>
                <w:rFonts w:eastAsia="Times New Roman"/>
                <w:noProof/>
                <w:lang w:val="en-US"/>
              </w:rPr>
              <w:t xml:space="preserve"> </w:t>
            </w:r>
          </w:p>
          <w:p w14:paraId="43039CE6" w14:textId="40336BFE" w:rsidR="2A1AD167" w:rsidRDefault="2A1AD167" w:rsidP="00603157">
            <w:pPr>
              <w:spacing w:before="0" w:after="160"/>
              <w:rPr>
                <w:rFonts w:eastAsia="Times New Roman"/>
                <w:noProof/>
                <w:lang w:val="en-US"/>
              </w:rPr>
            </w:pPr>
            <w:r w:rsidRPr="2A1AD167">
              <w:rPr>
                <w:rFonts w:eastAsia="Times New Roman"/>
                <w:noProof/>
              </w:rPr>
              <w:t>The fund will achieve its goals by will support cooperation of at least three Member States for the common procurement of most critical and urgent defence products from the EDTIB.</w:t>
            </w:r>
            <w:r w:rsidRPr="2A1AD167">
              <w:rPr>
                <w:rFonts w:eastAsia="Times New Roman"/>
                <w:noProof/>
                <w:lang w:val="en-US"/>
              </w:rPr>
              <w:t xml:space="preserve"> </w:t>
            </w:r>
          </w:p>
          <w:p w14:paraId="7FF7358F" w14:textId="64407022" w:rsidR="2A1AD167" w:rsidRDefault="2A1AD167" w:rsidP="00603157">
            <w:pPr>
              <w:spacing w:before="0" w:after="160"/>
              <w:rPr>
                <w:rFonts w:eastAsia="Times New Roman"/>
                <w:noProof/>
                <w:lang w:val="en-US"/>
              </w:rPr>
            </w:pPr>
            <w:r w:rsidRPr="2A1AD167">
              <w:rPr>
                <w:rFonts w:eastAsia="Times New Roman"/>
                <w:noProof/>
              </w:rPr>
              <w:t>EDIRPA and ASAP are complementary initiatives, on the demand and supply side respectively. EDIRPA aims at incentivising Member States to commonly procure urgently needed defence capabilities and products.</w:t>
            </w:r>
            <w:r w:rsidRPr="2A1AD167">
              <w:rPr>
                <w:rFonts w:eastAsia="Times New Roman"/>
                <w:noProof/>
                <w:lang w:val="en-US"/>
              </w:rPr>
              <w:t xml:space="preserve"> </w:t>
            </w:r>
          </w:p>
        </w:tc>
      </w:tr>
      <w:tr w:rsidR="0073733B" w14:paraId="402E179E"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D5455D" w14:textId="24E79B6A" w:rsidR="2A1AD167" w:rsidRDefault="2A1AD167" w:rsidP="00603157">
            <w:pPr>
              <w:spacing w:before="0" w:after="160"/>
              <w:rPr>
                <w:rFonts w:eastAsia="Times New Roman"/>
                <w:noProof/>
                <w:lang w:val="en-US"/>
              </w:rPr>
            </w:pPr>
            <w:r w:rsidRPr="2A1AD167">
              <w:rPr>
                <w:rFonts w:eastAsia="Times New Roman"/>
                <w:b/>
                <w:bCs/>
                <w:noProof/>
              </w:rPr>
              <w:t>Delivery mode</w:t>
            </w:r>
            <w:r w:rsidRPr="2A1AD167">
              <w:rPr>
                <w:rFonts w:eastAsia="Times New Roman"/>
                <w:noProof/>
                <w:lang w:val="en-US"/>
              </w:rPr>
              <w:t xml:space="preserve"> </w:t>
            </w:r>
          </w:p>
          <w:p w14:paraId="754C34CC" w14:textId="14ABCB0E" w:rsidR="2A1AD167" w:rsidRDefault="2A1AD167" w:rsidP="00603157">
            <w:pPr>
              <w:spacing w:before="0" w:after="160"/>
              <w:rPr>
                <w:rFonts w:eastAsia="Times New Roman"/>
                <w:noProof/>
                <w:lang w:val="en-US"/>
              </w:rPr>
            </w:pPr>
            <w:r w:rsidRPr="2A1AD167">
              <w:rPr>
                <w:rFonts w:eastAsia="Times New Roman"/>
                <w:noProof/>
              </w:rPr>
              <w:t>The Instrument shall be implemented under direct management in accordance with the Financial Regulation. Grants implemented under direct management shall be awarded and managed in accordance with Title VIII of the Financial Regulation.</w:t>
            </w:r>
            <w:r w:rsidRPr="2A1AD167">
              <w:rPr>
                <w:rFonts w:eastAsia="Times New Roman"/>
                <w:noProof/>
                <w:lang w:val="en-US"/>
              </w:rPr>
              <w:t xml:space="preserve"> </w:t>
            </w:r>
          </w:p>
        </w:tc>
      </w:tr>
      <w:tr w:rsidR="0073733B" w14:paraId="0E3950A3"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A96854" w14:textId="14BFB1C4" w:rsidR="2A1AD167" w:rsidRDefault="2A1AD167" w:rsidP="00603157">
            <w:pPr>
              <w:spacing w:before="0" w:after="160"/>
              <w:rPr>
                <w:rFonts w:eastAsia="Times New Roman"/>
                <w:noProof/>
                <w:lang w:val="en-US"/>
              </w:rPr>
            </w:pPr>
            <w:r w:rsidRPr="2A1AD167">
              <w:rPr>
                <w:rFonts w:eastAsia="Times New Roman"/>
                <w:b/>
                <w:bCs/>
                <w:noProof/>
              </w:rPr>
              <w:t>Predecessor</w:t>
            </w:r>
            <w:r w:rsidRPr="2A1AD167">
              <w:rPr>
                <w:rFonts w:eastAsia="Times New Roman"/>
                <w:noProof/>
                <w:lang w:val="en-US"/>
              </w:rPr>
              <w:t xml:space="preserve"> </w:t>
            </w:r>
          </w:p>
          <w:p w14:paraId="5BA3958F" w14:textId="1D4E3287" w:rsidR="2A1AD167" w:rsidRDefault="2A1AD167" w:rsidP="00603157">
            <w:pPr>
              <w:spacing w:before="0" w:after="160"/>
              <w:rPr>
                <w:rFonts w:eastAsia="Times New Roman"/>
                <w:noProof/>
                <w:lang w:val="en-US"/>
              </w:rPr>
            </w:pPr>
            <w:r w:rsidRPr="2A1AD167">
              <w:rPr>
                <w:rFonts w:eastAsia="Times New Roman"/>
                <w:noProof/>
              </w:rPr>
              <w:t>EDIRPA is a new programme agreed by the co-legislators during the current MFF and in the context of the Russian aggression against Ukraine. It does not build on previous MFF programmes as support for common procurement of defence products is a new area for the EU.</w:t>
            </w:r>
            <w:r w:rsidRPr="2A1AD167">
              <w:rPr>
                <w:rFonts w:eastAsia="Times New Roman"/>
                <w:noProof/>
                <w:lang w:val="en-US"/>
              </w:rPr>
              <w:t xml:space="preserve"> </w:t>
            </w:r>
          </w:p>
        </w:tc>
      </w:tr>
      <w:tr w:rsidR="00165378" w:rsidRPr="00966D84" w14:paraId="36BC64D2" w14:textId="77777777" w:rsidTr="00F74C0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4AE141" w14:textId="77777777" w:rsidR="00F74C07" w:rsidRPr="00F74C07" w:rsidRDefault="00F74C07" w:rsidP="00F74C07">
            <w:pPr>
              <w:spacing w:before="0" w:after="160"/>
              <w:rPr>
                <w:rFonts w:eastAsia="Times New Roman"/>
                <w:b/>
                <w:bCs/>
                <w:noProof/>
              </w:rPr>
            </w:pPr>
            <w:r w:rsidRPr="00F74C07">
              <w:rPr>
                <w:rFonts w:eastAsia="Times New Roman"/>
                <w:b/>
                <w:bCs/>
                <w:noProof/>
              </w:rPr>
              <w:t>Type of recipients</w:t>
            </w:r>
          </w:p>
          <w:p w14:paraId="4FB03A60" w14:textId="77777777" w:rsidR="00F74C07" w:rsidRPr="00787960" w:rsidRDefault="00F74C07" w:rsidP="00F74C07">
            <w:pPr>
              <w:spacing w:before="0" w:after="160"/>
              <w:rPr>
                <w:rFonts w:eastAsia="Times New Roman"/>
                <w:noProof/>
              </w:rPr>
            </w:pPr>
            <w:r w:rsidRPr="00787960">
              <w:rPr>
                <w:rFonts w:eastAsia="Times New Roman"/>
                <w:noProof/>
              </w:rPr>
              <w:t>Potential applicants are national procurement authorities, the European Defence Agency or an international organisation designated to conduct a common procurement.</w:t>
            </w:r>
          </w:p>
        </w:tc>
      </w:tr>
      <w:tr w:rsidR="00165378" w:rsidRPr="00966D84" w14:paraId="471F28FE" w14:textId="77777777" w:rsidTr="00F74C0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748E00" w14:textId="77777777" w:rsidR="00F74C07" w:rsidRPr="00F74C07" w:rsidRDefault="00F74C07" w:rsidP="00F74C07">
            <w:pPr>
              <w:spacing w:before="0" w:after="160"/>
              <w:rPr>
                <w:rFonts w:eastAsia="Times New Roman"/>
                <w:b/>
                <w:bCs/>
                <w:noProof/>
              </w:rPr>
            </w:pPr>
            <w:r w:rsidRPr="00F74C07">
              <w:rPr>
                <w:rFonts w:eastAsia="Times New Roman"/>
                <w:b/>
                <w:bCs/>
                <w:noProof/>
              </w:rPr>
              <w:t xml:space="preserve">Forms of EU support </w:t>
            </w:r>
          </w:p>
          <w:p w14:paraId="36787B4E" w14:textId="77777777" w:rsidR="00F74C07" w:rsidRPr="00787960" w:rsidRDefault="00F74C07" w:rsidP="00F74C07">
            <w:pPr>
              <w:spacing w:before="0" w:after="160"/>
              <w:rPr>
                <w:rFonts w:eastAsia="Times New Roman"/>
                <w:noProof/>
              </w:rPr>
            </w:pPr>
            <w:r w:rsidRPr="00787960">
              <w:rPr>
                <w:rFonts w:eastAsia="Times New Roman"/>
                <w:noProof/>
              </w:rPr>
              <w:t>Grants</w:t>
            </w:r>
          </w:p>
        </w:tc>
      </w:tr>
      <w:tr w:rsidR="00AE1F35" w:rsidRPr="00966D84" w14:paraId="568E7BDF" w14:textId="77777777" w:rsidTr="00F74C0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7460F5" w14:textId="77777777" w:rsidR="00F74C07" w:rsidRPr="00F74C07" w:rsidRDefault="00F74C07" w:rsidP="00F74C07">
            <w:pPr>
              <w:spacing w:before="0" w:after="160"/>
              <w:rPr>
                <w:rFonts w:eastAsia="Times New Roman"/>
                <w:b/>
                <w:bCs/>
                <w:noProof/>
              </w:rPr>
            </w:pPr>
            <w:r w:rsidRPr="00F74C07">
              <w:rPr>
                <w:rFonts w:eastAsia="Times New Roman"/>
                <w:b/>
                <w:bCs/>
                <w:noProof/>
              </w:rPr>
              <w:t>Third countries associated to the programme</w:t>
            </w:r>
          </w:p>
          <w:p w14:paraId="38B851D3" w14:textId="77777777" w:rsidR="00F74C07" w:rsidRPr="00787960" w:rsidRDefault="00F74C07" w:rsidP="00F74C07">
            <w:pPr>
              <w:spacing w:before="0" w:after="160"/>
              <w:rPr>
                <w:rFonts w:eastAsia="Times New Roman"/>
                <w:noProof/>
              </w:rPr>
            </w:pPr>
            <w:r w:rsidRPr="00787960">
              <w:rPr>
                <w:rFonts w:eastAsia="Times New Roman"/>
                <w:noProof/>
              </w:rPr>
              <w:t xml:space="preserve">Norway. </w:t>
            </w:r>
          </w:p>
          <w:p w14:paraId="1227D5AF" w14:textId="77777777" w:rsidR="00F74C07" w:rsidRPr="00787960" w:rsidRDefault="00F74C07" w:rsidP="00F74C07">
            <w:pPr>
              <w:spacing w:before="0" w:after="160"/>
              <w:rPr>
                <w:rFonts w:eastAsia="Times New Roman"/>
                <w:noProof/>
              </w:rPr>
            </w:pPr>
            <w:r w:rsidRPr="00787960">
              <w:rPr>
                <w:rFonts w:eastAsia="Times New Roman"/>
                <w:noProof/>
              </w:rPr>
              <w:t>The Fund is open to the participation of members of the European Free Trade Association which are members of the EEA.</w:t>
            </w:r>
          </w:p>
          <w:p w14:paraId="1D3D5FBC" w14:textId="77777777" w:rsidR="00F74C07" w:rsidRPr="00F74C07" w:rsidRDefault="00F74C07" w:rsidP="00F74C07">
            <w:pPr>
              <w:spacing w:before="0" w:after="160"/>
              <w:rPr>
                <w:rFonts w:eastAsia="Times New Roman"/>
                <w:b/>
                <w:bCs/>
                <w:noProof/>
              </w:rPr>
            </w:pPr>
            <w:r w:rsidRPr="00787960">
              <w:rPr>
                <w:rFonts w:eastAsia="Times New Roman"/>
                <w:noProof/>
              </w:rPr>
              <w:t>Member States can make Ukraine and Moldova a recipient of quantities of the defence products concerned by the collaborative procurement action.</w:t>
            </w:r>
          </w:p>
        </w:tc>
      </w:tr>
      <w:tr w:rsidR="00AE1F35" w:rsidRPr="00966D84" w14:paraId="462ECD65" w14:textId="77777777" w:rsidTr="00F74C0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330C47" w14:textId="77777777" w:rsidR="00F74C07" w:rsidRPr="00F74C07" w:rsidRDefault="00F74C07" w:rsidP="00F74C07">
            <w:pPr>
              <w:spacing w:before="0" w:after="160"/>
              <w:rPr>
                <w:rFonts w:eastAsia="Times New Roman"/>
                <w:b/>
                <w:bCs/>
                <w:noProof/>
              </w:rPr>
            </w:pPr>
            <w:r w:rsidRPr="00F74C07">
              <w:rPr>
                <w:rFonts w:eastAsia="Times New Roman"/>
                <w:b/>
                <w:bCs/>
                <w:noProof/>
              </w:rPr>
              <w:t>Application</w:t>
            </w:r>
          </w:p>
          <w:p w14:paraId="486AD9B5" w14:textId="77777777" w:rsidR="00F74C07" w:rsidRPr="00787960" w:rsidRDefault="00F74C07" w:rsidP="00F74C07">
            <w:pPr>
              <w:spacing w:before="0" w:after="160"/>
              <w:rPr>
                <w:rFonts w:eastAsia="Times New Roman"/>
                <w:noProof/>
              </w:rPr>
            </w:pPr>
            <w:r w:rsidRPr="00787960">
              <w:rPr>
                <w:rFonts w:eastAsia="Times New Roman"/>
                <w:noProof/>
              </w:rPr>
              <w:t>Calls for proposals are published on the EU Funding and Tenders Portal. Applicants must submit their proposals electronically via the portal, following the specific guidelines and templates provided for each call.</w:t>
            </w:r>
          </w:p>
        </w:tc>
      </w:tr>
    </w:tbl>
    <w:p w14:paraId="13375DA6" w14:textId="76D13253" w:rsidR="0AA200F7" w:rsidRDefault="0AA200F7" w:rsidP="00603157">
      <w:pPr>
        <w:spacing w:before="0" w:after="240"/>
        <w:rPr>
          <w:rFonts w:eastAsia="Times New Roman"/>
          <w:i/>
          <w:iCs/>
          <w:noProof/>
          <w:lang w:val="en-US"/>
        </w:rPr>
      </w:pPr>
      <w:r w:rsidRPr="2A1AD167">
        <w:rPr>
          <w:rFonts w:eastAsia="Times New Roman"/>
          <w:i/>
          <w:iCs/>
          <w:noProof/>
        </w:rPr>
        <w:t>Regulation on Supporting Ammunition Production (ASAP)</w:t>
      </w:r>
      <w:r w:rsidRPr="2A1AD167">
        <w:rPr>
          <w:rFonts w:eastAsia="Times New Roman"/>
          <w:i/>
          <w:iCs/>
          <w:noProof/>
          <w:lang w:val="en-US"/>
        </w:rPr>
        <w:t xml:space="preserve"> </w:t>
      </w:r>
    </w:p>
    <w:tbl>
      <w:tblPr>
        <w:tblW w:w="10065" w:type="dxa"/>
        <w:tblInd w:w="-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065"/>
      </w:tblGrid>
      <w:tr w:rsidR="0073733B" w14:paraId="2A44FA2F"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1AE037" w14:textId="7ACB54D2" w:rsidR="2A1AD167" w:rsidRDefault="2A1AD167" w:rsidP="00603157">
            <w:pPr>
              <w:spacing w:before="0" w:after="160"/>
              <w:rPr>
                <w:rFonts w:eastAsia="Times New Roman"/>
                <w:noProof/>
                <w:lang w:val="en-US"/>
              </w:rPr>
            </w:pPr>
            <w:r w:rsidRPr="2A1AD167">
              <w:rPr>
                <w:rFonts w:eastAsia="Times New Roman"/>
                <w:b/>
                <w:bCs/>
                <w:noProof/>
              </w:rPr>
              <w:t>Regulation</w:t>
            </w:r>
            <w:r w:rsidRPr="2A1AD167">
              <w:rPr>
                <w:rFonts w:eastAsia="Times New Roman"/>
                <w:noProof/>
                <w:lang w:val="en-US"/>
              </w:rPr>
              <w:t xml:space="preserve"> </w:t>
            </w:r>
          </w:p>
          <w:p w14:paraId="3B51092A" w14:textId="77777777" w:rsidR="2A1AD167" w:rsidRDefault="2A1AD167" w:rsidP="00603157">
            <w:pPr>
              <w:spacing w:before="0" w:after="160"/>
              <w:rPr>
                <w:rFonts w:eastAsia="Times New Roman"/>
                <w:noProof/>
                <w:lang w:val="en-US"/>
              </w:rPr>
            </w:pPr>
            <w:r w:rsidRPr="2A1AD167">
              <w:rPr>
                <w:rFonts w:eastAsia="Times New Roman"/>
                <w:noProof/>
              </w:rPr>
              <w:t>Regulation (EU) 2023/1525 of the European Parliament and of the Council of 20 July 2023 on supporting ammunition production (ASAP)</w:t>
            </w:r>
            <w:r w:rsidRPr="2A1AD167">
              <w:rPr>
                <w:rFonts w:eastAsia="Times New Roman"/>
                <w:noProof/>
                <w:lang w:val="en-US"/>
              </w:rPr>
              <w:t xml:space="preserve"> </w:t>
            </w:r>
          </w:p>
          <w:p w14:paraId="251B274E" w14:textId="74EE1A5A" w:rsidR="007842BC" w:rsidRDefault="007842BC" w:rsidP="00603157">
            <w:pPr>
              <w:spacing w:before="0" w:after="160"/>
              <w:rPr>
                <w:rFonts w:eastAsia="Times New Roman"/>
                <w:noProof/>
                <w:lang w:val="en-US"/>
              </w:rPr>
            </w:pPr>
            <w:r>
              <w:rPr>
                <w:rFonts w:eastAsia="Times New Roman"/>
                <w:noProof/>
                <w:lang w:val="en-US"/>
              </w:rPr>
              <w:t xml:space="preserve">Legal base: </w:t>
            </w:r>
            <w:r w:rsidR="000D1581" w:rsidRPr="000D1581">
              <w:rPr>
                <w:rFonts w:eastAsia="Times New Roman"/>
                <w:noProof/>
                <w:lang w:val="en-IE"/>
              </w:rPr>
              <w:t xml:space="preserve">Article 114 and Article 173(3) </w:t>
            </w:r>
            <w:r w:rsidR="00B1180D">
              <w:rPr>
                <w:rFonts w:eastAsia="Times New Roman"/>
                <w:noProof/>
                <w:lang w:val="en-IE"/>
              </w:rPr>
              <w:t>of the treaty on the functioning of the EU</w:t>
            </w:r>
          </w:p>
        </w:tc>
      </w:tr>
      <w:tr w:rsidR="0073733B" w14:paraId="6AF8BC0F"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DF1FD8" w14:textId="0E8E32D4" w:rsidR="2A1AD167" w:rsidRDefault="2A1AD167" w:rsidP="00603157">
            <w:pPr>
              <w:spacing w:before="0" w:after="160"/>
              <w:rPr>
                <w:rFonts w:eastAsia="Times New Roman"/>
                <w:noProof/>
                <w:lang w:val="en-US"/>
              </w:rPr>
            </w:pPr>
            <w:r w:rsidRPr="2A1AD167">
              <w:rPr>
                <w:rFonts w:eastAsia="Times New Roman"/>
                <w:b/>
                <w:bCs/>
                <w:noProof/>
              </w:rPr>
              <w:t>Period</w:t>
            </w:r>
            <w:r w:rsidRPr="2A1AD167">
              <w:rPr>
                <w:rFonts w:eastAsia="Times New Roman"/>
                <w:noProof/>
                <w:lang w:val="en-US"/>
              </w:rPr>
              <w:t xml:space="preserve"> </w:t>
            </w:r>
          </w:p>
          <w:p w14:paraId="116B9222" w14:textId="37D7B972" w:rsidR="2A1AD167" w:rsidRDefault="2A1AD167" w:rsidP="00603157">
            <w:pPr>
              <w:spacing w:before="0" w:after="160"/>
              <w:rPr>
                <w:rFonts w:eastAsia="Times New Roman"/>
                <w:noProof/>
                <w:lang w:val="en-US"/>
              </w:rPr>
            </w:pPr>
            <w:r w:rsidRPr="2A1AD167">
              <w:rPr>
                <w:rFonts w:eastAsia="Times New Roman"/>
                <w:noProof/>
              </w:rPr>
              <w:t>2021 – 2027, although the fund was set up in 2023 and will last until 2025</w:t>
            </w:r>
            <w:r w:rsidRPr="2A1AD167">
              <w:rPr>
                <w:rFonts w:eastAsia="Times New Roman"/>
                <w:noProof/>
                <w:lang w:val="en-US"/>
              </w:rPr>
              <w:t xml:space="preserve"> </w:t>
            </w:r>
          </w:p>
        </w:tc>
      </w:tr>
      <w:tr w:rsidR="0073733B" w14:paraId="28070BD2"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EE9EEB" w14:textId="6D473F7A" w:rsidR="2A1AD167" w:rsidRDefault="2A1AD167" w:rsidP="00603157">
            <w:pPr>
              <w:spacing w:before="0" w:after="160"/>
              <w:rPr>
                <w:rFonts w:eastAsia="Times New Roman"/>
                <w:noProof/>
                <w:lang w:val="en-US"/>
              </w:rPr>
            </w:pPr>
            <w:r w:rsidRPr="2A1AD167">
              <w:rPr>
                <w:rFonts w:eastAsia="Times New Roman"/>
                <w:b/>
                <w:bCs/>
                <w:noProof/>
              </w:rPr>
              <w:t>Impact assessment</w:t>
            </w:r>
            <w:r w:rsidRPr="2A1AD167">
              <w:rPr>
                <w:rFonts w:eastAsia="Times New Roman"/>
                <w:noProof/>
                <w:lang w:val="en-US"/>
              </w:rPr>
              <w:t xml:space="preserve"> </w:t>
            </w:r>
          </w:p>
          <w:p w14:paraId="47E3860B" w14:textId="6E66C8BB" w:rsidR="2A1AD167" w:rsidRDefault="2A1AD167" w:rsidP="00603157">
            <w:pPr>
              <w:spacing w:before="0" w:after="160"/>
              <w:rPr>
                <w:rFonts w:eastAsia="Times New Roman"/>
                <w:noProof/>
                <w:lang w:val="en-US"/>
              </w:rPr>
            </w:pPr>
            <w:r w:rsidRPr="2A1AD167">
              <w:rPr>
                <w:rFonts w:eastAsia="Times New Roman"/>
                <w:noProof/>
              </w:rPr>
              <w:t>No impact assessment carried out.</w:t>
            </w:r>
            <w:r w:rsidRPr="2A1AD167">
              <w:rPr>
                <w:rFonts w:eastAsia="Times New Roman"/>
                <w:noProof/>
                <w:lang w:val="en-US"/>
              </w:rPr>
              <w:t xml:space="preserve"> </w:t>
            </w:r>
          </w:p>
        </w:tc>
      </w:tr>
      <w:tr w:rsidR="0073733B" w14:paraId="0D246DA0"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7CC88C" w14:textId="379465CD" w:rsidR="2A1AD167" w:rsidRDefault="2A1AD167" w:rsidP="00603157">
            <w:pPr>
              <w:spacing w:before="0" w:after="160"/>
              <w:rPr>
                <w:rFonts w:eastAsia="Times New Roman"/>
                <w:noProof/>
                <w:lang w:val="en-US"/>
              </w:rPr>
            </w:pPr>
            <w:r w:rsidRPr="2A1AD167">
              <w:rPr>
                <w:rFonts w:eastAsia="Times New Roman"/>
                <w:b/>
                <w:bCs/>
                <w:noProof/>
              </w:rPr>
              <w:t>Mid-term evaluation</w:t>
            </w:r>
            <w:r w:rsidRPr="2A1AD167">
              <w:rPr>
                <w:rFonts w:eastAsia="Times New Roman"/>
                <w:noProof/>
                <w:lang w:val="en-US"/>
              </w:rPr>
              <w:t xml:space="preserve"> </w:t>
            </w:r>
          </w:p>
          <w:p w14:paraId="158F0671" w14:textId="500CABB2" w:rsidR="2A1AD167" w:rsidRDefault="2A1AD167" w:rsidP="00603157">
            <w:pPr>
              <w:spacing w:before="0" w:after="160"/>
              <w:rPr>
                <w:rFonts w:eastAsia="Times New Roman"/>
                <w:noProof/>
                <w:lang w:val="en-US"/>
              </w:rPr>
            </w:pPr>
            <w:r w:rsidRPr="2A1AD167">
              <w:rPr>
                <w:rFonts w:eastAsia="Times New Roman"/>
                <w:noProof/>
              </w:rPr>
              <w:t>As per Article 23 of the ASAP regulation, the Commission shall draw up a report evaluating the implementation of the measures set out in this Regulation and their results, as well as the opportunity to extend their applicability and provide for their funding, particularly with regard to the evolution of the security context.</w:t>
            </w:r>
            <w:r w:rsidRPr="2A1AD167">
              <w:rPr>
                <w:rFonts w:eastAsia="Times New Roman"/>
                <w:noProof/>
                <w:lang w:val="en-US"/>
              </w:rPr>
              <w:t xml:space="preserve"> </w:t>
            </w:r>
          </w:p>
        </w:tc>
      </w:tr>
      <w:tr w:rsidR="0073733B" w14:paraId="546B78E2"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45C824" w14:textId="481EFE59" w:rsidR="2A1AD167" w:rsidRDefault="2A1AD167" w:rsidP="00603157">
            <w:pPr>
              <w:spacing w:before="0" w:after="160"/>
              <w:rPr>
                <w:rFonts w:eastAsia="Times New Roman"/>
                <w:noProof/>
                <w:lang w:val="en-US"/>
              </w:rPr>
            </w:pPr>
            <w:r w:rsidRPr="2A1AD167">
              <w:rPr>
                <w:rFonts w:eastAsia="Times New Roman"/>
                <w:b/>
                <w:bCs/>
                <w:noProof/>
              </w:rPr>
              <w:t>Budget</w:t>
            </w:r>
            <w:r w:rsidRPr="2A1AD167">
              <w:rPr>
                <w:rFonts w:eastAsia="Times New Roman"/>
                <w:noProof/>
                <w:lang w:val="en-US"/>
              </w:rPr>
              <w:t xml:space="preserve"> </w:t>
            </w:r>
          </w:p>
          <w:p w14:paraId="01EDF6EC" w14:textId="458A3016" w:rsidR="2A1AD167" w:rsidRDefault="2A1AD167" w:rsidP="00603157">
            <w:pPr>
              <w:spacing w:before="0" w:after="160"/>
              <w:rPr>
                <w:rFonts w:eastAsia="Times New Roman"/>
                <w:noProof/>
                <w:lang w:val="en-US"/>
              </w:rPr>
            </w:pPr>
            <w:r w:rsidRPr="2A1AD167">
              <w:rPr>
                <w:rFonts w:eastAsia="Times New Roman"/>
                <w:noProof/>
              </w:rPr>
              <w:t>Around EUR 500 mln. An amount of EUR 30 mln may be allocated to actions under a Ramp-up Fund.</w:t>
            </w:r>
            <w:r w:rsidRPr="2A1AD167">
              <w:rPr>
                <w:rFonts w:eastAsia="Times New Roman"/>
                <w:noProof/>
                <w:lang w:val="en-US"/>
              </w:rPr>
              <w:t xml:space="preserve"> </w:t>
            </w:r>
          </w:p>
        </w:tc>
      </w:tr>
      <w:tr w:rsidR="0073733B" w14:paraId="41E01231"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797759" w14:textId="02C8F1BE" w:rsidR="2A1AD167" w:rsidRDefault="2A1AD167" w:rsidP="00603157">
            <w:pPr>
              <w:spacing w:before="0" w:after="160"/>
              <w:rPr>
                <w:rFonts w:eastAsia="Times New Roman"/>
                <w:noProof/>
                <w:lang w:val="en-US"/>
              </w:rPr>
            </w:pPr>
            <w:r w:rsidRPr="2A1AD167">
              <w:rPr>
                <w:rFonts w:eastAsia="Times New Roman"/>
                <w:b/>
                <w:bCs/>
                <w:noProof/>
              </w:rPr>
              <w:t>Focus</w:t>
            </w:r>
            <w:r w:rsidRPr="2A1AD167">
              <w:rPr>
                <w:rFonts w:eastAsia="Times New Roman"/>
                <w:noProof/>
                <w:lang w:val="en-US"/>
              </w:rPr>
              <w:t xml:space="preserve"> </w:t>
            </w:r>
          </w:p>
          <w:p w14:paraId="349D4C01" w14:textId="292AC675" w:rsidR="2A1AD167" w:rsidRDefault="2A1AD167" w:rsidP="00603157">
            <w:pPr>
              <w:spacing w:before="0" w:after="160"/>
              <w:rPr>
                <w:rFonts w:eastAsia="Times New Roman"/>
                <w:noProof/>
                <w:lang w:val="en-US"/>
              </w:rPr>
            </w:pPr>
            <w:r w:rsidRPr="2A1AD167">
              <w:rPr>
                <w:rFonts w:eastAsia="Times New Roman"/>
                <w:noProof/>
              </w:rPr>
              <w:t>ASAP is part of a larger effort of the European Union to ramp-up production of ammunition production capacity to 2 million per year by the end of 2025. ASAP in particular focuses on identifying and funding production facilities in the European Union and EFTA countries for a total of EUR 500 mln. The funds have already been fully allocated in 2024, according to the following breakdown:</w:t>
            </w:r>
            <w:r w:rsidRPr="2A1AD167">
              <w:rPr>
                <w:rFonts w:eastAsia="Times New Roman"/>
                <w:noProof/>
                <w:lang w:val="en-US"/>
              </w:rPr>
              <w:t xml:space="preserve"> </w:t>
            </w:r>
          </w:p>
          <w:p w14:paraId="71DD6056" w14:textId="70368C53" w:rsidR="2A1AD167" w:rsidRDefault="2A1AD167" w:rsidP="008C51EB">
            <w:pPr>
              <w:pStyle w:val="ListParagraph"/>
              <w:numPr>
                <w:ilvl w:val="0"/>
                <w:numId w:val="8"/>
              </w:numPr>
              <w:spacing w:before="0" w:after="160"/>
              <w:rPr>
                <w:rFonts w:eastAsia="Times New Roman"/>
                <w:noProof/>
                <w:lang w:val="en-US"/>
              </w:rPr>
            </w:pPr>
            <w:r w:rsidRPr="2A1AD167">
              <w:rPr>
                <w:rFonts w:eastAsia="Times New Roman"/>
                <w:noProof/>
              </w:rPr>
              <w:t>EUR 124 mln in explosives</w:t>
            </w:r>
            <w:r w:rsidRPr="2A1AD167">
              <w:rPr>
                <w:rFonts w:eastAsia="Times New Roman"/>
                <w:noProof/>
                <w:lang w:val="en-US"/>
              </w:rPr>
              <w:t xml:space="preserve"> </w:t>
            </w:r>
          </w:p>
          <w:p w14:paraId="4BE1F383" w14:textId="05B6B8A2" w:rsidR="2A1AD167" w:rsidRDefault="2A1AD167" w:rsidP="008C51EB">
            <w:pPr>
              <w:pStyle w:val="ListParagraph"/>
              <w:numPr>
                <w:ilvl w:val="0"/>
                <w:numId w:val="7"/>
              </w:numPr>
              <w:spacing w:before="0" w:after="160"/>
              <w:rPr>
                <w:rFonts w:eastAsia="Times New Roman"/>
                <w:noProof/>
                <w:lang w:val="en-US"/>
              </w:rPr>
            </w:pPr>
            <w:r w:rsidRPr="2A1AD167">
              <w:rPr>
                <w:rFonts w:eastAsia="Times New Roman"/>
                <w:noProof/>
              </w:rPr>
              <w:t>EUR 248 mln in powder</w:t>
            </w:r>
            <w:r w:rsidRPr="2A1AD167">
              <w:rPr>
                <w:rFonts w:eastAsia="Times New Roman"/>
                <w:noProof/>
                <w:lang w:val="en-US"/>
              </w:rPr>
              <w:t xml:space="preserve"> </w:t>
            </w:r>
          </w:p>
          <w:p w14:paraId="4796B836" w14:textId="79F48BC8" w:rsidR="2A1AD167" w:rsidRDefault="2A1AD167" w:rsidP="008C51EB">
            <w:pPr>
              <w:pStyle w:val="ListParagraph"/>
              <w:numPr>
                <w:ilvl w:val="0"/>
                <w:numId w:val="7"/>
              </w:numPr>
              <w:spacing w:before="0" w:after="160"/>
              <w:rPr>
                <w:rFonts w:eastAsia="Times New Roman"/>
                <w:noProof/>
                <w:lang w:val="en-US"/>
              </w:rPr>
            </w:pPr>
            <w:r w:rsidRPr="2A1AD167">
              <w:rPr>
                <w:rFonts w:eastAsia="Times New Roman"/>
                <w:noProof/>
              </w:rPr>
              <w:t>EUR 90 mln in shells</w:t>
            </w:r>
            <w:r w:rsidRPr="2A1AD167">
              <w:rPr>
                <w:rFonts w:eastAsia="Times New Roman"/>
                <w:noProof/>
                <w:lang w:val="en-US"/>
              </w:rPr>
              <w:t xml:space="preserve"> </w:t>
            </w:r>
          </w:p>
          <w:p w14:paraId="19DFFE90" w14:textId="17186AD4" w:rsidR="2A1AD167" w:rsidRDefault="2A1AD167" w:rsidP="008C51EB">
            <w:pPr>
              <w:pStyle w:val="ListParagraph"/>
              <w:numPr>
                <w:ilvl w:val="0"/>
                <w:numId w:val="6"/>
              </w:numPr>
              <w:spacing w:before="0" w:after="160"/>
              <w:rPr>
                <w:rFonts w:eastAsia="Times New Roman"/>
                <w:noProof/>
                <w:lang w:val="en-US"/>
              </w:rPr>
            </w:pPr>
            <w:r w:rsidRPr="2A1AD167">
              <w:rPr>
                <w:rFonts w:eastAsia="Times New Roman"/>
                <w:noProof/>
              </w:rPr>
              <w:t>EUR 50 mln in missiles</w:t>
            </w:r>
            <w:r w:rsidRPr="2A1AD167">
              <w:rPr>
                <w:rFonts w:eastAsia="Times New Roman"/>
                <w:noProof/>
                <w:lang w:val="en-US"/>
              </w:rPr>
              <w:t xml:space="preserve"> </w:t>
            </w:r>
          </w:p>
          <w:p w14:paraId="4E436492" w14:textId="3AC4464A" w:rsidR="2A1AD167" w:rsidRDefault="2A1AD167" w:rsidP="008C51EB">
            <w:pPr>
              <w:pStyle w:val="ListParagraph"/>
              <w:numPr>
                <w:ilvl w:val="0"/>
                <w:numId w:val="6"/>
              </w:numPr>
              <w:spacing w:before="0" w:after="160"/>
              <w:rPr>
                <w:rFonts w:eastAsia="Times New Roman"/>
                <w:noProof/>
                <w:lang w:val="en-US"/>
              </w:rPr>
            </w:pPr>
            <w:r w:rsidRPr="2A1AD167">
              <w:rPr>
                <w:rFonts w:eastAsia="Times New Roman"/>
                <w:noProof/>
              </w:rPr>
              <w:t>EUR 2 mln in testing</w:t>
            </w:r>
            <w:r w:rsidRPr="2A1AD167">
              <w:rPr>
                <w:rFonts w:eastAsia="Times New Roman"/>
                <w:noProof/>
                <w:lang w:val="en-US"/>
              </w:rPr>
              <w:t xml:space="preserve"> </w:t>
            </w:r>
          </w:p>
          <w:p w14:paraId="68E4FD18" w14:textId="5B5E6BFF" w:rsidR="2A1AD167" w:rsidRDefault="2A1AD167" w:rsidP="00603157">
            <w:pPr>
              <w:spacing w:before="0" w:after="160"/>
              <w:rPr>
                <w:rFonts w:eastAsia="Times New Roman"/>
                <w:noProof/>
                <w:lang w:val="en-US"/>
              </w:rPr>
            </w:pPr>
            <w:r w:rsidRPr="2A1AD167">
              <w:rPr>
                <w:rFonts w:eastAsia="Times New Roman"/>
                <w:noProof/>
              </w:rPr>
              <w:t xml:space="preserve">ASAP constitutes track 3 of the three-track approach of the ammunition plan agreed by the council. While ASAP constitutes the supply-side part of the intervention, EDIRPA represents the demand-side. EDIRPA, ASAP and the fourth Work Programme of EDF all work towards the reinforcement of the European defence technological and industrial base, </w:t>
            </w:r>
            <w:r w:rsidRPr="3AFAAF55">
              <w:rPr>
                <w:rFonts w:eastAsia="Times New Roman"/>
                <w:noProof/>
              </w:rPr>
              <w:t>in</w:t>
            </w:r>
            <w:r w:rsidR="7726C454" w:rsidRPr="3AFAAF55">
              <w:rPr>
                <w:rFonts w:eastAsia="Times New Roman"/>
                <w:noProof/>
              </w:rPr>
              <w:t xml:space="preserve"> </w:t>
            </w:r>
            <w:r w:rsidRPr="3AFAAF55">
              <w:rPr>
                <w:rFonts w:eastAsia="Times New Roman"/>
                <w:noProof/>
              </w:rPr>
              <w:t>the</w:t>
            </w:r>
            <w:r w:rsidRPr="2A1AD167">
              <w:rPr>
                <w:rFonts w:eastAsia="Times New Roman"/>
                <w:noProof/>
              </w:rPr>
              <w:t xml:space="preserve"> wake of the adoption of the European Defence Industrial Strategy (EDIS)</w:t>
            </w:r>
            <w:r w:rsidRPr="2A1AD167">
              <w:rPr>
                <w:rFonts w:eastAsia="Times New Roman"/>
                <w:noProof/>
                <w:lang w:val="en-US"/>
              </w:rPr>
              <w:t xml:space="preserve"> </w:t>
            </w:r>
          </w:p>
        </w:tc>
      </w:tr>
      <w:tr w:rsidR="0073733B" w14:paraId="157A4402"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E957D6" w14:textId="79F618FE" w:rsidR="2A1AD167" w:rsidRDefault="2A1AD167" w:rsidP="00603157">
            <w:pPr>
              <w:spacing w:before="0" w:after="160"/>
              <w:rPr>
                <w:rFonts w:eastAsia="Times New Roman"/>
                <w:noProof/>
                <w:lang w:val="en-US"/>
              </w:rPr>
            </w:pPr>
            <w:r w:rsidRPr="2A1AD167">
              <w:rPr>
                <w:rFonts w:eastAsia="Times New Roman"/>
                <w:b/>
                <w:bCs/>
                <w:noProof/>
              </w:rPr>
              <w:t>Delivery mode</w:t>
            </w:r>
            <w:r w:rsidRPr="2A1AD167">
              <w:rPr>
                <w:rFonts w:eastAsia="Times New Roman"/>
                <w:noProof/>
                <w:lang w:val="en-US"/>
              </w:rPr>
              <w:t xml:space="preserve"> </w:t>
            </w:r>
          </w:p>
          <w:p w14:paraId="3C3ED58D" w14:textId="12CAFF38" w:rsidR="2A1AD167" w:rsidRDefault="2A1AD167" w:rsidP="00603157">
            <w:pPr>
              <w:spacing w:before="0" w:after="160"/>
              <w:rPr>
                <w:rFonts w:eastAsia="Times New Roman"/>
                <w:noProof/>
                <w:lang w:val="en-US"/>
              </w:rPr>
            </w:pPr>
            <w:r w:rsidRPr="2A1AD167">
              <w:rPr>
                <w:rFonts w:eastAsia="Times New Roman"/>
                <w:noProof/>
              </w:rPr>
              <w:t>Implemented directly by the Commission (DG DEFIS). Meanwhile, the Ramp-up fund will be implemented under indirect management in the form of a financial instrument as a blending operation.</w:t>
            </w:r>
            <w:r w:rsidRPr="2A1AD167">
              <w:rPr>
                <w:rFonts w:eastAsia="Times New Roman"/>
                <w:noProof/>
                <w:lang w:val="en-US"/>
              </w:rPr>
              <w:t xml:space="preserve"> </w:t>
            </w:r>
          </w:p>
        </w:tc>
      </w:tr>
      <w:tr w:rsidR="0073733B" w14:paraId="4FF18537"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AC9068" w14:textId="592915F4" w:rsidR="2A1AD167" w:rsidRDefault="2A1AD167" w:rsidP="00603157">
            <w:pPr>
              <w:spacing w:before="0" w:after="160"/>
              <w:rPr>
                <w:rFonts w:eastAsia="Times New Roman"/>
                <w:noProof/>
                <w:lang w:val="en-US"/>
              </w:rPr>
            </w:pPr>
            <w:r w:rsidRPr="2A1AD167">
              <w:rPr>
                <w:rFonts w:eastAsia="Times New Roman"/>
                <w:b/>
                <w:bCs/>
                <w:noProof/>
              </w:rPr>
              <w:t>Predecessor</w:t>
            </w:r>
            <w:r w:rsidRPr="2A1AD167">
              <w:rPr>
                <w:rFonts w:eastAsia="Times New Roman"/>
                <w:noProof/>
                <w:lang w:val="en-US"/>
              </w:rPr>
              <w:t xml:space="preserve"> </w:t>
            </w:r>
          </w:p>
          <w:p w14:paraId="0099DC3D" w14:textId="7F0EC176" w:rsidR="2A1AD167" w:rsidRDefault="2A1AD167" w:rsidP="00603157">
            <w:pPr>
              <w:spacing w:before="0" w:after="160"/>
              <w:rPr>
                <w:rFonts w:eastAsia="Times New Roman"/>
                <w:noProof/>
                <w:lang w:val="en-US"/>
              </w:rPr>
            </w:pPr>
            <w:r w:rsidRPr="2A1AD167">
              <w:rPr>
                <w:rFonts w:eastAsia="Times New Roman"/>
                <w:noProof/>
              </w:rPr>
              <w:t>As this programme was adopted in 2023 to respond to urgent operational needs originated in 2022, there is no direct link to the 2014-2020 Multiannual Financial Framework. The ASAP budget resulted from a partial deployment of the budget of the European Defence Fund (EUR 260 mln) and of the proposed budget for the European Defence Industry Reinforcement through common Procurement Act (EUR 240 mln), within the 2021-2027 Multiannual Financial Framework.</w:t>
            </w:r>
            <w:r w:rsidRPr="2A1AD167">
              <w:rPr>
                <w:rFonts w:eastAsia="Times New Roman"/>
                <w:noProof/>
                <w:lang w:val="en-US"/>
              </w:rPr>
              <w:t xml:space="preserve"> </w:t>
            </w:r>
          </w:p>
        </w:tc>
      </w:tr>
      <w:tr w:rsidR="00165378" w:rsidRPr="00966D84" w14:paraId="36802592" w14:textId="77777777" w:rsidTr="00B83936">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E522D0" w14:textId="77777777" w:rsidR="00E974E7" w:rsidRPr="00787960" w:rsidRDefault="00E974E7" w:rsidP="00E974E7">
            <w:pPr>
              <w:spacing w:before="40" w:after="40"/>
              <w:rPr>
                <w:b/>
                <w:noProof/>
                <w:lang w:eastAsia="nl-BE"/>
              </w:rPr>
            </w:pPr>
            <w:r w:rsidRPr="00787960">
              <w:rPr>
                <w:b/>
                <w:noProof/>
                <w:lang w:eastAsia="nl-BE"/>
              </w:rPr>
              <w:t>Type of recipients</w:t>
            </w:r>
          </w:p>
          <w:p w14:paraId="6A757115" w14:textId="04724358" w:rsidR="00E974E7" w:rsidRPr="00E974E7" w:rsidRDefault="00E974E7" w:rsidP="00E974E7">
            <w:pPr>
              <w:spacing w:before="0" w:after="160"/>
              <w:rPr>
                <w:rFonts w:eastAsia="Times New Roman"/>
                <w:b/>
                <w:bCs/>
                <w:noProof/>
              </w:rPr>
            </w:pPr>
            <w:r w:rsidRPr="00787960">
              <w:rPr>
                <w:bCs/>
                <w:noProof/>
                <w:lang w:eastAsia="nl-BE"/>
              </w:rPr>
              <w:t>Producers of</w:t>
            </w:r>
            <w:r w:rsidRPr="00E974E7">
              <w:rPr>
                <w:noProof/>
                <w:lang w:eastAsia="nl-BE"/>
              </w:rPr>
              <w:t xml:space="preserve"> </w:t>
            </w:r>
            <w:r w:rsidRPr="00787960">
              <w:rPr>
                <w:bCs/>
                <w:noProof/>
                <w:lang w:eastAsia="nl-BE"/>
              </w:rPr>
              <w:t>ammunition and missiles in the EU, as well as their supply chain</w:t>
            </w:r>
          </w:p>
        </w:tc>
      </w:tr>
      <w:tr w:rsidR="00165378" w:rsidRPr="00966D84" w14:paraId="28302DDF" w14:textId="77777777" w:rsidTr="00B83936">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E1DF0" w14:textId="77777777" w:rsidR="00E974E7" w:rsidRPr="00787960" w:rsidRDefault="00E974E7" w:rsidP="00E974E7">
            <w:pPr>
              <w:spacing w:before="40" w:after="40"/>
              <w:rPr>
                <w:b/>
                <w:noProof/>
                <w:lang w:eastAsia="nl-BE"/>
              </w:rPr>
            </w:pPr>
            <w:r w:rsidRPr="00787960">
              <w:rPr>
                <w:b/>
                <w:noProof/>
                <w:lang w:eastAsia="nl-BE"/>
              </w:rPr>
              <w:t xml:space="preserve">Forms of EU support </w:t>
            </w:r>
          </w:p>
          <w:p w14:paraId="1D3F8078" w14:textId="76DE30AC" w:rsidR="00E974E7" w:rsidRPr="00E974E7" w:rsidRDefault="00E974E7" w:rsidP="00E974E7">
            <w:pPr>
              <w:spacing w:before="0" w:after="160"/>
              <w:rPr>
                <w:rFonts w:eastAsia="Times New Roman"/>
                <w:b/>
                <w:bCs/>
                <w:noProof/>
              </w:rPr>
            </w:pPr>
            <w:r w:rsidRPr="00787960">
              <w:rPr>
                <w:bCs/>
                <w:noProof/>
                <w:lang w:eastAsia="nl-BE"/>
              </w:rPr>
              <w:t>Grants, financial instruments</w:t>
            </w:r>
          </w:p>
        </w:tc>
      </w:tr>
      <w:tr w:rsidR="00165378" w:rsidRPr="00966D84" w14:paraId="7E60922A" w14:textId="77777777" w:rsidTr="00B83936">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5C9947" w14:textId="77777777" w:rsidR="00E974E7" w:rsidRPr="00787960" w:rsidRDefault="00E974E7" w:rsidP="00E974E7">
            <w:pPr>
              <w:spacing w:before="40" w:after="40"/>
              <w:rPr>
                <w:b/>
                <w:noProof/>
                <w:lang w:eastAsia="nl-BE"/>
              </w:rPr>
            </w:pPr>
            <w:r w:rsidRPr="00787960">
              <w:rPr>
                <w:b/>
                <w:noProof/>
                <w:lang w:eastAsia="nl-BE"/>
              </w:rPr>
              <w:t>Third countries associated to the programme</w:t>
            </w:r>
          </w:p>
          <w:p w14:paraId="32F533B5" w14:textId="77777777" w:rsidR="00E974E7" w:rsidRPr="00787960" w:rsidRDefault="00E974E7" w:rsidP="00E974E7">
            <w:pPr>
              <w:spacing w:before="40" w:after="40"/>
              <w:rPr>
                <w:bCs/>
                <w:noProof/>
                <w:lang w:eastAsia="nl-BE"/>
              </w:rPr>
            </w:pPr>
            <w:r w:rsidRPr="00787960">
              <w:rPr>
                <w:bCs/>
                <w:noProof/>
                <w:lang w:eastAsia="nl-BE"/>
              </w:rPr>
              <w:t>The Fund is open to the participation of members of the European Free Trade Association which are members of the EEA.</w:t>
            </w:r>
          </w:p>
          <w:p w14:paraId="03CD847E" w14:textId="494408DE" w:rsidR="00E974E7" w:rsidRPr="00E974E7" w:rsidRDefault="00E974E7" w:rsidP="00E974E7">
            <w:pPr>
              <w:spacing w:before="0" w:after="160"/>
              <w:rPr>
                <w:rFonts w:eastAsia="Times New Roman"/>
                <w:b/>
                <w:bCs/>
                <w:noProof/>
              </w:rPr>
            </w:pPr>
            <w:r w:rsidRPr="00787960">
              <w:rPr>
                <w:bCs/>
                <w:noProof/>
                <w:lang w:eastAsia="nl-BE"/>
              </w:rPr>
              <w:t>Only entities, whether public or privately owned, which are established and have their executive management structures in the Union or in associated countries should be eligible for support.</w:t>
            </w:r>
          </w:p>
        </w:tc>
      </w:tr>
      <w:tr w:rsidR="00165378" w:rsidRPr="00966D84" w14:paraId="618611D9" w14:textId="77777777" w:rsidTr="00B83936">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43E88" w14:textId="77777777" w:rsidR="00E974E7" w:rsidRPr="00787960" w:rsidRDefault="00E974E7" w:rsidP="00E974E7">
            <w:pPr>
              <w:spacing w:before="40" w:after="40"/>
              <w:rPr>
                <w:b/>
                <w:noProof/>
                <w:lang w:eastAsia="nl-BE"/>
              </w:rPr>
            </w:pPr>
            <w:r w:rsidRPr="00787960">
              <w:rPr>
                <w:b/>
                <w:noProof/>
                <w:lang w:eastAsia="nl-BE"/>
              </w:rPr>
              <w:t>Application</w:t>
            </w:r>
          </w:p>
          <w:p w14:paraId="3E6FC930" w14:textId="77777777" w:rsidR="00E974E7" w:rsidRPr="00E974E7" w:rsidRDefault="00E974E7" w:rsidP="00E974E7">
            <w:pPr>
              <w:spacing w:before="0" w:after="160"/>
              <w:rPr>
                <w:rFonts w:eastAsia="Times New Roman"/>
                <w:b/>
                <w:bCs/>
                <w:noProof/>
              </w:rPr>
            </w:pPr>
            <w:r w:rsidRPr="00787960">
              <w:rPr>
                <w:bCs/>
                <w:noProof/>
                <w:lang w:eastAsia="nl-BE"/>
              </w:rPr>
              <w:t>Calls for proposals are published on the EU Funding and Tenders Portal.</w:t>
            </w:r>
            <w:r w:rsidRPr="00E974E7">
              <w:rPr>
                <w:noProof/>
                <w:lang w:eastAsia="nl-BE"/>
              </w:rPr>
              <w:t xml:space="preserve"> </w:t>
            </w:r>
            <w:r w:rsidRPr="00787960">
              <w:rPr>
                <w:bCs/>
                <w:noProof/>
                <w:lang w:eastAsia="nl-BE"/>
              </w:rPr>
              <w:t>Applicants must submit their proposals electronically via the portal, following the specific guidelines and templates provided for each call.</w:t>
            </w:r>
          </w:p>
        </w:tc>
      </w:tr>
    </w:tbl>
    <w:p w14:paraId="6D85E968" w14:textId="5284885F" w:rsidR="0AA200F7" w:rsidRPr="00787960" w:rsidRDefault="0AA200F7" w:rsidP="00603157">
      <w:pPr>
        <w:spacing w:before="0" w:after="240"/>
        <w:rPr>
          <w:rFonts w:eastAsia="Times New Roman"/>
          <w:noProof/>
        </w:rPr>
      </w:pPr>
    </w:p>
    <w:p w14:paraId="2F030FAD" w14:textId="1FED928A" w:rsidR="0AA200F7" w:rsidRDefault="0AA200F7" w:rsidP="00603157">
      <w:pPr>
        <w:spacing w:before="0" w:after="240"/>
        <w:rPr>
          <w:rFonts w:eastAsia="Times New Roman"/>
          <w:i/>
          <w:iCs/>
          <w:noProof/>
          <w:lang w:val="en-US"/>
        </w:rPr>
      </w:pPr>
      <w:r w:rsidRPr="2A1AD167">
        <w:rPr>
          <w:rFonts w:eastAsia="Times New Roman"/>
          <w:i/>
          <w:iCs/>
          <w:noProof/>
        </w:rPr>
        <w:t>Infrastructure for Resilience, Interconnectivity and Security by Satellite (IRIS</w:t>
      </w:r>
      <w:r w:rsidRPr="2A1AD167">
        <w:rPr>
          <w:rFonts w:eastAsia="Times New Roman"/>
          <w:i/>
          <w:iCs/>
          <w:noProof/>
          <w:vertAlign w:val="superscript"/>
        </w:rPr>
        <w:t>2</w:t>
      </w:r>
      <w:r w:rsidRPr="2A1AD167">
        <w:rPr>
          <w:rFonts w:eastAsia="Times New Roman"/>
          <w:i/>
          <w:iCs/>
          <w:noProof/>
        </w:rPr>
        <w:t>)</w:t>
      </w:r>
      <w:r w:rsidRPr="2A1AD167">
        <w:rPr>
          <w:rFonts w:eastAsia="Times New Roman"/>
          <w:i/>
          <w:iCs/>
          <w:noProof/>
          <w:lang w:val="en-US"/>
        </w:rPr>
        <w:t xml:space="preserve"> </w:t>
      </w:r>
    </w:p>
    <w:tbl>
      <w:tblPr>
        <w:tblW w:w="10065" w:type="dxa"/>
        <w:tblInd w:w="-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065"/>
      </w:tblGrid>
      <w:tr w:rsidR="00DC3A23" w14:paraId="474A70B0" w14:textId="77777777" w:rsidTr="51E0209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DB418" w14:textId="7F7AD93E" w:rsidR="2A1AD167" w:rsidRDefault="2A1AD167" w:rsidP="00603157">
            <w:pPr>
              <w:spacing w:before="0" w:after="160"/>
              <w:rPr>
                <w:rFonts w:eastAsia="Times New Roman"/>
                <w:noProof/>
                <w:lang w:val="en-US"/>
              </w:rPr>
            </w:pPr>
            <w:r w:rsidRPr="2A1AD167">
              <w:rPr>
                <w:rFonts w:eastAsia="Times New Roman"/>
                <w:b/>
                <w:bCs/>
                <w:noProof/>
              </w:rPr>
              <w:t>Regulation</w:t>
            </w:r>
            <w:r w:rsidRPr="2A1AD167">
              <w:rPr>
                <w:rFonts w:eastAsia="Times New Roman"/>
                <w:noProof/>
                <w:lang w:val="en-US"/>
              </w:rPr>
              <w:t xml:space="preserve"> </w:t>
            </w:r>
          </w:p>
          <w:p w14:paraId="122B2388" w14:textId="77777777" w:rsidR="2A1AD167" w:rsidRDefault="2A1AD167" w:rsidP="00603157">
            <w:pPr>
              <w:spacing w:before="0" w:after="160"/>
              <w:rPr>
                <w:rFonts w:eastAsia="Times New Roman"/>
                <w:noProof/>
                <w:lang w:val="en-US"/>
              </w:rPr>
            </w:pPr>
            <w:r w:rsidRPr="2A1AD167">
              <w:rPr>
                <w:rFonts w:eastAsia="Times New Roman"/>
                <w:noProof/>
              </w:rPr>
              <w:t>Regulation (EU) 2023/588 of the European Parliament and of the Council of 15 March 2023 establishing the Union Secure Connectivity Programme for the period 2023-2027</w:t>
            </w:r>
            <w:r w:rsidRPr="2A1AD167">
              <w:rPr>
                <w:rFonts w:eastAsia="Times New Roman"/>
                <w:noProof/>
                <w:lang w:val="en-US"/>
              </w:rPr>
              <w:t xml:space="preserve"> </w:t>
            </w:r>
          </w:p>
          <w:p w14:paraId="6AE0E82B" w14:textId="590B6F63" w:rsidR="007842BC" w:rsidRDefault="007842BC" w:rsidP="00603157">
            <w:pPr>
              <w:spacing w:before="0" w:after="160"/>
              <w:rPr>
                <w:rFonts w:eastAsia="Times New Roman"/>
                <w:noProof/>
                <w:lang w:val="en-US"/>
              </w:rPr>
            </w:pPr>
            <w:r>
              <w:rPr>
                <w:rFonts w:eastAsia="Times New Roman"/>
                <w:noProof/>
                <w:lang w:val="en-US"/>
              </w:rPr>
              <w:t xml:space="preserve">Legal base: </w:t>
            </w:r>
            <w:r w:rsidR="00B1180D">
              <w:rPr>
                <w:rFonts w:eastAsia="Times New Roman"/>
                <w:noProof/>
                <w:lang w:val="en-US"/>
              </w:rPr>
              <w:t>Article 189(2) of the Treaty on the functioning of the EU</w:t>
            </w:r>
          </w:p>
        </w:tc>
      </w:tr>
      <w:tr w:rsidR="00DC3A23" w14:paraId="563B681D" w14:textId="77777777" w:rsidTr="51E0209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B82E4A" w14:textId="4A813419" w:rsidR="2A1AD167" w:rsidRDefault="2A1AD167" w:rsidP="00603157">
            <w:pPr>
              <w:spacing w:before="0" w:after="160"/>
              <w:rPr>
                <w:rFonts w:eastAsia="Times New Roman"/>
                <w:noProof/>
                <w:lang w:val="en-US"/>
              </w:rPr>
            </w:pPr>
            <w:r w:rsidRPr="2A1AD167">
              <w:rPr>
                <w:rFonts w:eastAsia="Times New Roman"/>
                <w:b/>
                <w:bCs/>
                <w:noProof/>
              </w:rPr>
              <w:t>Period</w:t>
            </w:r>
            <w:r w:rsidRPr="2A1AD167">
              <w:rPr>
                <w:rFonts w:eastAsia="Times New Roman"/>
                <w:noProof/>
                <w:lang w:val="en-US"/>
              </w:rPr>
              <w:t xml:space="preserve"> </w:t>
            </w:r>
          </w:p>
          <w:p w14:paraId="28C7FEF6" w14:textId="60EB66C4" w:rsidR="2A1AD167" w:rsidRDefault="2A1AD167" w:rsidP="00603157">
            <w:pPr>
              <w:spacing w:before="0" w:after="160"/>
              <w:rPr>
                <w:rFonts w:eastAsia="Times New Roman"/>
                <w:noProof/>
                <w:lang w:val="en-US"/>
              </w:rPr>
            </w:pPr>
            <w:r w:rsidRPr="2A1AD167">
              <w:rPr>
                <w:rFonts w:eastAsia="Times New Roman"/>
                <w:noProof/>
              </w:rPr>
              <w:t>2021 – 2027, although the programme was established in 2023</w:t>
            </w:r>
            <w:r w:rsidRPr="2A1AD167">
              <w:rPr>
                <w:rFonts w:eastAsia="Times New Roman"/>
                <w:noProof/>
                <w:lang w:val="en-US"/>
              </w:rPr>
              <w:t xml:space="preserve"> </w:t>
            </w:r>
          </w:p>
        </w:tc>
      </w:tr>
      <w:tr w:rsidR="00DC3A23" w14:paraId="50E36883" w14:textId="77777777" w:rsidTr="51E0209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289D14" w14:textId="7CF2C1F1" w:rsidR="2A1AD167" w:rsidRDefault="2A1AD167" w:rsidP="00603157">
            <w:pPr>
              <w:spacing w:before="0" w:after="160"/>
              <w:rPr>
                <w:rFonts w:eastAsia="Times New Roman"/>
                <w:noProof/>
                <w:lang w:val="en-US"/>
              </w:rPr>
            </w:pPr>
            <w:r w:rsidRPr="2A1AD167">
              <w:rPr>
                <w:rFonts w:eastAsia="Times New Roman"/>
                <w:b/>
                <w:bCs/>
                <w:noProof/>
              </w:rPr>
              <w:t>Impact assessment</w:t>
            </w:r>
            <w:r w:rsidRPr="2A1AD167">
              <w:rPr>
                <w:rFonts w:eastAsia="Times New Roman"/>
                <w:noProof/>
                <w:lang w:val="en-US"/>
              </w:rPr>
              <w:t xml:space="preserve"> </w:t>
            </w:r>
          </w:p>
          <w:p w14:paraId="1824F31F" w14:textId="34423EF0" w:rsidR="2A1AD167" w:rsidRDefault="2A1AD167" w:rsidP="00603157">
            <w:pPr>
              <w:spacing w:before="0" w:after="160"/>
              <w:rPr>
                <w:rFonts w:eastAsia="Times New Roman"/>
                <w:noProof/>
                <w:lang w:val="en-US"/>
              </w:rPr>
            </w:pPr>
            <w:r w:rsidRPr="2A1AD167">
              <w:rPr>
                <w:rFonts w:eastAsia="Times New Roman"/>
                <w:noProof/>
              </w:rPr>
              <w:t xml:space="preserve">Carried out in 2022: </w:t>
            </w:r>
            <w:hyperlink r:id="rId48" w:history="1">
              <w:r w:rsidRPr="2A1AD167">
                <w:rPr>
                  <w:rStyle w:val="Hyperlink"/>
                  <w:rFonts w:eastAsia="Times New Roman"/>
                  <w:noProof/>
                  <w:color w:val="0000FF"/>
                </w:rPr>
                <w:t>link</w:t>
              </w:r>
            </w:hyperlink>
            <w:r w:rsidRPr="2A1AD167">
              <w:rPr>
                <w:rFonts w:eastAsia="Times New Roman"/>
                <w:noProof/>
                <w:lang w:val="en-US"/>
              </w:rPr>
              <w:t xml:space="preserve"> </w:t>
            </w:r>
          </w:p>
        </w:tc>
      </w:tr>
      <w:tr w:rsidR="00DC3A23" w14:paraId="4B92899A" w14:textId="77777777" w:rsidTr="51E0209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24F360" w14:textId="07A6C6D6" w:rsidR="2A1AD167" w:rsidRDefault="2A1AD167" w:rsidP="00603157">
            <w:pPr>
              <w:spacing w:before="0" w:after="160"/>
              <w:rPr>
                <w:rFonts w:eastAsia="Times New Roman"/>
                <w:noProof/>
                <w:lang w:val="en-US"/>
              </w:rPr>
            </w:pPr>
            <w:r w:rsidRPr="2A1AD167">
              <w:rPr>
                <w:rFonts w:eastAsia="Times New Roman"/>
                <w:b/>
                <w:bCs/>
                <w:noProof/>
              </w:rPr>
              <w:t>Mid-term evaluation</w:t>
            </w:r>
            <w:r w:rsidRPr="2A1AD167">
              <w:rPr>
                <w:rFonts w:eastAsia="Times New Roman"/>
                <w:noProof/>
                <w:lang w:val="en-US"/>
              </w:rPr>
              <w:t xml:space="preserve"> </w:t>
            </w:r>
          </w:p>
          <w:p w14:paraId="356C685C" w14:textId="2572F716" w:rsidR="2A1AD167" w:rsidRDefault="2A1AD167" w:rsidP="00603157">
            <w:pPr>
              <w:spacing w:before="0" w:after="160"/>
              <w:rPr>
                <w:rFonts w:eastAsia="Times New Roman"/>
                <w:noProof/>
                <w:lang w:val="en-US"/>
              </w:rPr>
            </w:pPr>
            <w:r w:rsidRPr="2A1AD167">
              <w:rPr>
                <w:rFonts w:eastAsia="Times New Roman"/>
                <w:noProof/>
              </w:rPr>
              <w:t>Not yet carried out.</w:t>
            </w:r>
            <w:r w:rsidRPr="2A1AD167">
              <w:rPr>
                <w:rFonts w:eastAsia="Times New Roman"/>
                <w:noProof/>
                <w:lang w:val="en-US"/>
              </w:rPr>
              <w:t xml:space="preserve"> </w:t>
            </w:r>
          </w:p>
        </w:tc>
      </w:tr>
      <w:tr w:rsidR="00DC3A23" w14:paraId="509E4398" w14:textId="77777777" w:rsidTr="51E0209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B63B3D" w14:textId="37571DFB" w:rsidR="2A1AD167" w:rsidRDefault="2A1AD167" w:rsidP="00603157">
            <w:pPr>
              <w:spacing w:before="0" w:after="160"/>
              <w:rPr>
                <w:rFonts w:eastAsia="Times New Roman"/>
                <w:noProof/>
                <w:lang w:val="en-US"/>
              </w:rPr>
            </w:pPr>
            <w:r w:rsidRPr="2A1AD167">
              <w:rPr>
                <w:rFonts w:eastAsia="Times New Roman"/>
                <w:b/>
                <w:bCs/>
                <w:noProof/>
              </w:rPr>
              <w:t>Budget</w:t>
            </w:r>
            <w:r w:rsidRPr="2A1AD167">
              <w:rPr>
                <w:rFonts w:eastAsia="Times New Roman"/>
                <w:noProof/>
                <w:lang w:val="en-US"/>
              </w:rPr>
              <w:t xml:space="preserve"> </w:t>
            </w:r>
          </w:p>
          <w:p w14:paraId="0F8AB3E7" w14:textId="05E67B65" w:rsidR="2A1AD167" w:rsidRDefault="2A1AD167" w:rsidP="00603157">
            <w:pPr>
              <w:spacing w:before="0" w:after="160"/>
              <w:rPr>
                <w:rFonts w:eastAsia="Times New Roman"/>
                <w:noProof/>
                <w:lang w:val="en-US"/>
              </w:rPr>
            </w:pPr>
            <w:r w:rsidRPr="2A1AD167">
              <w:rPr>
                <w:rFonts w:eastAsia="Times New Roman"/>
                <w:noProof/>
              </w:rPr>
              <w:t>Around EUR 10.6 bln. This includes EUR 2.4 bln from the EU budget, EUR 685 mln from the European Space Agency, while the rest will be covered by the private sector.</w:t>
            </w:r>
          </w:p>
        </w:tc>
      </w:tr>
      <w:tr w:rsidR="00DC3A23" w14:paraId="20526D77" w14:textId="77777777" w:rsidTr="51E0209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94A90C" w14:textId="6F88512E" w:rsidR="2A1AD167" w:rsidRDefault="2A1AD167" w:rsidP="00603157">
            <w:pPr>
              <w:spacing w:before="0" w:after="160"/>
              <w:rPr>
                <w:rFonts w:eastAsia="Times New Roman"/>
                <w:noProof/>
                <w:lang w:val="en-US"/>
              </w:rPr>
            </w:pPr>
            <w:r w:rsidRPr="2A1AD167">
              <w:rPr>
                <w:rFonts w:eastAsia="Times New Roman"/>
                <w:b/>
                <w:bCs/>
                <w:noProof/>
              </w:rPr>
              <w:t>Focus</w:t>
            </w:r>
            <w:r w:rsidRPr="2A1AD167">
              <w:rPr>
                <w:rFonts w:eastAsia="Times New Roman"/>
                <w:noProof/>
                <w:lang w:val="en-US"/>
              </w:rPr>
              <w:t xml:space="preserve"> </w:t>
            </w:r>
          </w:p>
          <w:p w14:paraId="24FA7238" w14:textId="6AC3B336" w:rsidR="2A1AD167" w:rsidRDefault="2A1AD167" w:rsidP="00603157">
            <w:pPr>
              <w:spacing w:before="0" w:after="160"/>
              <w:rPr>
                <w:rFonts w:eastAsia="Times New Roman"/>
                <w:noProof/>
                <w:lang w:val="en-US"/>
              </w:rPr>
            </w:pPr>
            <w:r w:rsidRPr="2A1AD167">
              <w:rPr>
                <w:rFonts w:eastAsia="Times New Roman"/>
                <w:noProof/>
              </w:rPr>
              <w:t>The IRIS2 programme focuses on establishing a secure, resilient, and autonomous satellite-based communication system for the European Union. Its core aim is to provide uninterrupted, high-speed, and low-latency connectivity for government-authorised users, while also enabling commercial services that help bridge the digital divide across Europe and beyond.</w:t>
            </w:r>
            <w:r w:rsidRPr="2A1AD167">
              <w:rPr>
                <w:rFonts w:eastAsia="Times New Roman"/>
                <w:noProof/>
                <w:lang w:val="en-US"/>
              </w:rPr>
              <w:t xml:space="preserve"> </w:t>
            </w:r>
          </w:p>
          <w:p w14:paraId="61FCC51B" w14:textId="4B68A270" w:rsidR="2A1AD167" w:rsidRDefault="2A1AD167" w:rsidP="00603157">
            <w:pPr>
              <w:spacing w:before="0" w:after="160"/>
              <w:rPr>
                <w:rFonts w:eastAsia="Times New Roman"/>
                <w:noProof/>
                <w:lang w:val="en-US"/>
              </w:rPr>
            </w:pPr>
            <w:r w:rsidRPr="2A1AD167">
              <w:rPr>
                <w:rFonts w:eastAsia="Times New Roman"/>
                <w:noProof/>
              </w:rPr>
              <w:t>Horizon Europe, the Neighbourhood, Development and International Cooperation Instrument (NDICI) and the EU Space Programme (through GOVSATCOM) will all allocate some funds to the programme, thus contributing to its development.</w:t>
            </w:r>
            <w:r w:rsidRPr="2A1AD167">
              <w:rPr>
                <w:rFonts w:eastAsia="Times New Roman"/>
                <w:noProof/>
                <w:lang w:val="en-US"/>
              </w:rPr>
              <w:t xml:space="preserve"> </w:t>
            </w:r>
          </w:p>
        </w:tc>
      </w:tr>
      <w:tr w:rsidR="00DC3A23" w14:paraId="69445D33" w14:textId="77777777" w:rsidTr="51E0209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3C02D6" w14:textId="2B89EDCC" w:rsidR="2A1AD167" w:rsidRDefault="2A1AD167" w:rsidP="00603157">
            <w:pPr>
              <w:spacing w:before="0" w:after="160"/>
              <w:rPr>
                <w:rFonts w:eastAsia="Times New Roman"/>
                <w:noProof/>
                <w:lang w:val="en-US"/>
              </w:rPr>
            </w:pPr>
            <w:r w:rsidRPr="2A1AD167">
              <w:rPr>
                <w:rFonts w:eastAsia="Times New Roman"/>
                <w:b/>
                <w:bCs/>
                <w:noProof/>
              </w:rPr>
              <w:t>Delivery mode</w:t>
            </w:r>
            <w:r w:rsidRPr="2A1AD167">
              <w:rPr>
                <w:rFonts w:eastAsia="Times New Roman"/>
                <w:noProof/>
                <w:lang w:val="en-US"/>
              </w:rPr>
              <w:t xml:space="preserve"> </w:t>
            </w:r>
          </w:p>
          <w:p w14:paraId="6F1DC6CB" w14:textId="0AC96D0A" w:rsidR="2A1AD167" w:rsidRDefault="2A1AD167" w:rsidP="00603157">
            <w:pPr>
              <w:spacing w:before="0" w:after="160"/>
              <w:rPr>
                <w:rFonts w:eastAsia="Times New Roman"/>
                <w:noProof/>
                <w:lang w:val="en-US"/>
              </w:rPr>
            </w:pPr>
            <w:r w:rsidRPr="2A1AD167">
              <w:rPr>
                <w:rFonts w:eastAsia="Times New Roman"/>
                <w:noProof/>
              </w:rPr>
              <w:t>The delivery mode combines direct Union implementation (for the governmental infrastructure) and a public-private partnership through concessions and procurement contracts.</w:t>
            </w:r>
            <w:r w:rsidRPr="2A1AD167">
              <w:rPr>
                <w:rFonts w:eastAsia="Times New Roman"/>
                <w:noProof/>
                <w:lang w:val="en-US"/>
              </w:rPr>
              <w:t xml:space="preserve"> </w:t>
            </w:r>
          </w:p>
        </w:tc>
      </w:tr>
      <w:tr w:rsidR="00DC3A23" w14:paraId="4464AB1B" w14:textId="77777777" w:rsidTr="51E0209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268F68" w14:textId="2E0AFD47" w:rsidR="2A1AD167" w:rsidRDefault="2A1AD167" w:rsidP="00603157">
            <w:pPr>
              <w:spacing w:before="0" w:after="160"/>
              <w:rPr>
                <w:rFonts w:eastAsia="Times New Roman"/>
                <w:noProof/>
                <w:lang w:val="en-US"/>
              </w:rPr>
            </w:pPr>
            <w:r w:rsidRPr="2A1AD167">
              <w:rPr>
                <w:rFonts w:eastAsia="Times New Roman"/>
                <w:b/>
                <w:bCs/>
                <w:noProof/>
              </w:rPr>
              <w:t>Predecessor</w:t>
            </w:r>
            <w:r w:rsidRPr="2A1AD167">
              <w:rPr>
                <w:rFonts w:eastAsia="Times New Roman"/>
                <w:noProof/>
                <w:lang w:val="en-US"/>
              </w:rPr>
              <w:t xml:space="preserve"> </w:t>
            </w:r>
          </w:p>
          <w:p w14:paraId="329C0981" w14:textId="26A549B1" w:rsidR="2A1AD167" w:rsidRDefault="2A1AD167" w:rsidP="00603157">
            <w:pPr>
              <w:spacing w:before="0" w:after="160"/>
              <w:rPr>
                <w:rFonts w:eastAsia="Times New Roman"/>
                <w:noProof/>
                <w:lang w:val="en-US"/>
              </w:rPr>
            </w:pPr>
            <w:r w:rsidRPr="2A1AD167">
              <w:rPr>
                <w:rFonts w:eastAsia="Times New Roman"/>
                <w:noProof/>
              </w:rPr>
              <w:t>GOVSATCOM, an EU Space Programme initiative focused on providing satellite communication, can be regarded as a precursor, as it will be complemented by IRIS</w:t>
            </w:r>
            <w:r w:rsidRPr="2A1AD167">
              <w:rPr>
                <w:rFonts w:eastAsia="Times New Roman"/>
                <w:noProof/>
                <w:vertAlign w:val="superscript"/>
              </w:rPr>
              <w:t>2</w:t>
            </w:r>
            <w:r w:rsidRPr="2A1AD167">
              <w:rPr>
                <w:rFonts w:eastAsia="Times New Roman"/>
                <w:noProof/>
              </w:rPr>
              <w:t>. The programme builds also upon existing EU space initiatives like Galileo, a satellite navigation system and Copernicus, an Earth observation programme.</w:t>
            </w:r>
          </w:p>
        </w:tc>
      </w:tr>
      <w:tr w:rsidR="00F972F5" w14:paraId="2216269F" w14:textId="77777777" w:rsidTr="51E0209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79A656" w14:textId="77777777" w:rsidR="0097709C" w:rsidRPr="00787960" w:rsidRDefault="0097709C" w:rsidP="0097709C">
            <w:pPr>
              <w:spacing w:before="40" w:after="40"/>
              <w:rPr>
                <w:b/>
                <w:noProof/>
                <w:lang w:eastAsia="nl-BE"/>
              </w:rPr>
            </w:pPr>
            <w:r w:rsidRPr="00787960">
              <w:rPr>
                <w:b/>
                <w:noProof/>
                <w:lang w:eastAsia="nl-BE"/>
              </w:rPr>
              <w:t>Type of recipients</w:t>
            </w:r>
          </w:p>
          <w:p w14:paraId="51EEEF95" w14:textId="0DCD7B10" w:rsidR="0097709C" w:rsidRPr="0097709C" w:rsidRDefault="0097709C" w:rsidP="0097709C">
            <w:pPr>
              <w:spacing w:before="0" w:after="160"/>
              <w:rPr>
                <w:rFonts w:eastAsia="Times New Roman"/>
                <w:b/>
                <w:bCs/>
                <w:noProof/>
              </w:rPr>
            </w:pPr>
            <w:r w:rsidRPr="00787960">
              <w:rPr>
                <w:bCs/>
                <w:noProof/>
                <w:lang w:eastAsia="nl-BE"/>
              </w:rPr>
              <w:t>The contract’s recipient is the SpaceRISE consortium, composed of three European satellite network operators (SES SA, Eutelsat SA, and Hispasat S.A.). The consortium relies on a Core Team of European subcontractors from all segments of the satcom ecosystem for the delivery of the scope of the concession contract (Thales Alenia Space, OHB, Airbus Defence and Space, Telespazio, Deutsche Telekom, Orange, Hisdesat and Thales SIX).</w:t>
            </w:r>
          </w:p>
        </w:tc>
      </w:tr>
      <w:tr w:rsidR="00F972F5" w14:paraId="39FD0E65" w14:textId="77777777" w:rsidTr="51E0209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995636" w14:textId="77777777" w:rsidR="0097709C" w:rsidRPr="00787960" w:rsidRDefault="0097709C" w:rsidP="0097709C">
            <w:pPr>
              <w:spacing w:before="40" w:after="40"/>
              <w:rPr>
                <w:b/>
                <w:noProof/>
                <w:lang w:eastAsia="nl-BE"/>
              </w:rPr>
            </w:pPr>
            <w:r w:rsidRPr="00787960">
              <w:rPr>
                <w:b/>
                <w:noProof/>
                <w:lang w:eastAsia="nl-BE"/>
              </w:rPr>
              <w:t>Forms of EU support</w:t>
            </w:r>
          </w:p>
          <w:p w14:paraId="1468E099" w14:textId="618D2677" w:rsidR="0097709C" w:rsidRPr="0097709C" w:rsidRDefault="0097709C" w:rsidP="0097709C">
            <w:pPr>
              <w:spacing w:before="0" w:after="160"/>
              <w:rPr>
                <w:rFonts w:eastAsia="Times New Roman"/>
                <w:b/>
                <w:bCs/>
                <w:noProof/>
              </w:rPr>
            </w:pPr>
            <w:r w:rsidRPr="00787960">
              <w:rPr>
                <w:bCs/>
                <w:noProof/>
                <w:lang w:eastAsia="nl-BE"/>
              </w:rPr>
              <w:t>Grants, prizes, procurement, financial instruments within blending operations.</w:t>
            </w:r>
          </w:p>
        </w:tc>
      </w:tr>
      <w:tr w:rsidR="00F972F5" w14:paraId="1D1F1E7B" w14:textId="77777777" w:rsidTr="51E0209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78B8C8" w14:textId="77777777" w:rsidR="0097709C" w:rsidRPr="00787960" w:rsidRDefault="0097709C" w:rsidP="0097709C">
            <w:pPr>
              <w:spacing w:before="40" w:after="40"/>
              <w:rPr>
                <w:b/>
                <w:noProof/>
                <w:lang w:eastAsia="nl-BE"/>
              </w:rPr>
            </w:pPr>
            <w:r w:rsidRPr="00787960">
              <w:rPr>
                <w:b/>
                <w:noProof/>
                <w:lang w:eastAsia="nl-BE"/>
              </w:rPr>
              <w:t>Third countries associated to the programme</w:t>
            </w:r>
          </w:p>
          <w:p w14:paraId="50C7DD70" w14:textId="77777777" w:rsidR="0097709C" w:rsidRPr="00787960" w:rsidRDefault="0097709C" w:rsidP="0097709C">
            <w:pPr>
              <w:spacing w:before="40" w:after="40"/>
              <w:rPr>
                <w:noProof/>
                <w:lang w:eastAsia="nl-BE"/>
              </w:rPr>
            </w:pPr>
            <w:r w:rsidRPr="00787960">
              <w:rPr>
                <w:noProof/>
                <w:lang w:eastAsia="nl-BE"/>
              </w:rPr>
              <w:t xml:space="preserve">There are four categories of countries eligible for participation in the programme: </w:t>
            </w:r>
          </w:p>
          <w:p w14:paraId="1E86F857" w14:textId="77777777" w:rsidR="0097709C" w:rsidRPr="00787960" w:rsidRDefault="0097709C" w:rsidP="0097709C">
            <w:pPr>
              <w:pStyle w:val="ListParagraph"/>
              <w:numPr>
                <w:ilvl w:val="0"/>
                <w:numId w:val="109"/>
              </w:numPr>
              <w:spacing w:before="40" w:after="40"/>
              <w:rPr>
                <w:noProof/>
                <w:lang w:eastAsia="nl-BE"/>
              </w:rPr>
            </w:pPr>
            <w:r w:rsidRPr="00787960">
              <w:rPr>
                <w:noProof/>
                <w:lang w:eastAsia="nl-BE"/>
              </w:rPr>
              <w:t>Members of the European Free Trade Association (EFTA) which are members of the European Economic Area (EEA)</w:t>
            </w:r>
          </w:p>
          <w:p w14:paraId="3AF1F59A" w14:textId="77777777" w:rsidR="0097709C" w:rsidRPr="00787960" w:rsidRDefault="0097709C" w:rsidP="0097709C">
            <w:pPr>
              <w:pStyle w:val="ListParagraph"/>
              <w:numPr>
                <w:ilvl w:val="0"/>
                <w:numId w:val="109"/>
              </w:numPr>
              <w:spacing w:before="40" w:after="40"/>
              <w:rPr>
                <w:noProof/>
                <w:lang w:eastAsia="nl-BE"/>
              </w:rPr>
            </w:pPr>
            <w:r w:rsidRPr="00787960">
              <w:rPr>
                <w:noProof/>
                <w:lang w:eastAsia="nl-BE"/>
              </w:rPr>
              <w:t>Acceding countries, candidate countries and potential candidates</w:t>
            </w:r>
          </w:p>
          <w:p w14:paraId="6F67E02C" w14:textId="77777777" w:rsidR="0097709C" w:rsidRPr="00787960" w:rsidRDefault="0097709C" w:rsidP="0097709C">
            <w:pPr>
              <w:pStyle w:val="ListParagraph"/>
              <w:numPr>
                <w:ilvl w:val="0"/>
                <w:numId w:val="109"/>
              </w:numPr>
              <w:spacing w:before="40" w:after="40"/>
              <w:rPr>
                <w:noProof/>
                <w:lang w:eastAsia="nl-BE"/>
              </w:rPr>
            </w:pPr>
            <w:r w:rsidRPr="00787960">
              <w:rPr>
                <w:noProof/>
                <w:lang w:eastAsia="nl-BE"/>
              </w:rPr>
              <w:t>European Neighbourhood Policy (ENP) countries</w:t>
            </w:r>
          </w:p>
          <w:p w14:paraId="7055B49C" w14:textId="7F0FDFE8" w:rsidR="0097709C" w:rsidRPr="0097709C" w:rsidRDefault="0097709C" w:rsidP="0097709C">
            <w:pPr>
              <w:spacing w:before="0" w:after="160"/>
              <w:rPr>
                <w:rFonts w:eastAsia="Times New Roman"/>
                <w:b/>
                <w:bCs/>
                <w:noProof/>
              </w:rPr>
            </w:pPr>
            <w:r w:rsidRPr="00787960">
              <w:rPr>
                <w:noProof/>
                <w:lang w:eastAsia="nl-BE"/>
              </w:rPr>
              <w:t>Other third countries based on specific agreements.</w:t>
            </w:r>
          </w:p>
        </w:tc>
      </w:tr>
      <w:tr w:rsidR="00F972F5" w14:paraId="737C3514" w14:textId="77777777" w:rsidTr="51E0209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697E61" w14:textId="77777777" w:rsidR="0097709C" w:rsidRPr="00787960" w:rsidRDefault="0097709C" w:rsidP="0097709C">
            <w:pPr>
              <w:spacing w:before="40" w:after="40"/>
              <w:rPr>
                <w:b/>
                <w:noProof/>
                <w:lang w:eastAsia="nl-BE"/>
              </w:rPr>
            </w:pPr>
            <w:r w:rsidRPr="00787960">
              <w:rPr>
                <w:b/>
                <w:noProof/>
                <w:lang w:eastAsia="nl-BE"/>
              </w:rPr>
              <w:t>Application</w:t>
            </w:r>
          </w:p>
          <w:p w14:paraId="0B220A96" w14:textId="77777777" w:rsidR="0097709C" w:rsidRPr="00787960" w:rsidRDefault="0097709C" w:rsidP="0097709C">
            <w:pPr>
              <w:spacing w:before="40" w:after="40"/>
              <w:rPr>
                <w:bCs/>
                <w:noProof/>
                <w:lang w:eastAsia="nl-BE"/>
              </w:rPr>
            </w:pPr>
            <w:r w:rsidRPr="00787960">
              <w:rPr>
                <w:bCs/>
                <w:noProof/>
                <w:lang w:eastAsia="nl-BE"/>
              </w:rPr>
              <w:t>The call for tender for a Concession Contract for the Implementation of the Union Secure Connectivity Programme was published in March 2023 on the TED eTendering platform.</w:t>
            </w:r>
          </w:p>
          <w:p w14:paraId="33FCD613" w14:textId="236478A4" w:rsidR="0097709C" w:rsidRPr="00787960" w:rsidRDefault="0097709C" w:rsidP="51E02097">
            <w:pPr>
              <w:spacing w:before="40" w:after="40"/>
              <w:rPr>
                <w:noProof/>
                <w:lang w:eastAsia="nl-BE"/>
              </w:rPr>
            </w:pPr>
            <w:r w:rsidRPr="00787960">
              <w:rPr>
                <w:noProof/>
                <w:lang w:eastAsia="nl-BE"/>
              </w:rPr>
              <w:t>A first phase of the procurement procedure for a concession contract to design, develop and operate the IRIS² took place in March/April 2023. The Commission invited the industry to submit their proposals. During this phase, eligibility and participation conditions of the tenderers were evaluated.</w:t>
            </w:r>
          </w:p>
          <w:p w14:paraId="1207B467" w14:textId="410F2884" w:rsidR="0097709C" w:rsidRPr="00787960" w:rsidRDefault="0097709C" w:rsidP="51E02097">
            <w:pPr>
              <w:spacing w:before="40" w:after="40"/>
              <w:rPr>
                <w:noProof/>
                <w:lang w:eastAsia="nl-BE"/>
              </w:rPr>
            </w:pPr>
            <w:r w:rsidRPr="00787960">
              <w:rPr>
                <w:noProof/>
                <w:lang w:eastAsia="nl-BE"/>
              </w:rPr>
              <w:t>In May 2023, a second phase started: the selected consortium is asked to submit initial proposals addressing the scope of the concession contract, in particular in terms of design, cost, schedule and private sector investment. In order to ensure the security and autonomy of IRIS², the Commission continuously monitored throughout the procurement process any changes in the structure of participating companies, so as to ensure that the eligibility and participation conditions were respected.</w:t>
            </w:r>
          </w:p>
          <w:p w14:paraId="6A50A4AE" w14:textId="77777777" w:rsidR="0097709C" w:rsidRPr="00787960" w:rsidRDefault="0097709C" w:rsidP="0097709C">
            <w:pPr>
              <w:spacing w:before="40" w:after="40"/>
              <w:rPr>
                <w:bCs/>
                <w:noProof/>
                <w:lang w:eastAsia="nl-BE"/>
              </w:rPr>
            </w:pPr>
            <w:r w:rsidRPr="00787960">
              <w:rPr>
                <w:bCs/>
                <w:noProof/>
                <w:lang w:eastAsia="nl-BE"/>
              </w:rPr>
              <w:t>The third and final phase consisted in the request of a best and final offer. This “optimised best-and-final offer” (OBAFO) was received in September 2024.</w:t>
            </w:r>
          </w:p>
          <w:p w14:paraId="2CFAF354" w14:textId="32CA93F8" w:rsidR="0097709C" w:rsidRPr="0097709C" w:rsidRDefault="0097709C" w:rsidP="0097709C">
            <w:pPr>
              <w:spacing w:before="0" w:after="160"/>
              <w:rPr>
                <w:rFonts w:eastAsia="Times New Roman"/>
                <w:b/>
                <w:bCs/>
                <w:noProof/>
              </w:rPr>
            </w:pPr>
            <w:r w:rsidRPr="00787960">
              <w:rPr>
                <w:bCs/>
                <w:noProof/>
                <w:lang w:eastAsia="nl-BE"/>
              </w:rPr>
              <w:t>The contract was awarded in October 2024 and in December 2024, the Commission announced the signature of the concession contract for IRIS².</w:t>
            </w:r>
          </w:p>
        </w:tc>
      </w:tr>
    </w:tbl>
    <w:p w14:paraId="2A0EC249" w14:textId="417085D8" w:rsidR="0AA200F7" w:rsidRDefault="0AA200F7" w:rsidP="00603157">
      <w:pPr>
        <w:spacing w:before="0" w:after="240"/>
        <w:rPr>
          <w:rFonts w:eastAsia="Times New Roman"/>
          <w:noProof/>
          <w:lang w:val="en-US"/>
        </w:rPr>
      </w:pPr>
    </w:p>
    <w:p w14:paraId="5D5393A9" w14:textId="4EFD6EF6" w:rsidR="0AA200F7" w:rsidRDefault="0AA200F7" w:rsidP="00603157">
      <w:pPr>
        <w:spacing w:before="0" w:after="240"/>
        <w:rPr>
          <w:rFonts w:eastAsia="Times New Roman"/>
          <w:i/>
          <w:iCs/>
          <w:noProof/>
          <w:lang w:val="en-US"/>
        </w:rPr>
      </w:pPr>
      <w:r w:rsidRPr="2A1AD167">
        <w:rPr>
          <w:rFonts w:eastAsia="Times New Roman"/>
          <w:noProof/>
          <w:lang w:val="en-US"/>
        </w:rPr>
        <w:t xml:space="preserve"> </w:t>
      </w:r>
      <w:r w:rsidRPr="2A1AD167">
        <w:rPr>
          <w:rFonts w:eastAsia="Times New Roman"/>
          <w:i/>
          <w:iCs/>
          <w:noProof/>
        </w:rPr>
        <w:t>EU Space Programme</w:t>
      </w:r>
      <w:r w:rsidRPr="2A1AD167">
        <w:rPr>
          <w:rFonts w:eastAsia="Times New Roman"/>
          <w:i/>
          <w:iCs/>
          <w:noProof/>
          <w:lang w:val="en-US"/>
        </w:rPr>
        <w:t xml:space="preserve"> </w:t>
      </w:r>
    </w:p>
    <w:tbl>
      <w:tblPr>
        <w:tblW w:w="10065" w:type="dxa"/>
        <w:tblInd w:w="-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065"/>
      </w:tblGrid>
      <w:tr w:rsidR="00E82E80" w14:paraId="445ACCAF"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AF56DE" w14:textId="4AB91055" w:rsidR="2A1AD167" w:rsidRDefault="2A1AD167" w:rsidP="00603157">
            <w:pPr>
              <w:spacing w:before="0" w:after="160"/>
              <w:rPr>
                <w:rFonts w:eastAsia="Times New Roman"/>
                <w:noProof/>
                <w:lang w:val="en-US"/>
              </w:rPr>
            </w:pPr>
            <w:r w:rsidRPr="2A1AD167">
              <w:rPr>
                <w:rFonts w:eastAsia="Times New Roman"/>
                <w:b/>
                <w:bCs/>
                <w:noProof/>
              </w:rPr>
              <w:t>Regulation</w:t>
            </w:r>
            <w:r w:rsidRPr="2A1AD167">
              <w:rPr>
                <w:rFonts w:eastAsia="Times New Roman"/>
                <w:noProof/>
                <w:lang w:val="en-US"/>
              </w:rPr>
              <w:t xml:space="preserve"> </w:t>
            </w:r>
          </w:p>
          <w:p w14:paraId="1F557075" w14:textId="77777777" w:rsidR="2A1AD167" w:rsidRDefault="2A1AD167" w:rsidP="00603157">
            <w:pPr>
              <w:spacing w:before="0" w:after="160"/>
              <w:rPr>
                <w:rFonts w:eastAsia="Times New Roman"/>
                <w:noProof/>
                <w:lang w:val="en-US"/>
              </w:rPr>
            </w:pPr>
            <w:r w:rsidRPr="2A1AD167">
              <w:rPr>
                <w:rFonts w:eastAsia="Times New Roman"/>
                <w:noProof/>
              </w:rPr>
              <w:t>Regulation (EU) 2021/696 of the European Parliament and of the Council</w:t>
            </w:r>
            <w:r w:rsidRPr="2A1AD167">
              <w:rPr>
                <w:rFonts w:eastAsia="Times New Roman"/>
                <w:noProof/>
                <w:lang w:val="en-US"/>
              </w:rPr>
              <w:t xml:space="preserve"> </w:t>
            </w:r>
          </w:p>
          <w:p w14:paraId="5E94106F" w14:textId="33934428" w:rsidR="007842BC" w:rsidRDefault="007842BC" w:rsidP="00603157">
            <w:pPr>
              <w:spacing w:before="0" w:after="160"/>
              <w:rPr>
                <w:rFonts w:eastAsia="Times New Roman"/>
                <w:noProof/>
                <w:lang w:val="en-US"/>
              </w:rPr>
            </w:pPr>
            <w:r>
              <w:rPr>
                <w:rFonts w:eastAsia="Times New Roman"/>
                <w:noProof/>
                <w:lang w:val="en-US"/>
              </w:rPr>
              <w:t xml:space="preserve">Legal base: </w:t>
            </w:r>
            <w:r w:rsidR="00BD469A">
              <w:rPr>
                <w:rFonts w:eastAsia="Times New Roman"/>
                <w:noProof/>
                <w:lang w:val="en-US"/>
              </w:rPr>
              <w:t>Article 189(2) of the Treaty on the Functioning of the EU</w:t>
            </w:r>
          </w:p>
        </w:tc>
      </w:tr>
      <w:tr w:rsidR="00E82E80" w14:paraId="415B6BB1"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FB4021" w14:textId="2622DE24" w:rsidR="2A1AD167" w:rsidRDefault="2A1AD167" w:rsidP="00603157">
            <w:pPr>
              <w:spacing w:before="0" w:after="160"/>
              <w:rPr>
                <w:rFonts w:eastAsia="Times New Roman"/>
                <w:noProof/>
                <w:lang w:val="en-US"/>
              </w:rPr>
            </w:pPr>
            <w:r w:rsidRPr="2A1AD167">
              <w:rPr>
                <w:rFonts w:eastAsia="Times New Roman"/>
                <w:b/>
                <w:bCs/>
                <w:noProof/>
              </w:rPr>
              <w:t>Period</w:t>
            </w:r>
            <w:r w:rsidRPr="2A1AD167">
              <w:rPr>
                <w:rFonts w:eastAsia="Times New Roman"/>
                <w:noProof/>
                <w:lang w:val="en-US"/>
              </w:rPr>
              <w:t xml:space="preserve"> </w:t>
            </w:r>
          </w:p>
          <w:p w14:paraId="73303252" w14:textId="06C70195" w:rsidR="2A1AD167" w:rsidRDefault="2A1AD167" w:rsidP="00603157">
            <w:pPr>
              <w:spacing w:before="0" w:after="160"/>
              <w:rPr>
                <w:rFonts w:eastAsia="Times New Roman"/>
                <w:noProof/>
                <w:lang w:val="en-US"/>
              </w:rPr>
            </w:pPr>
            <w:r w:rsidRPr="2A1AD167">
              <w:rPr>
                <w:rFonts w:eastAsia="Times New Roman"/>
                <w:noProof/>
              </w:rPr>
              <w:t>2021 – 2027</w:t>
            </w:r>
            <w:r w:rsidRPr="2A1AD167">
              <w:rPr>
                <w:rFonts w:eastAsia="Times New Roman"/>
                <w:noProof/>
                <w:lang w:val="en-US"/>
              </w:rPr>
              <w:t xml:space="preserve"> </w:t>
            </w:r>
          </w:p>
        </w:tc>
      </w:tr>
      <w:tr w:rsidR="00E82E80" w14:paraId="0DD01712"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22496A" w14:textId="1FF44CDD" w:rsidR="2A1AD167" w:rsidRDefault="2A1AD167" w:rsidP="00603157">
            <w:pPr>
              <w:spacing w:before="0" w:after="160"/>
              <w:rPr>
                <w:rFonts w:eastAsia="Times New Roman"/>
                <w:noProof/>
                <w:lang w:val="en-US"/>
              </w:rPr>
            </w:pPr>
            <w:r w:rsidRPr="2A1AD167">
              <w:rPr>
                <w:rFonts w:eastAsia="Times New Roman"/>
                <w:b/>
                <w:bCs/>
                <w:noProof/>
              </w:rPr>
              <w:t>Impact assessment</w:t>
            </w:r>
            <w:r w:rsidRPr="2A1AD167">
              <w:rPr>
                <w:rFonts w:eastAsia="Times New Roman"/>
                <w:noProof/>
                <w:lang w:val="en-US"/>
              </w:rPr>
              <w:t xml:space="preserve"> </w:t>
            </w:r>
          </w:p>
          <w:p w14:paraId="5839817B" w14:textId="524F3CA3" w:rsidR="2A1AD167" w:rsidRDefault="2A1AD167" w:rsidP="00603157">
            <w:pPr>
              <w:spacing w:before="0" w:after="160"/>
              <w:rPr>
                <w:rFonts w:eastAsia="Times New Roman"/>
                <w:noProof/>
              </w:rPr>
            </w:pPr>
            <w:r w:rsidRPr="76B557A2">
              <w:rPr>
                <w:rFonts w:eastAsia="Times New Roman"/>
                <w:noProof/>
              </w:rPr>
              <w:t xml:space="preserve">Carried out in 2018: </w:t>
            </w:r>
            <w:hyperlink r:id="rId49">
              <w:r w:rsidR="50FF56F7" w:rsidRPr="2C7834A7">
                <w:rPr>
                  <w:rStyle w:val="Hyperlink"/>
                  <w:rFonts w:eastAsia="Times New Roman"/>
                  <w:noProof/>
                </w:rPr>
                <w:t>link</w:t>
              </w:r>
            </w:hyperlink>
          </w:p>
        </w:tc>
      </w:tr>
      <w:tr w:rsidR="00E82E80" w14:paraId="5055EA3A"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FA7EDD" w14:textId="604B7B8B" w:rsidR="2A1AD167" w:rsidRDefault="2A1AD167" w:rsidP="00603157">
            <w:pPr>
              <w:spacing w:before="0" w:after="160"/>
              <w:rPr>
                <w:rFonts w:eastAsia="Times New Roman"/>
                <w:noProof/>
                <w:lang w:val="en-US"/>
              </w:rPr>
            </w:pPr>
            <w:r w:rsidRPr="2A1AD167">
              <w:rPr>
                <w:rFonts w:eastAsia="Times New Roman"/>
                <w:b/>
                <w:bCs/>
                <w:noProof/>
              </w:rPr>
              <w:t>Mid-term evaluation</w:t>
            </w:r>
            <w:r w:rsidRPr="2A1AD167">
              <w:rPr>
                <w:rFonts w:eastAsia="Times New Roman"/>
                <w:noProof/>
                <w:lang w:val="en-US"/>
              </w:rPr>
              <w:t xml:space="preserve"> </w:t>
            </w:r>
          </w:p>
          <w:p w14:paraId="02BC02A0" w14:textId="338E0A35" w:rsidR="2A1AD167" w:rsidRDefault="2A1AD167" w:rsidP="00603157">
            <w:pPr>
              <w:spacing w:before="0" w:after="160"/>
              <w:rPr>
                <w:rFonts w:eastAsia="Times New Roman"/>
                <w:noProof/>
                <w:lang w:val="en-US"/>
              </w:rPr>
            </w:pPr>
            <w:r w:rsidRPr="2A1AD167">
              <w:rPr>
                <w:rFonts w:eastAsia="Times New Roman"/>
                <w:noProof/>
              </w:rPr>
              <w:t xml:space="preserve">Carried out in 2024: </w:t>
            </w:r>
            <w:hyperlink r:id="rId50" w:history="1">
              <w:r w:rsidRPr="2A1AD167">
                <w:rPr>
                  <w:rStyle w:val="Hyperlink"/>
                  <w:rFonts w:eastAsia="Times New Roman"/>
                  <w:noProof/>
                  <w:color w:val="0000FF"/>
                </w:rPr>
                <w:t>link</w:t>
              </w:r>
            </w:hyperlink>
            <w:r w:rsidRPr="2A1AD167">
              <w:rPr>
                <w:rFonts w:eastAsia="Times New Roman"/>
                <w:noProof/>
                <w:lang w:val="en-US"/>
              </w:rPr>
              <w:t xml:space="preserve"> </w:t>
            </w:r>
          </w:p>
        </w:tc>
      </w:tr>
      <w:tr w:rsidR="00E82E80" w14:paraId="7DB21340"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2FB09B" w14:textId="1F23B6DA" w:rsidR="2A1AD167" w:rsidRDefault="2A1AD167" w:rsidP="00603157">
            <w:pPr>
              <w:spacing w:before="0" w:after="160"/>
              <w:rPr>
                <w:rFonts w:eastAsia="Times New Roman"/>
                <w:noProof/>
                <w:lang w:val="en-US"/>
              </w:rPr>
            </w:pPr>
            <w:r w:rsidRPr="2A1AD167">
              <w:rPr>
                <w:rFonts w:eastAsia="Times New Roman"/>
                <w:b/>
                <w:bCs/>
                <w:noProof/>
              </w:rPr>
              <w:t>Budget</w:t>
            </w:r>
            <w:r w:rsidRPr="2A1AD167">
              <w:rPr>
                <w:rFonts w:eastAsia="Times New Roman"/>
                <w:noProof/>
                <w:lang w:val="en-US"/>
              </w:rPr>
              <w:t xml:space="preserve"> </w:t>
            </w:r>
          </w:p>
          <w:p w14:paraId="690A3939" w14:textId="21941E12" w:rsidR="2A1AD167" w:rsidRDefault="2A1AD167" w:rsidP="00603157">
            <w:pPr>
              <w:spacing w:before="0" w:after="160"/>
              <w:rPr>
                <w:rFonts w:eastAsia="Times New Roman"/>
                <w:noProof/>
                <w:lang w:val="en-US"/>
              </w:rPr>
            </w:pPr>
            <w:r w:rsidRPr="2A1AD167">
              <w:rPr>
                <w:rFonts w:eastAsia="Times New Roman"/>
                <w:noProof/>
              </w:rPr>
              <w:t>Around EUR 14.67 bln.</w:t>
            </w:r>
          </w:p>
        </w:tc>
      </w:tr>
      <w:tr w:rsidR="00E82E80" w14:paraId="4A0DD8D0"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D8618C" w14:textId="606A90D5" w:rsidR="2A1AD167" w:rsidRDefault="2A1AD167" w:rsidP="00603157">
            <w:pPr>
              <w:spacing w:before="0" w:after="160"/>
              <w:rPr>
                <w:rFonts w:eastAsia="Times New Roman"/>
                <w:noProof/>
                <w:lang w:val="en-US"/>
              </w:rPr>
            </w:pPr>
            <w:r w:rsidRPr="2A1AD167">
              <w:rPr>
                <w:rFonts w:eastAsia="Times New Roman"/>
                <w:b/>
                <w:bCs/>
                <w:noProof/>
              </w:rPr>
              <w:t>Focus</w:t>
            </w:r>
            <w:r w:rsidRPr="2A1AD167">
              <w:rPr>
                <w:rFonts w:eastAsia="Times New Roman"/>
                <w:noProof/>
                <w:lang w:val="en-US"/>
              </w:rPr>
              <w:t xml:space="preserve"> </w:t>
            </w:r>
          </w:p>
          <w:p w14:paraId="6F57A773" w14:textId="18403125" w:rsidR="2A1AD167" w:rsidRDefault="2A1AD167" w:rsidP="00603157">
            <w:pPr>
              <w:spacing w:before="0" w:after="160"/>
              <w:rPr>
                <w:rFonts w:eastAsia="Times New Roman"/>
                <w:noProof/>
                <w:lang w:val="en-US"/>
              </w:rPr>
            </w:pPr>
            <w:r w:rsidRPr="2A1AD167">
              <w:rPr>
                <w:rFonts w:eastAsia="Times New Roman"/>
                <w:noProof/>
              </w:rPr>
              <w:t>The EU Space Programme aims at providing:</w:t>
            </w:r>
            <w:r w:rsidRPr="2A1AD167">
              <w:rPr>
                <w:rFonts w:eastAsia="Times New Roman"/>
                <w:noProof/>
                <w:lang w:val="en-US"/>
              </w:rPr>
              <w:t xml:space="preserve"> </w:t>
            </w:r>
          </w:p>
          <w:p w14:paraId="7A81C5D7" w14:textId="49F6F592" w:rsidR="2A1AD167" w:rsidRDefault="2A1AD167" w:rsidP="008C51EB">
            <w:pPr>
              <w:pStyle w:val="ListParagraph"/>
              <w:numPr>
                <w:ilvl w:val="0"/>
                <w:numId w:val="5"/>
              </w:numPr>
              <w:spacing w:before="0" w:after="160"/>
              <w:rPr>
                <w:rFonts w:eastAsia="Times New Roman"/>
                <w:noProof/>
                <w:lang w:val="en-US"/>
              </w:rPr>
            </w:pPr>
            <w:r w:rsidRPr="2A1AD167">
              <w:rPr>
                <w:rFonts w:eastAsia="Times New Roman"/>
                <w:noProof/>
              </w:rPr>
              <w:t>state-of-the-art, robust and secure positioning, navigation and timing services</w:t>
            </w:r>
            <w:r w:rsidRPr="2A1AD167">
              <w:rPr>
                <w:rFonts w:eastAsia="Times New Roman"/>
                <w:noProof/>
                <w:lang w:val="en-US"/>
              </w:rPr>
              <w:t xml:space="preserve"> </w:t>
            </w:r>
          </w:p>
          <w:p w14:paraId="1A983392" w14:textId="2878821C" w:rsidR="2A1AD167" w:rsidRDefault="2A1AD167" w:rsidP="008C51EB">
            <w:pPr>
              <w:pStyle w:val="ListParagraph"/>
              <w:numPr>
                <w:ilvl w:val="0"/>
                <w:numId w:val="5"/>
              </w:numPr>
              <w:spacing w:before="0" w:after="160"/>
              <w:rPr>
                <w:rFonts w:eastAsia="Times New Roman"/>
                <w:noProof/>
                <w:lang w:val="en-US"/>
              </w:rPr>
            </w:pPr>
            <w:r w:rsidRPr="2A1AD167">
              <w:rPr>
                <w:rFonts w:eastAsia="Times New Roman"/>
                <w:noProof/>
              </w:rPr>
              <w:t>accurate and reliable Earth Observation data, information and services</w:t>
            </w:r>
            <w:r w:rsidRPr="2A1AD167">
              <w:rPr>
                <w:rFonts w:eastAsia="Times New Roman"/>
                <w:noProof/>
                <w:lang w:val="en-US"/>
              </w:rPr>
              <w:t xml:space="preserve"> </w:t>
            </w:r>
          </w:p>
          <w:p w14:paraId="521E0C2E" w14:textId="52D64024" w:rsidR="2A1AD167" w:rsidRDefault="2A1AD167" w:rsidP="008C51EB">
            <w:pPr>
              <w:pStyle w:val="ListParagraph"/>
              <w:numPr>
                <w:ilvl w:val="0"/>
                <w:numId w:val="4"/>
              </w:numPr>
              <w:spacing w:before="0" w:after="160"/>
              <w:rPr>
                <w:rFonts w:eastAsia="Times New Roman"/>
                <w:noProof/>
                <w:lang w:val="en-US"/>
              </w:rPr>
            </w:pPr>
            <w:r w:rsidRPr="2A1AD167">
              <w:rPr>
                <w:rFonts w:eastAsia="Times New Roman"/>
                <w:noProof/>
              </w:rPr>
              <w:t>enhanced Space Surveillance and Tracking (SST) capabilities</w:t>
            </w:r>
          </w:p>
          <w:p w14:paraId="52CE386B" w14:textId="05638203" w:rsidR="2A1AD167" w:rsidRDefault="2A1AD167" w:rsidP="008C51EB">
            <w:pPr>
              <w:pStyle w:val="ListParagraph"/>
              <w:numPr>
                <w:ilvl w:val="0"/>
                <w:numId w:val="4"/>
              </w:numPr>
              <w:spacing w:before="0" w:after="160"/>
              <w:rPr>
                <w:rFonts w:eastAsia="Times New Roman"/>
                <w:noProof/>
                <w:lang w:val="en-US"/>
              </w:rPr>
            </w:pPr>
            <w:r w:rsidRPr="2A1AD167">
              <w:rPr>
                <w:rFonts w:eastAsia="Times New Roman"/>
                <w:noProof/>
              </w:rPr>
              <w:t>long-term availability of reliable, secure and cost-effective satellite communications services</w:t>
            </w:r>
            <w:r w:rsidRPr="2A1AD167">
              <w:rPr>
                <w:rFonts w:eastAsia="Times New Roman"/>
                <w:noProof/>
                <w:lang w:val="en-US"/>
              </w:rPr>
              <w:t xml:space="preserve"> </w:t>
            </w:r>
          </w:p>
          <w:p w14:paraId="454FACB3" w14:textId="1E90C2A1" w:rsidR="2A1AD167" w:rsidRDefault="2A1AD167" w:rsidP="008C51EB">
            <w:pPr>
              <w:pStyle w:val="ListParagraph"/>
              <w:numPr>
                <w:ilvl w:val="0"/>
                <w:numId w:val="3"/>
              </w:numPr>
              <w:spacing w:before="0" w:after="160"/>
              <w:rPr>
                <w:rFonts w:eastAsia="Times New Roman"/>
                <w:noProof/>
                <w:lang w:val="en-US"/>
              </w:rPr>
            </w:pPr>
            <w:r w:rsidRPr="2A1AD167">
              <w:rPr>
                <w:rFonts w:eastAsia="Times New Roman"/>
                <w:noProof/>
              </w:rPr>
              <w:t>support to an autonomous, secure and cost-efficient capability to access space</w:t>
            </w:r>
          </w:p>
          <w:p w14:paraId="764A8C14" w14:textId="4897FABD" w:rsidR="2A1AD167" w:rsidRDefault="2A1AD167" w:rsidP="008C51EB">
            <w:pPr>
              <w:pStyle w:val="ListParagraph"/>
              <w:numPr>
                <w:ilvl w:val="0"/>
                <w:numId w:val="3"/>
              </w:numPr>
              <w:spacing w:before="0" w:after="160"/>
              <w:rPr>
                <w:rFonts w:eastAsia="Times New Roman"/>
                <w:noProof/>
                <w:lang w:val="en-US"/>
              </w:rPr>
            </w:pPr>
            <w:r w:rsidRPr="2A1AD167">
              <w:rPr>
                <w:rFonts w:eastAsia="Times New Roman"/>
                <w:noProof/>
              </w:rPr>
              <w:t>the development of a strong Union space economy</w:t>
            </w:r>
            <w:r w:rsidRPr="2A1AD167">
              <w:rPr>
                <w:rFonts w:eastAsia="Times New Roman"/>
                <w:noProof/>
                <w:lang w:val="en-US"/>
              </w:rPr>
              <w:t xml:space="preserve"> </w:t>
            </w:r>
          </w:p>
          <w:p w14:paraId="7D88B59F" w14:textId="6BE8E923" w:rsidR="2A1AD167" w:rsidRDefault="2A1AD167" w:rsidP="00603157">
            <w:pPr>
              <w:spacing w:before="0" w:after="160"/>
              <w:rPr>
                <w:rFonts w:eastAsia="Times New Roman"/>
                <w:noProof/>
                <w:lang w:val="en-US"/>
              </w:rPr>
            </w:pPr>
            <w:r w:rsidRPr="2A1AD167">
              <w:rPr>
                <w:rFonts w:eastAsia="Times New Roman"/>
                <w:noProof/>
              </w:rPr>
              <w:t>The EU Space programme has been planned in synergy and coherence with Horizon Europe and InvestEU. Research and development activities are an essential component for the development of the Programme, covering both upstream and downstream segments</w:t>
            </w:r>
            <w:r w:rsidRPr="2A1AD167">
              <w:rPr>
                <w:rFonts w:eastAsia="Times New Roman"/>
                <w:noProof/>
                <w:lang w:val="en-US"/>
              </w:rPr>
              <w:t xml:space="preserve"> </w:t>
            </w:r>
          </w:p>
        </w:tc>
      </w:tr>
      <w:tr w:rsidR="00E82E80" w14:paraId="3235AC0B"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6EAFDC" w14:textId="109B9E8E" w:rsidR="2A1AD167" w:rsidRDefault="2A1AD167" w:rsidP="00603157">
            <w:pPr>
              <w:spacing w:before="0" w:after="160"/>
              <w:rPr>
                <w:rFonts w:eastAsia="Times New Roman"/>
                <w:noProof/>
                <w:lang w:val="en-US"/>
              </w:rPr>
            </w:pPr>
            <w:r w:rsidRPr="2A1AD167">
              <w:rPr>
                <w:rFonts w:eastAsia="Times New Roman"/>
                <w:b/>
                <w:bCs/>
                <w:noProof/>
              </w:rPr>
              <w:t>Delivery mode</w:t>
            </w:r>
            <w:r w:rsidRPr="2A1AD167">
              <w:rPr>
                <w:rFonts w:eastAsia="Times New Roman"/>
                <w:noProof/>
                <w:lang w:val="en-US"/>
              </w:rPr>
              <w:t xml:space="preserve"> </w:t>
            </w:r>
          </w:p>
          <w:p w14:paraId="35867C0A" w14:textId="64276C75" w:rsidR="2A1AD167" w:rsidRDefault="384C42F6" w:rsidP="00603157">
            <w:pPr>
              <w:spacing w:before="0" w:after="160"/>
              <w:rPr>
                <w:rFonts w:eastAsia="Times New Roman"/>
                <w:noProof/>
                <w:lang w:val="en-US"/>
              </w:rPr>
            </w:pPr>
            <w:r w:rsidRPr="3EA7425B">
              <w:rPr>
                <w:rFonts w:eastAsia="Times New Roman"/>
                <w:noProof/>
              </w:rPr>
              <w:t>Implemented mainly through indirect management by the newly established European</w:t>
            </w:r>
            <w:r w:rsidR="2F1D8A1E" w:rsidRPr="3EA7425B">
              <w:rPr>
                <w:rFonts w:eastAsia="Times New Roman"/>
                <w:noProof/>
              </w:rPr>
              <w:t xml:space="preserve"> Union</w:t>
            </w:r>
            <w:r w:rsidRPr="3EA7425B">
              <w:rPr>
                <w:rFonts w:eastAsia="Times New Roman"/>
                <w:noProof/>
              </w:rPr>
              <w:t xml:space="preserve"> Agency</w:t>
            </w:r>
            <w:r w:rsidR="1731131B" w:rsidRPr="3EA7425B">
              <w:rPr>
                <w:rFonts w:eastAsia="Times New Roman"/>
                <w:noProof/>
              </w:rPr>
              <w:t xml:space="preserve"> for the Space Programme</w:t>
            </w:r>
            <w:r w:rsidRPr="3EA7425B">
              <w:rPr>
                <w:rFonts w:eastAsia="Times New Roman"/>
                <w:noProof/>
              </w:rPr>
              <w:t xml:space="preserve"> (EUSPA) </w:t>
            </w:r>
            <w:r w:rsidR="4462F8E7" w:rsidRPr="3EA7425B">
              <w:rPr>
                <w:rFonts w:eastAsia="Times New Roman"/>
                <w:noProof/>
              </w:rPr>
              <w:t>and</w:t>
            </w:r>
            <w:r w:rsidRPr="3EA7425B">
              <w:rPr>
                <w:rFonts w:eastAsia="Times New Roman"/>
                <w:noProof/>
              </w:rPr>
              <w:t xml:space="preserve"> the European Space Agency (ESA) </w:t>
            </w:r>
            <w:r w:rsidR="709AC922" w:rsidRPr="3EA7425B">
              <w:rPr>
                <w:rFonts w:eastAsia="Times New Roman"/>
                <w:noProof/>
              </w:rPr>
              <w:t>(as well as some additional entrusted entities like</w:t>
            </w:r>
            <w:r w:rsidRPr="3EA7425B">
              <w:rPr>
                <w:rFonts w:eastAsia="Times New Roman"/>
                <w:noProof/>
              </w:rPr>
              <w:t xml:space="preserve"> EUMETSAT</w:t>
            </w:r>
            <w:r w:rsidR="709AC922" w:rsidRPr="3EA7425B">
              <w:rPr>
                <w:rFonts w:eastAsia="Times New Roman"/>
                <w:noProof/>
              </w:rPr>
              <w:t>)</w:t>
            </w:r>
            <w:r w:rsidRPr="3EA7425B">
              <w:rPr>
                <w:rFonts w:eastAsia="Times New Roman"/>
                <w:noProof/>
              </w:rPr>
              <w:t>. A small part of the budget is implemented through direct management by the Commission (DG DEFIS).</w:t>
            </w:r>
            <w:r w:rsidRPr="3EA7425B">
              <w:rPr>
                <w:rFonts w:eastAsia="Times New Roman"/>
                <w:noProof/>
                <w:lang w:val="en-US"/>
              </w:rPr>
              <w:t xml:space="preserve"> </w:t>
            </w:r>
          </w:p>
        </w:tc>
      </w:tr>
      <w:tr w:rsidR="00E82E80" w14:paraId="5623E35C"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14E5E" w14:textId="304D1D81" w:rsidR="2A1AD167" w:rsidRDefault="2A1AD167" w:rsidP="00603157">
            <w:pPr>
              <w:spacing w:before="0" w:after="160"/>
              <w:rPr>
                <w:rFonts w:eastAsia="Times New Roman"/>
                <w:noProof/>
                <w:lang w:val="en-US"/>
              </w:rPr>
            </w:pPr>
            <w:r w:rsidRPr="2A1AD167">
              <w:rPr>
                <w:rFonts w:eastAsia="Times New Roman"/>
                <w:b/>
                <w:bCs/>
                <w:noProof/>
              </w:rPr>
              <w:t>Predecessor</w:t>
            </w:r>
            <w:r w:rsidRPr="2A1AD167">
              <w:rPr>
                <w:rFonts w:eastAsia="Times New Roman"/>
                <w:noProof/>
                <w:lang w:val="en-US"/>
              </w:rPr>
              <w:t xml:space="preserve"> </w:t>
            </w:r>
          </w:p>
          <w:p w14:paraId="481BF435" w14:textId="2F6B1DDC" w:rsidR="2A1AD167" w:rsidRDefault="2A1AD167" w:rsidP="00603157">
            <w:pPr>
              <w:spacing w:before="0" w:after="160"/>
              <w:rPr>
                <w:rFonts w:eastAsia="Times New Roman"/>
                <w:noProof/>
                <w:lang w:val="en-US"/>
              </w:rPr>
            </w:pPr>
            <w:r w:rsidRPr="2A1AD167">
              <w:rPr>
                <w:rFonts w:eastAsia="Times New Roman"/>
                <w:noProof/>
              </w:rPr>
              <w:t>The EU Space Programme builds on the success of its predecessor programmes (i.e. Copernicus, EGNOS, Galileo) which will all continue with a greater focus on synergies with other EU policy areas. GOVSATCOM and Space Situational Awareness are instead new initiatives.</w:t>
            </w:r>
            <w:r w:rsidRPr="2A1AD167">
              <w:rPr>
                <w:rFonts w:eastAsia="Times New Roman"/>
                <w:noProof/>
                <w:lang w:val="en-US"/>
              </w:rPr>
              <w:t xml:space="preserve"> </w:t>
            </w:r>
          </w:p>
        </w:tc>
      </w:tr>
      <w:tr w:rsidR="00D76DD6" w14:paraId="7E8873AE" w14:textId="77777777" w:rsidTr="00B1257D">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713BF7" w14:textId="77777777" w:rsidR="00DB52C3" w:rsidRPr="00787960" w:rsidRDefault="00DB52C3" w:rsidP="00DB52C3">
            <w:pPr>
              <w:spacing w:before="40" w:after="40"/>
              <w:rPr>
                <w:b/>
                <w:noProof/>
                <w:lang w:eastAsia="nl-BE"/>
              </w:rPr>
            </w:pPr>
            <w:r w:rsidRPr="00787960">
              <w:rPr>
                <w:b/>
                <w:noProof/>
                <w:lang w:eastAsia="nl-BE"/>
              </w:rPr>
              <w:t>Type of recipients</w:t>
            </w:r>
          </w:p>
          <w:p w14:paraId="5087A316" w14:textId="211658DC" w:rsidR="00DB52C3" w:rsidRPr="00DB52C3" w:rsidRDefault="00DB52C3" w:rsidP="00DB52C3">
            <w:pPr>
              <w:spacing w:before="0" w:after="160"/>
              <w:rPr>
                <w:rFonts w:eastAsia="Times New Roman"/>
                <w:b/>
                <w:bCs/>
                <w:noProof/>
              </w:rPr>
            </w:pPr>
            <w:r w:rsidRPr="00787960">
              <w:rPr>
                <w:bCs/>
                <w:noProof/>
                <w:lang w:eastAsia="nl-BE"/>
              </w:rPr>
              <w:t>The EU space industry, manufacturers, businesses and start-ups; scientists and academics; etc.</w:t>
            </w:r>
          </w:p>
        </w:tc>
      </w:tr>
      <w:tr w:rsidR="00D76DD6" w14:paraId="44DAE17A" w14:textId="77777777" w:rsidTr="00B1257D">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5BB980" w14:textId="77777777" w:rsidR="00DB52C3" w:rsidRPr="00787960" w:rsidRDefault="00DB52C3" w:rsidP="00DB52C3">
            <w:pPr>
              <w:spacing w:before="40" w:after="40"/>
              <w:rPr>
                <w:b/>
                <w:noProof/>
                <w:lang w:eastAsia="nl-BE"/>
              </w:rPr>
            </w:pPr>
            <w:r w:rsidRPr="00787960">
              <w:rPr>
                <w:b/>
                <w:noProof/>
                <w:lang w:eastAsia="nl-BE"/>
              </w:rPr>
              <w:t xml:space="preserve">Forms of EU support </w:t>
            </w:r>
          </w:p>
          <w:p w14:paraId="293DD9D7" w14:textId="66E84B93" w:rsidR="00DB52C3" w:rsidRPr="00DB52C3" w:rsidRDefault="00DB52C3" w:rsidP="00DB52C3">
            <w:pPr>
              <w:spacing w:before="0" w:after="160"/>
              <w:rPr>
                <w:rFonts w:eastAsia="Times New Roman"/>
                <w:b/>
                <w:bCs/>
                <w:noProof/>
              </w:rPr>
            </w:pPr>
            <w:r w:rsidRPr="00787960">
              <w:rPr>
                <w:bCs/>
                <w:noProof/>
                <w:lang w:eastAsia="nl-BE"/>
              </w:rPr>
              <w:t>Grants and procurements.</w:t>
            </w:r>
          </w:p>
        </w:tc>
      </w:tr>
      <w:tr w:rsidR="00D76DD6" w14:paraId="0D58CE56" w14:textId="77777777" w:rsidTr="00B1257D">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A82BC7" w14:textId="77777777" w:rsidR="00DB52C3" w:rsidRPr="00787960" w:rsidRDefault="00DB52C3" w:rsidP="00DB52C3">
            <w:pPr>
              <w:spacing w:before="40" w:after="40"/>
              <w:rPr>
                <w:b/>
                <w:noProof/>
                <w:lang w:eastAsia="nl-BE"/>
              </w:rPr>
            </w:pPr>
            <w:r w:rsidRPr="00787960">
              <w:rPr>
                <w:b/>
                <w:noProof/>
                <w:lang w:eastAsia="nl-BE"/>
              </w:rPr>
              <w:t>Third countries associated to the programme</w:t>
            </w:r>
          </w:p>
          <w:p w14:paraId="66A46847" w14:textId="77777777" w:rsidR="00DB52C3" w:rsidRPr="00787960" w:rsidRDefault="00DB52C3" w:rsidP="00DB52C3">
            <w:pPr>
              <w:spacing w:before="40" w:after="40"/>
              <w:rPr>
                <w:bCs/>
                <w:noProof/>
                <w:lang w:eastAsia="nl-BE"/>
              </w:rPr>
            </w:pPr>
            <w:r w:rsidRPr="00787960">
              <w:rPr>
                <w:bCs/>
                <w:noProof/>
                <w:lang w:eastAsia="nl-BE"/>
              </w:rPr>
              <w:t>Galileo, EGNOS and Copernicus, as well as the sub-components on SWE (space weather events) and NEO (near-Earth objects), but excluding the SST subcomponent, are open to the participation of: members of the European Free Trade Association (EFTA) which are members of the European Economic Area (EEA); acceding countries, candidate countries and potential candidates; European Neighbourhood Policy (ENP) countries.</w:t>
            </w:r>
          </w:p>
          <w:p w14:paraId="7393EF86" w14:textId="4C4156B7" w:rsidR="00DB52C3" w:rsidRPr="00DB52C3" w:rsidRDefault="00DB52C3" w:rsidP="00DB52C3">
            <w:pPr>
              <w:spacing w:before="0" w:after="160"/>
              <w:rPr>
                <w:rFonts w:eastAsia="Times New Roman"/>
                <w:b/>
                <w:bCs/>
                <w:noProof/>
              </w:rPr>
            </w:pPr>
            <w:r w:rsidRPr="00787960">
              <w:rPr>
                <w:bCs/>
                <w:noProof/>
                <w:lang w:eastAsia="nl-BE"/>
              </w:rPr>
              <w:t>Third countries and international organisations may have access to GOVSATCOM and SST services provided that they conclude an agreement and comply with Art. 43 about classified information in Reg. (EU) 2021/696.</w:t>
            </w:r>
          </w:p>
        </w:tc>
      </w:tr>
      <w:tr w:rsidR="00DB52C3" w14:paraId="10E74D4B" w14:textId="77777777" w:rsidTr="00B1257D">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A88C0B" w14:textId="77777777" w:rsidR="00DB52C3" w:rsidRPr="00787960" w:rsidRDefault="00DB52C3" w:rsidP="00DB52C3">
            <w:pPr>
              <w:spacing w:before="40" w:after="40"/>
              <w:rPr>
                <w:b/>
                <w:noProof/>
                <w:lang w:eastAsia="nl-BE"/>
              </w:rPr>
            </w:pPr>
            <w:r w:rsidRPr="00787960">
              <w:rPr>
                <w:b/>
                <w:noProof/>
                <w:lang w:eastAsia="nl-BE"/>
              </w:rPr>
              <w:t>Application</w:t>
            </w:r>
          </w:p>
          <w:p w14:paraId="2058FCCF" w14:textId="3A112224" w:rsidR="00DB52C3" w:rsidRPr="00DB52C3" w:rsidRDefault="00DB52C3" w:rsidP="00DB52C3">
            <w:pPr>
              <w:spacing w:before="0" w:after="160"/>
              <w:rPr>
                <w:rFonts w:eastAsia="Times New Roman"/>
                <w:b/>
                <w:bCs/>
                <w:noProof/>
              </w:rPr>
            </w:pPr>
            <w:r w:rsidRPr="00787960">
              <w:rPr>
                <w:bCs/>
                <w:noProof/>
                <w:lang w:eastAsia="nl-BE"/>
              </w:rPr>
              <w:t>Calls for proposals are published on the EU Funding and Tenders Portal.</w:t>
            </w:r>
            <w:r w:rsidRPr="00DB52C3">
              <w:rPr>
                <w:noProof/>
                <w:lang w:eastAsia="nl-BE"/>
              </w:rPr>
              <w:t xml:space="preserve"> </w:t>
            </w:r>
            <w:r w:rsidRPr="00787960">
              <w:rPr>
                <w:bCs/>
                <w:noProof/>
                <w:lang w:eastAsia="nl-BE"/>
              </w:rPr>
              <w:t>Applicants must submit their proposals electronically via the portal, following the specific guidelines and templates provided for each call.</w:t>
            </w:r>
          </w:p>
        </w:tc>
      </w:tr>
    </w:tbl>
    <w:p w14:paraId="7CE1EE9F" w14:textId="313E6369" w:rsidR="003F59D2" w:rsidRDefault="003F59D2" w:rsidP="00603157">
      <w:pPr>
        <w:spacing w:before="0" w:after="240"/>
        <w:rPr>
          <w:rFonts w:eastAsia="Times New Roman"/>
          <w:noProof/>
          <w:lang w:val="en-US"/>
        </w:rPr>
      </w:pPr>
    </w:p>
    <w:p w14:paraId="75F76360" w14:textId="2307CA20" w:rsidR="0AA200F7" w:rsidRDefault="0AA200F7" w:rsidP="00603157">
      <w:pPr>
        <w:spacing w:before="0" w:after="240"/>
        <w:rPr>
          <w:rFonts w:eastAsia="Times New Roman"/>
          <w:i/>
          <w:iCs/>
          <w:noProof/>
          <w:lang w:val="en-US"/>
        </w:rPr>
      </w:pPr>
      <w:r w:rsidRPr="2A1AD167">
        <w:rPr>
          <w:rFonts w:eastAsia="Times New Roman"/>
          <w:noProof/>
          <w:lang w:val="en-US"/>
        </w:rPr>
        <w:t xml:space="preserve"> </w:t>
      </w:r>
      <w:r w:rsidRPr="2A1AD167">
        <w:rPr>
          <w:rFonts w:eastAsia="Times New Roman"/>
          <w:i/>
          <w:iCs/>
          <w:noProof/>
        </w:rPr>
        <w:t>EU4Health</w:t>
      </w:r>
      <w:r w:rsidRPr="2A1AD167">
        <w:rPr>
          <w:rFonts w:eastAsia="Times New Roman"/>
          <w:i/>
          <w:iCs/>
          <w:noProof/>
          <w:lang w:val="en-US"/>
        </w:rPr>
        <w:t xml:space="preserve"> </w:t>
      </w:r>
    </w:p>
    <w:tbl>
      <w:tblPr>
        <w:tblW w:w="10065" w:type="dxa"/>
        <w:tblInd w:w="-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065"/>
      </w:tblGrid>
      <w:tr w:rsidR="00E82E80" w14:paraId="3AB2CB84"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D77922" w14:textId="1834E707" w:rsidR="2A1AD167" w:rsidRDefault="2A1AD167" w:rsidP="00603157">
            <w:pPr>
              <w:spacing w:before="0" w:after="160"/>
              <w:rPr>
                <w:rFonts w:eastAsia="Times New Roman"/>
                <w:noProof/>
                <w:lang w:val="en-US"/>
              </w:rPr>
            </w:pPr>
            <w:r w:rsidRPr="2A1AD167">
              <w:rPr>
                <w:rFonts w:eastAsia="Times New Roman"/>
                <w:b/>
                <w:bCs/>
                <w:noProof/>
              </w:rPr>
              <w:t>Regulation</w:t>
            </w:r>
            <w:r w:rsidRPr="2A1AD167">
              <w:rPr>
                <w:rFonts w:eastAsia="Times New Roman"/>
                <w:noProof/>
                <w:lang w:val="en-US"/>
              </w:rPr>
              <w:t xml:space="preserve"> </w:t>
            </w:r>
          </w:p>
          <w:p w14:paraId="1E4656EE" w14:textId="77777777" w:rsidR="2A1AD167" w:rsidRDefault="2A1AD167" w:rsidP="00603157">
            <w:pPr>
              <w:spacing w:before="0" w:after="160"/>
              <w:rPr>
                <w:rFonts w:eastAsia="Times New Roman"/>
                <w:noProof/>
                <w:lang w:val="en-US"/>
              </w:rPr>
            </w:pPr>
            <w:r w:rsidRPr="2A1AD167">
              <w:rPr>
                <w:rFonts w:eastAsia="Times New Roman"/>
                <w:noProof/>
              </w:rPr>
              <w:t>Regulation (EU) 2021/522 of the European Parliament and of the Council.</w:t>
            </w:r>
            <w:r w:rsidRPr="2A1AD167">
              <w:rPr>
                <w:rFonts w:eastAsia="Times New Roman"/>
                <w:noProof/>
                <w:lang w:val="en-US"/>
              </w:rPr>
              <w:t xml:space="preserve"> </w:t>
            </w:r>
          </w:p>
          <w:p w14:paraId="63AACAE2" w14:textId="23345039" w:rsidR="00597DDD" w:rsidRDefault="00597DDD" w:rsidP="00603157">
            <w:pPr>
              <w:spacing w:before="0" w:after="160"/>
              <w:rPr>
                <w:rFonts w:eastAsia="Times New Roman"/>
                <w:noProof/>
                <w:lang w:val="en-US"/>
              </w:rPr>
            </w:pPr>
            <w:r>
              <w:rPr>
                <w:rFonts w:eastAsia="Times New Roman"/>
                <w:noProof/>
                <w:lang w:val="en-US"/>
              </w:rPr>
              <w:t xml:space="preserve">Legal base: </w:t>
            </w:r>
            <w:r w:rsidR="00E34CF2">
              <w:rPr>
                <w:rFonts w:eastAsia="Times New Roman"/>
                <w:noProof/>
                <w:lang w:val="en-US"/>
              </w:rPr>
              <w:t>Artic</w:t>
            </w:r>
            <w:r w:rsidR="0048127D">
              <w:rPr>
                <w:rFonts w:eastAsia="Times New Roman"/>
                <w:noProof/>
                <w:lang w:val="en-US"/>
              </w:rPr>
              <w:t>l</w:t>
            </w:r>
            <w:r w:rsidR="00E34CF2">
              <w:rPr>
                <w:rFonts w:eastAsia="Times New Roman"/>
                <w:noProof/>
                <w:lang w:val="en-US"/>
              </w:rPr>
              <w:t>e 168 (5) of the Treaty on the functioning of the European Union</w:t>
            </w:r>
          </w:p>
        </w:tc>
      </w:tr>
      <w:tr w:rsidR="00E82E80" w14:paraId="68DF3849"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F8115F" w14:textId="0FA9700C" w:rsidR="2A1AD167" w:rsidRDefault="2A1AD167" w:rsidP="00603157">
            <w:pPr>
              <w:spacing w:before="0" w:after="160"/>
              <w:rPr>
                <w:rFonts w:eastAsia="Times New Roman"/>
                <w:noProof/>
                <w:lang w:val="en-US"/>
              </w:rPr>
            </w:pPr>
            <w:r w:rsidRPr="2A1AD167">
              <w:rPr>
                <w:rFonts w:eastAsia="Times New Roman"/>
                <w:b/>
                <w:bCs/>
                <w:noProof/>
              </w:rPr>
              <w:t>Period</w:t>
            </w:r>
          </w:p>
          <w:p w14:paraId="5ACDCC6F" w14:textId="5D5B9990" w:rsidR="2A1AD167" w:rsidRDefault="2A1AD167" w:rsidP="00603157">
            <w:pPr>
              <w:spacing w:before="0" w:after="160"/>
              <w:rPr>
                <w:rFonts w:eastAsia="Times New Roman"/>
                <w:noProof/>
                <w:lang w:val="en-US"/>
              </w:rPr>
            </w:pPr>
            <w:r w:rsidRPr="2A1AD167">
              <w:rPr>
                <w:rFonts w:eastAsia="Times New Roman"/>
                <w:noProof/>
              </w:rPr>
              <w:t>2021 – 2027</w:t>
            </w:r>
            <w:r w:rsidRPr="2A1AD167">
              <w:rPr>
                <w:rFonts w:eastAsia="Times New Roman"/>
                <w:noProof/>
                <w:lang w:val="en-US"/>
              </w:rPr>
              <w:t xml:space="preserve"> </w:t>
            </w:r>
          </w:p>
        </w:tc>
      </w:tr>
      <w:tr w:rsidR="00E82E80" w14:paraId="5ABBA911"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B96202" w14:textId="52F8D58E" w:rsidR="2A1AD167" w:rsidRDefault="2A1AD167" w:rsidP="00603157">
            <w:pPr>
              <w:spacing w:before="0" w:after="160"/>
              <w:rPr>
                <w:rFonts w:eastAsia="Times New Roman"/>
                <w:noProof/>
                <w:lang w:val="en-US"/>
              </w:rPr>
            </w:pPr>
            <w:r w:rsidRPr="2A1AD167">
              <w:rPr>
                <w:rFonts w:eastAsia="Times New Roman"/>
                <w:b/>
                <w:bCs/>
                <w:noProof/>
              </w:rPr>
              <w:t>Impact assessment</w:t>
            </w:r>
            <w:r w:rsidRPr="2A1AD167">
              <w:rPr>
                <w:rFonts w:eastAsia="Times New Roman"/>
                <w:noProof/>
                <w:lang w:val="en-US"/>
              </w:rPr>
              <w:t xml:space="preserve"> </w:t>
            </w:r>
          </w:p>
          <w:p w14:paraId="3B7A0D92" w14:textId="5B718047" w:rsidR="2A1AD167" w:rsidRDefault="2A1AD167" w:rsidP="00603157">
            <w:pPr>
              <w:spacing w:before="0" w:after="160"/>
              <w:rPr>
                <w:rFonts w:eastAsia="Times New Roman"/>
                <w:noProof/>
                <w:lang w:val="en-US"/>
              </w:rPr>
            </w:pPr>
            <w:r w:rsidRPr="2A1AD167">
              <w:rPr>
                <w:rFonts w:eastAsia="Times New Roman"/>
                <w:noProof/>
              </w:rPr>
              <w:t xml:space="preserve">Carried out in 2018. It is included in the Annex 5 of the </w:t>
            </w:r>
            <w:hyperlink r:id="rId51" w:history="1">
              <w:r w:rsidRPr="2A1AD167">
                <w:rPr>
                  <w:rStyle w:val="Hyperlink"/>
                  <w:rFonts w:eastAsia="Times New Roman"/>
                  <w:noProof/>
                  <w:color w:val="0000FF"/>
                </w:rPr>
                <w:t>SWD(2018) 289 final</w:t>
              </w:r>
            </w:hyperlink>
            <w:r w:rsidRPr="2A1AD167">
              <w:rPr>
                <w:rFonts w:eastAsia="Times New Roman"/>
                <w:noProof/>
              </w:rPr>
              <w:t>.</w:t>
            </w:r>
            <w:r w:rsidRPr="2A1AD167">
              <w:rPr>
                <w:rFonts w:eastAsia="Times New Roman"/>
                <w:noProof/>
                <w:lang w:val="en-US"/>
              </w:rPr>
              <w:t xml:space="preserve"> </w:t>
            </w:r>
          </w:p>
        </w:tc>
      </w:tr>
      <w:tr w:rsidR="00E82E80" w14:paraId="165C0149"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2EF594" w14:textId="7F93C8B4" w:rsidR="2A1AD167" w:rsidRDefault="2A1AD167" w:rsidP="00603157">
            <w:pPr>
              <w:spacing w:before="0" w:after="160"/>
              <w:rPr>
                <w:rFonts w:eastAsia="Times New Roman"/>
                <w:noProof/>
                <w:lang w:val="en-US"/>
              </w:rPr>
            </w:pPr>
            <w:r w:rsidRPr="2A1AD167">
              <w:rPr>
                <w:rFonts w:eastAsia="Times New Roman"/>
                <w:b/>
                <w:bCs/>
                <w:noProof/>
              </w:rPr>
              <w:t>Mid-term evaluation</w:t>
            </w:r>
            <w:r w:rsidRPr="2A1AD167">
              <w:rPr>
                <w:rFonts w:eastAsia="Times New Roman"/>
                <w:noProof/>
                <w:lang w:val="en-US"/>
              </w:rPr>
              <w:t xml:space="preserve"> </w:t>
            </w:r>
          </w:p>
          <w:p w14:paraId="382D2A1F" w14:textId="29D9D7B4" w:rsidR="2A1AD167" w:rsidRDefault="2A1AD167" w:rsidP="00603157">
            <w:pPr>
              <w:spacing w:before="0" w:after="160"/>
              <w:rPr>
                <w:rFonts w:eastAsia="Times New Roman"/>
                <w:noProof/>
                <w:lang w:val="en-US"/>
              </w:rPr>
            </w:pPr>
            <w:r w:rsidRPr="2A1AD167">
              <w:rPr>
                <w:rFonts w:eastAsia="Times New Roman"/>
                <w:noProof/>
              </w:rPr>
              <w:t>Not publicly available (planned for fourth quarter 2024)</w:t>
            </w:r>
            <w:r w:rsidRPr="2A1AD167">
              <w:rPr>
                <w:rFonts w:eastAsia="Times New Roman"/>
                <w:noProof/>
                <w:lang w:val="en-US"/>
              </w:rPr>
              <w:t xml:space="preserve"> </w:t>
            </w:r>
          </w:p>
        </w:tc>
      </w:tr>
      <w:tr w:rsidR="00E82E80" w14:paraId="5FE2FF26"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566DE7" w14:textId="275087EC" w:rsidR="2A1AD167" w:rsidRDefault="2A1AD167" w:rsidP="00603157">
            <w:pPr>
              <w:spacing w:before="0" w:after="160"/>
              <w:rPr>
                <w:rFonts w:eastAsia="Times New Roman"/>
                <w:noProof/>
                <w:lang w:val="en-US"/>
              </w:rPr>
            </w:pPr>
            <w:r w:rsidRPr="2A1AD167">
              <w:rPr>
                <w:rFonts w:eastAsia="Times New Roman"/>
                <w:b/>
                <w:bCs/>
                <w:noProof/>
              </w:rPr>
              <w:t>Budget</w:t>
            </w:r>
            <w:r w:rsidRPr="2A1AD167">
              <w:rPr>
                <w:rFonts w:eastAsia="Times New Roman"/>
                <w:noProof/>
                <w:lang w:val="en-US"/>
              </w:rPr>
              <w:t xml:space="preserve"> </w:t>
            </w:r>
          </w:p>
          <w:p w14:paraId="1D6A15A7" w14:textId="08438A98" w:rsidR="2A1AD167" w:rsidRDefault="2A1AD167" w:rsidP="00603157">
            <w:pPr>
              <w:spacing w:before="0" w:after="160"/>
              <w:rPr>
                <w:rFonts w:eastAsia="Times New Roman"/>
                <w:noProof/>
                <w:lang w:val="en-US"/>
              </w:rPr>
            </w:pPr>
            <w:r w:rsidRPr="2A1AD167">
              <w:rPr>
                <w:rFonts w:eastAsia="Times New Roman"/>
                <w:noProof/>
              </w:rPr>
              <w:t>The EU4Health programme had an initial EUR 5.3 bln budget for the 2021-27 period, reduced to EUR 4.4 bln following the revision of the 2021-2027 MFF.</w:t>
            </w:r>
          </w:p>
        </w:tc>
      </w:tr>
      <w:tr w:rsidR="00E82E80" w14:paraId="2BE3B4C5"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021FAA" w14:textId="12308FEC" w:rsidR="2A1AD167" w:rsidRDefault="2A1AD167" w:rsidP="00603157">
            <w:pPr>
              <w:spacing w:before="0" w:after="160"/>
              <w:rPr>
                <w:rFonts w:eastAsia="Times New Roman"/>
                <w:noProof/>
                <w:lang w:val="en-US"/>
              </w:rPr>
            </w:pPr>
            <w:r w:rsidRPr="2A1AD167">
              <w:rPr>
                <w:rFonts w:eastAsia="Times New Roman"/>
                <w:b/>
                <w:bCs/>
                <w:noProof/>
              </w:rPr>
              <w:t>Focus</w:t>
            </w:r>
            <w:r w:rsidRPr="2A1AD167">
              <w:rPr>
                <w:rFonts w:eastAsia="Times New Roman"/>
                <w:noProof/>
                <w:lang w:val="en-US"/>
              </w:rPr>
              <w:t xml:space="preserve"> </w:t>
            </w:r>
          </w:p>
          <w:p w14:paraId="55ECE901" w14:textId="107BAE3C" w:rsidR="2A1AD167" w:rsidRDefault="2A5B6674" w:rsidP="00603157">
            <w:pPr>
              <w:spacing w:before="0" w:after="160"/>
              <w:rPr>
                <w:rFonts w:eastAsia="Times New Roman"/>
                <w:noProof/>
                <w:lang w:val="en-US"/>
              </w:rPr>
            </w:pPr>
            <w:r w:rsidRPr="6CD386C1">
              <w:rPr>
                <w:rFonts w:eastAsia="Times New Roman"/>
                <w:noProof/>
              </w:rPr>
              <w:t xml:space="preserve">The EU4Health programme is a key instrument for delivering a comprehensive response to the health needs of EU citizens, reflecting the implementation of priority EU legislative proposals and acts, flagship initiatives such as the Europe Beating Cancer Plan, preventing non communicable and communicable diseases, lessons learned from the COVID-19 crisis, the consequences of Russia’s unjustified and unprovoked war against Ukraine, and </w:t>
            </w:r>
            <w:r w:rsidRPr="007233CA">
              <w:rPr>
                <w:rFonts w:eastAsia="Times New Roman"/>
                <w:noProof/>
              </w:rPr>
              <w:t>previous health programmes.</w:t>
            </w:r>
            <w:r w:rsidRPr="007233CA">
              <w:rPr>
                <w:rFonts w:eastAsia="Times New Roman"/>
                <w:noProof/>
                <w:lang w:val="en-US"/>
              </w:rPr>
              <w:t xml:space="preserve"> </w:t>
            </w:r>
            <w:r w:rsidR="0BDB1A0B" w:rsidRPr="007233CA">
              <w:rPr>
                <w:rFonts w:eastAsia="Times New Roman"/>
                <w:noProof/>
                <w:lang w:val="en-US"/>
              </w:rPr>
              <w:t xml:space="preserve">The </w:t>
            </w:r>
            <w:r w:rsidR="5B2B37B7" w:rsidRPr="007233CA">
              <w:rPr>
                <w:rFonts w:eastAsia="Aptos"/>
                <w:noProof/>
                <w:lang w:val="en-US"/>
              </w:rPr>
              <w:t xml:space="preserve">EU4Health </w:t>
            </w:r>
            <w:r w:rsidR="34AC3F20" w:rsidRPr="007233CA">
              <w:rPr>
                <w:rFonts w:eastAsia="Aptos"/>
                <w:noProof/>
                <w:lang w:val="en-US"/>
              </w:rPr>
              <w:t xml:space="preserve">programme </w:t>
            </w:r>
            <w:r w:rsidR="5B2B37B7" w:rsidRPr="007233CA">
              <w:rPr>
                <w:rFonts w:eastAsia="Aptos"/>
                <w:noProof/>
                <w:lang w:val="en-US"/>
              </w:rPr>
              <w:t>supports health crisis preparedness, health systems,</w:t>
            </w:r>
            <w:r w:rsidR="1FED5E65" w:rsidRPr="007233CA">
              <w:rPr>
                <w:rFonts w:eastAsia="Aptos"/>
                <w:noProof/>
                <w:lang w:val="en-US"/>
              </w:rPr>
              <w:t xml:space="preserve"> healthcare</w:t>
            </w:r>
            <w:r w:rsidR="5B2B37B7" w:rsidRPr="007233CA">
              <w:rPr>
                <w:rFonts w:eastAsia="Aptos"/>
                <w:noProof/>
                <w:lang w:val="en-US"/>
              </w:rPr>
              <w:t xml:space="preserve"> digital</w:t>
            </w:r>
            <w:r w:rsidR="23DB50D9" w:rsidRPr="007233CA">
              <w:rPr>
                <w:rFonts w:eastAsia="Aptos"/>
                <w:noProof/>
                <w:lang w:val="en-US"/>
              </w:rPr>
              <w:t>isation</w:t>
            </w:r>
            <w:r w:rsidR="5B2B37B7" w:rsidRPr="007233CA">
              <w:rPr>
                <w:rFonts w:eastAsia="Aptos"/>
                <w:noProof/>
                <w:lang w:val="en-US"/>
              </w:rPr>
              <w:t xml:space="preserve"> and disease prevention.</w:t>
            </w:r>
          </w:p>
        </w:tc>
      </w:tr>
      <w:tr w:rsidR="00E82E80" w14:paraId="67DFC227"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8D62AB" w14:textId="2DE7EF5A" w:rsidR="2A1AD167" w:rsidRDefault="2A1AD167" w:rsidP="00603157">
            <w:pPr>
              <w:spacing w:before="0" w:after="160"/>
              <w:rPr>
                <w:rFonts w:eastAsia="Times New Roman"/>
                <w:noProof/>
                <w:lang w:val="en-US"/>
              </w:rPr>
            </w:pPr>
            <w:r w:rsidRPr="2A1AD167">
              <w:rPr>
                <w:rFonts w:eastAsia="Times New Roman"/>
                <w:b/>
                <w:bCs/>
                <w:noProof/>
              </w:rPr>
              <w:t>Delivery mode</w:t>
            </w:r>
            <w:r w:rsidRPr="2A1AD167">
              <w:rPr>
                <w:rFonts w:eastAsia="Times New Roman"/>
                <w:noProof/>
                <w:lang w:val="en-US"/>
              </w:rPr>
              <w:t xml:space="preserve"> </w:t>
            </w:r>
          </w:p>
          <w:p w14:paraId="289408F2" w14:textId="69F4794A" w:rsidR="2A1AD167" w:rsidRDefault="2A1AD167" w:rsidP="00603157">
            <w:pPr>
              <w:spacing w:before="0" w:after="160"/>
              <w:rPr>
                <w:rFonts w:eastAsia="Times New Roman"/>
                <w:noProof/>
                <w:lang w:val="en-US"/>
              </w:rPr>
            </w:pPr>
            <w:r w:rsidRPr="2A1AD167">
              <w:rPr>
                <w:rFonts w:eastAsia="Times New Roman"/>
                <w:noProof/>
              </w:rPr>
              <w:t>The programme is implemented in direct and indirect management mode and in synergies and complementarities with other EU programmes and instruments. The European Health and Digital Executive Agency implements the part on direct management as delegated by DG Health and Food Safety and by HERA. The funds under indirect management are disbursed by DG Health and Food Safety or HERA.</w:t>
            </w:r>
            <w:r w:rsidRPr="2A1AD167">
              <w:rPr>
                <w:rFonts w:eastAsia="Times New Roman"/>
                <w:noProof/>
                <w:lang w:val="en-US"/>
              </w:rPr>
              <w:t xml:space="preserve"> </w:t>
            </w:r>
          </w:p>
        </w:tc>
      </w:tr>
      <w:tr w:rsidR="00E82E80" w14:paraId="51A06C3B" w14:textId="77777777" w:rsidTr="00603157">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112B5" w14:textId="648AD171" w:rsidR="2A1AD167" w:rsidRDefault="2A1AD167" w:rsidP="00603157">
            <w:pPr>
              <w:spacing w:before="0" w:after="160"/>
              <w:rPr>
                <w:rFonts w:eastAsia="Times New Roman"/>
                <w:noProof/>
                <w:lang w:val="en-US"/>
              </w:rPr>
            </w:pPr>
            <w:r w:rsidRPr="2A1AD167">
              <w:rPr>
                <w:rFonts w:eastAsia="Times New Roman"/>
                <w:b/>
                <w:bCs/>
                <w:noProof/>
              </w:rPr>
              <w:t>Predecessor</w:t>
            </w:r>
            <w:r w:rsidRPr="2A1AD167">
              <w:rPr>
                <w:rFonts w:eastAsia="Times New Roman"/>
                <w:noProof/>
                <w:lang w:val="en-US"/>
              </w:rPr>
              <w:t xml:space="preserve"> </w:t>
            </w:r>
          </w:p>
          <w:p w14:paraId="420EF79B" w14:textId="648333D9" w:rsidR="2A1AD167" w:rsidRDefault="2A1AD167" w:rsidP="00603157">
            <w:pPr>
              <w:spacing w:before="0" w:after="160"/>
              <w:rPr>
                <w:rFonts w:eastAsia="Times New Roman"/>
                <w:noProof/>
                <w:lang w:val="en-US"/>
              </w:rPr>
            </w:pPr>
            <w:r w:rsidRPr="2A1AD167">
              <w:rPr>
                <w:rFonts w:eastAsia="Times New Roman"/>
                <w:noProof/>
              </w:rPr>
              <w:t>The EU4Health programme if the continuation of its 2014-2020 predecessor: the Third Health Programme.</w:t>
            </w:r>
            <w:r w:rsidRPr="2A1AD167">
              <w:rPr>
                <w:rFonts w:eastAsia="Times New Roman"/>
                <w:noProof/>
                <w:lang w:val="en-US"/>
              </w:rPr>
              <w:t xml:space="preserve"> </w:t>
            </w:r>
          </w:p>
        </w:tc>
      </w:tr>
      <w:tr w:rsidR="009D4CDF" w14:paraId="489BF547" w14:textId="77777777" w:rsidTr="009D4CDF">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09FCE" w14:textId="77777777" w:rsidR="009D4CDF" w:rsidRPr="00787960" w:rsidRDefault="009D4CDF" w:rsidP="009D4CDF">
            <w:pPr>
              <w:spacing w:before="0" w:after="160"/>
              <w:rPr>
                <w:rFonts w:eastAsia="Times New Roman"/>
                <w:noProof/>
              </w:rPr>
            </w:pPr>
            <w:r w:rsidRPr="00787960">
              <w:rPr>
                <w:rFonts w:eastAsia="Times New Roman"/>
                <w:noProof/>
              </w:rPr>
              <w:t>Type of recipients</w:t>
            </w:r>
          </w:p>
          <w:p w14:paraId="094F772F" w14:textId="77777777" w:rsidR="009D4CDF" w:rsidRPr="00787960" w:rsidRDefault="009D4CDF" w:rsidP="009D4CDF">
            <w:pPr>
              <w:spacing w:before="0" w:after="160"/>
              <w:rPr>
                <w:rFonts w:eastAsia="Times New Roman"/>
                <w:noProof/>
              </w:rPr>
            </w:pPr>
            <w:r w:rsidRPr="00787960">
              <w:rPr>
                <w:rFonts w:eastAsia="Times New Roman"/>
                <w:noProof/>
              </w:rPr>
              <w:t>Legal entities, health organisations and NGOs from EU countries, or non-EU countries associated to the programme. The EU4Health Annual Work Programmes specify the eligible entities for each topic together with the objectives, scope, activities, expected results and impact. The detailed rules and requirements to apply for the specific topics are specified in the calls.</w:t>
            </w:r>
          </w:p>
        </w:tc>
      </w:tr>
      <w:tr w:rsidR="009D4CDF" w14:paraId="2B6867CC" w14:textId="77777777" w:rsidTr="009D4CDF">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1D8F45" w14:textId="77777777" w:rsidR="009D4CDF" w:rsidRPr="009D4CDF" w:rsidRDefault="009D4CDF" w:rsidP="009D4CDF">
            <w:pPr>
              <w:spacing w:before="0" w:after="160"/>
              <w:rPr>
                <w:rFonts w:eastAsia="Times New Roman"/>
                <w:b/>
                <w:bCs/>
                <w:noProof/>
              </w:rPr>
            </w:pPr>
            <w:r w:rsidRPr="009D4CDF">
              <w:rPr>
                <w:rFonts w:eastAsia="Times New Roman"/>
                <w:b/>
                <w:bCs/>
                <w:noProof/>
              </w:rPr>
              <w:t xml:space="preserve">Forms of EU support </w:t>
            </w:r>
          </w:p>
          <w:p w14:paraId="630E01D0" w14:textId="77777777" w:rsidR="009D4CDF" w:rsidRPr="0038438D" w:rsidRDefault="009D4CDF" w:rsidP="009D4CDF">
            <w:pPr>
              <w:spacing w:before="0" w:after="160"/>
              <w:rPr>
                <w:rFonts w:eastAsia="Times New Roman"/>
                <w:noProof/>
              </w:rPr>
            </w:pPr>
            <w:r w:rsidRPr="0038438D">
              <w:rPr>
                <w:rFonts w:eastAsia="Times New Roman"/>
                <w:noProof/>
              </w:rPr>
              <w:t>Grants, prizes and procurements.</w:t>
            </w:r>
          </w:p>
        </w:tc>
      </w:tr>
      <w:tr w:rsidR="009D4CDF" w14:paraId="18732E37" w14:textId="77777777" w:rsidTr="009D4CDF">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62D1C7" w14:textId="77777777" w:rsidR="009D4CDF" w:rsidRPr="009D4CDF" w:rsidRDefault="009D4CDF" w:rsidP="009D4CDF">
            <w:pPr>
              <w:spacing w:before="0" w:after="160"/>
              <w:rPr>
                <w:rFonts w:eastAsia="Times New Roman"/>
                <w:b/>
                <w:bCs/>
                <w:noProof/>
              </w:rPr>
            </w:pPr>
            <w:r w:rsidRPr="009D4CDF">
              <w:rPr>
                <w:rFonts w:eastAsia="Times New Roman"/>
                <w:b/>
                <w:bCs/>
                <w:noProof/>
              </w:rPr>
              <w:t>Third countries associated to the programme</w:t>
            </w:r>
          </w:p>
          <w:p w14:paraId="6D16A2DF" w14:textId="77777777" w:rsidR="009D4CDF" w:rsidRPr="0038438D" w:rsidRDefault="009D4CDF" w:rsidP="009D4CDF">
            <w:pPr>
              <w:spacing w:before="0" w:after="160"/>
              <w:rPr>
                <w:rFonts w:eastAsia="Times New Roman"/>
                <w:noProof/>
              </w:rPr>
            </w:pPr>
            <w:r w:rsidRPr="0038438D">
              <w:rPr>
                <w:rFonts w:eastAsia="Times New Roman"/>
                <w:noProof/>
              </w:rPr>
              <w:t>Norway, Iceland, Ukraine, Moldova, Montenegro and Bosnia and Herzegovina are associated to the EU4Health Programme.</w:t>
            </w:r>
          </w:p>
        </w:tc>
      </w:tr>
      <w:tr w:rsidR="009D4CDF" w14:paraId="0A515F6E" w14:textId="77777777" w:rsidTr="009D4CDF">
        <w:trPr>
          <w:trHeight w:val="300"/>
        </w:trPr>
        <w:tc>
          <w:tcPr>
            <w:tcW w:w="10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70F0F8" w14:textId="77777777" w:rsidR="009D4CDF" w:rsidRPr="009D4CDF" w:rsidRDefault="009D4CDF" w:rsidP="009D4CDF">
            <w:pPr>
              <w:spacing w:before="0" w:after="160"/>
              <w:rPr>
                <w:rFonts w:eastAsia="Times New Roman"/>
                <w:b/>
                <w:bCs/>
                <w:noProof/>
              </w:rPr>
            </w:pPr>
            <w:r w:rsidRPr="009D4CDF">
              <w:rPr>
                <w:rFonts w:eastAsia="Times New Roman"/>
                <w:b/>
                <w:bCs/>
                <w:noProof/>
              </w:rPr>
              <w:t>Application</w:t>
            </w:r>
          </w:p>
          <w:p w14:paraId="13EDDD44" w14:textId="77777777" w:rsidR="009D4CDF" w:rsidRPr="009D4CDF" w:rsidRDefault="009D4CDF" w:rsidP="009D4CDF">
            <w:pPr>
              <w:spacing w:before="0" w:after="160"/>
              <w:rPr>
                <w:rFonts w:eastAsia="Times New Roman"/>
                <w:b/>
                <w:noProof/>
              </w:rPr>
            </w:pPr>
            <w:r w:rsidRPr="0038438D">
              <w:rPr>
                <w:rFonts w:eastAsia="Times New Roman"/>
                <w:noProof/>
              </w:rPr>
              <w:t>HaDEA manages funding through action and operating grants (via open calls), direct grants to designated entities (e.g. European Reference Networks), joint actions with national health authorities, and procurement via open or framework contracts. Each EU4Health Annual Work Programme outlines eligible entities, objectives, and detailed requirements for applications. Calls for proposals are published on the Funding &amp; Tenders Portal, based on the annual work programme set by the European Commission. Applicants</w:t>
            </w:r>
            <w:r w:rsidRPr="00875405">
              <w:rPr>
                <w:noProof/>
              </w:rPr>
              <w:t xml:space="preserve"> </w:t>
            </w:r>
            <w:r w:rsidRPr="0038438D">
              <w:rPr>
                <w:rFonts w:eastAsia="Times New Roman"/>
                <w:noProof/>
              </w:rPr>
              <w:t>must submit their proposals electronically via the portal, following the specific guidelines and templates provided for each call.</w:t>
            </w:r>
          </w:p>
        </w:tc>
      </w:tr>
    </w:tbl>
    <w:p w14:paraId="0B31348C" w14:textId="77777777" w:rsidR="009D4CDF" w:rsidRDefault="0AA200F7" w:rsidP="00603157">
      <w:pPr>
        <w:spacing w:before="240" w:after="240"/>
        <w:rPr>
          <w:rFonts w:eastAsia="Times New Roman"/>
          <w:noProof/>
          <w:lang w:val="en-US"/>
        </w:rPr>
      </w:pPr>
      <w:r w:rsidRPr="2A1AD167">
        <w:rPr>
          <w:rFonts w:eastAsia="Times New Roman"/>
          <w:noProof/>
          <w:lang w:val="en-US"/>
        </w:rPr>
        <w:t xml:space="preserve"> </w:t>
      </w:r>
    </w:p>
    <w:p w14:paraId="58EB6FD0" w14:textId="1A8F6C0F" w:rsidR="00A03E08" w:rsidRPr="009E259E" w:rsidRDefault="00A03E08" w:rsidP="00603157">
      <w:pPr>
        <w:spacing w:before="240" w:after="240"/>
        <w:rPr>
          <w:rFonts w:eastAsia="Times New Roman"/>
          <w:i/>
          <w:noProof/>
          <w:color w:val="1F497D" w:themeColor="text2"/>
        </w:rPr>
      </w:pPr>
      <w:r w:rsidRPr="009E259E">
        <w:rPr>
          <w:rFonts w:eastAsia="Times New Roman"/>
          <w:i/>
          <w:noProof/>
          <w:color w:val="1F497D" w:themeColor="text2"/>
        </w:rPr>
        <w:t>SME Pillar of the S</w:t>
      </w:r>
      <w:r w:rsidR="009E259E">
        <w:rPr>
          <w:rFonts w:eastAsia="Times New Roman"/>
          <w:i/>
          <w:noProof/>
          <w:color w:val="1F497D" w:themeColor="text2"/>
        </w:rPr>
        <w:t xml:space="preserve">ingle </w:t>
      </w:r>
      <w:r w:rsidRPr="009E259E">
        <w:rPr>
          <w:rFonts w:eastAsia="Times New Roman"/>
          <w:i/>
          <w:noProof/>
          <w:color w:val="1F497D" w:themeColor="text2"/>
        </w:rPr>
        <w:t>M</w:t>
      </w:r>
      <w:r w:rsidR="009E259E">
        <w:rPr>
          <w:rFonts w:eastAsia="Times New Roman"/>
          <w:i/>
          <w:noProof/>
          <w:color w:val="1F497D" w:themeColor="text2"/>
        </w:rPr>
        <w:t xml:space="preserve">arket </w:t>
      </w:r>
      <w:r w:rsidRPr="009E259E">
        <w:rPr>
          <w:rFonts w:eastAsia="Times New Roman"/>
          <w:i/>
          <w:noProof/>
          <w:color w:val="1F497D" w:themeColor="text2"/>
        </w:rPr>
        <w:t>P</w:t>
      </w:r>
      <w:r w:rsidR="009E259E">
        <w:rPr>
          <w:rFonts w:eastAsia="Times New Roman"/>
          <w:i/>
          <w:noProof/>
          <w:color w:val="1F497D" w:themeColor="text2"/>
        </w:rPr>
        <w:t>rogramme</w:t>
      </w:r>
    </w:p>
    <w:tbl>
      <w:tblPr>
        <w:tblStyle w:val="TableGrid1"/>
        <w:tblW w:w="10065" w:type="dxa"/>
        <w:tblInd w:w="-434" w:type="dxa"/>
        <w:tblLook w:val="04A0" w:firstRow="1" w:lastRow="0" w:firstColumn="1" w:lastColumn="0" w:noHBand="0" w:noVBand="1"/>
      </w:tblPr>
      <w:tblGrid>
        <w:gridCol w:w="10065"/>
      </w:tblGrid>
      <w:tr w:rsidR="000727EC" w:rsidRPr="009E259E" w14:paraId="236C5803" w14:textId="77777777" w:rsidTr="00603157">
        <w:tc>
          <w:tcPr>
            <w:tcW w:w="10065" w:type="dxa"/>
          </w:tcPr>
          <w:p w14:paraId="5B2D5A46" w14:textId="77777777" w:rsidR="00A03E08" w:rsidRPr="00846210" w:rsidRDefault="00A03E08" w:rsidP="00603157">
            <w:pPr>
              <w:spacing w:before="0" w:after="160"/>
              <w:rPr>
                <w:b/>
                <w:noProof/>
                <w:lang w:val="en-US"/>
              </w:rPr>
            </w:pPr>
            <w:r w:rsidRPr="00846210">
              <w:rPr>
                <w:b/>
                <w:noProof/>
                <w:lang w:val="en-US"/>
              </w:rPr>
              <w:t>Regulation</w:t>
            </w:r>
          </w:p>
          <w:p w14:paraId="75ED15DB" w14:textId="444CF58A" w:rsidR="00A03E08" w:rsidRPr="00846210" w:rsidRDefault="00A03E08" w:rsidP="00603157">
            <w:pPr>
              <w:spacing w:before="0" w:after="160"/>
              <w:rPr>
                <w:noProof/>
                <w:lang w:val="en-US"/>
              </w:rPr>
            </w:pPr>
            <w:r w:rsidRPr="00846210">
              <w:rPr>
                <w:noProof/>
                <w:lang w:val="en-US"/>
              </w:rPr>
              <w:t>Regulation (EU) 2021/690 of the European Parliament and of the Council of 28 April</w:t>
            </w:r>
            <w:r w:rsidR="00534F55" w:rsidRPr="00846210">
              <w:rPr>
                <w:noProof/>
                <w:lang w:val="en-US"/>
              </w:rPr>
              <w:t xml:space="preserve"> </w:t>
            </w:r>
            <w:r w:rsidRPr="00846210">
              <w:rPr>
                <w:noProof/>
                <w:lang w:val="en-US"/>
              </w:rPr>
              <w:t>2021 establishing a programme for the internal market, competitiveness of enterprises, including small and medium-sized enterprises, the area of plants, animals, food and feed, and European statistics (single market programme) and repealing Regulations (EU) No 99/2013, (EU) No 1287/2013, (EU) No 254/2014 and (EU) No 652/2014 (OJ L 153, 3.5.2021, p. 1).</w:t>
            </w:r>
          </w:p>
        </w:tc>
      </w:tr>
      <w:tr w:rsidR="000727EC" w:rsidRPr="009E259E" w14:paraId="3ECDCCCE" w14:textId="77777777" w:rsidTr="00603157">
        <w:tc>
          <w:tcPr>
            <w:tcW w:w="10065" w:type="dxa"/>
          </w:tcPr>
          <w:p w14:paraId="0E7942D6" w14:textId="77777777" w:rsidR="00A03E08" w:rsidRPr="009E259E" w:rsidRDefault="00A03E08" w:rsidP="00603157">
            <w:pPr>
              <w:spacing w:before="0" w:after="160"/>
              <w:rPr>
                <w:b/>
                <w:noProof/>
              </w:rPr>
            </w:pPr>
            <w:r w:rsidRPr="009E259E">
              <w:rPr>
                <w:b/>
                <w:noProof/>
              </w:rPr>
              <w:t xml:space="preserve">Period </w:t>
            </w:r>
          </w:p>
          <w:p w14:paraId="5D05B3C1" w14:textId="77777777" w:rsidR="00A03E08" w:rsidRPr="009E259E" w:rsidRDefault="00A03E08" w:rsidP="00603157">
            <w:pPr>
              <w:spacing w:before="0" w:after="160"/>
              <w:rPr>
                <w:b/>
                <w:noProof/>
              </w:rPr>
            </w:pPr>
            <w:r w:rsidRPr="009E259E">
              <w:rPr>
                <w:noProof/>
              </w:rPr>
              <w:t>2021 – 2027</w:t>
            </w:r>
          </w:p>
        </w:tc>
      </w:tr>
      <w:tr w:rsidR="000727EC" w:rsidRPr="009E259E" w14:paraId="2ED43C09" w14:textId="77777777" w:rsidTr="00603157">
        <w:tc>
          <w:tcPr>
            <w:tcW w:w="10065" w:type="dxa"/>
          </w:tcPr>
          <w:p w14:paraId="7836BE91" w14:textId="77777777" w:rsidR="00A03E08" w:rsidRPr="00846210" w:rsidRDefault="00A03E08" w:rsidP="00603157">
            <w:pPr>
              <w:spacing w:before="0" w:after="160"/>
              <w:rPr>
                <w:b/>
                <w:noProof/>
                <w:lang w:val="en-US"/>
              </w:rPr>
            </w:pPr>
            <w:r w:rsidRPr="00846210">
              <w:rPr>
                <w:b/>
                <w:noProof/>
                <w:lang w:val="en-US"/>
              </w:rPr>
              <w:t>Impact assessment</w:t>
            </w:r>
          </w:p>
          <w:p w14:paraId="6739C8AB" w14:textId="77777777" w:rsidR="00A03E08" w:rsidRPr="00846210" w:rsidRDefault="00A03E08" w:rsidP="00603157">
            <w:pPr>
              <w:spacing w:before="0" w:after="160"/>
              <w:rPr>
                <w:noProof/>
                <w:lang w:val="en-US"/>
              </w:rPr>
            </w:pPr>
            <w:r w:rsidRPr="00846210">
              <w:rPr>
                <w:noProof/>
                <w:lang w:val="en-US"/>
              </w:rPr>
              <w:t xml:space="preserve">Carried out in 2018: </w:t>
            </w:r>
            <w:hyperlink r:id="rId52" w:history="1">
              <w:r w:rsidRPr="00846210">
                <w:rPr>
                  <w:noProof/>
                  <w:color w:val="0000FF"/>
                  <w:u w:val="single"/>
                  <w:lang w:val="en-US"/>
                </w:rPr>
                <w:t>link</w:t>
              </w:r>
            </w:hyperlink>
          </w:p>
        </w:tc>
      </w:tr>
      <w:tr w:rsidR="000727EC" w:rsidRPr="009E259E" w14:paraId="7C591BF7" w14:textId="77777777" w:rsidTr="00603157">
        <w:tc>
          <w:tcPr>
            <w:tcW w:w="10065" w:type="dxa"/>
          </w:tcPr>
          <w:p w14:paraId="1F0FFF09" w14:textId="77777777" w:rsidR="00A03E08" w:rsidRPr="00846210" w:rsidRDefault="00A03E08" w:rsidP="00603157">
            <w:pPr>
              <w:spacing w:before="0" w:after="160"/>
              <w:rPr>
                <w:b/>
                <w:noProof/>
                <w:lang w:val="en-US"/>
              </w:rPr>
            </w:pPr>
            <w:r w:rsidRPr="00846210">
              <w:rPr>
                <w:b/>
                <w:noProof/>
                <w:lang w:val="en-US"/>
              </w:rPr>
              <w:t>Mid-term evaluation</w:t>
            </w:r>
          </w:p>
          <w:p w14:paraId="43B7C6F9" w14:textId="77777777" w:rsidR="00A03E08" w:rsidRPr="00846210" w:rsidRDefault="00A03E08" w:rsidP="00603157">
            <w:pPr>
              <w:spacing w:before="0" w:after="160"/>
              <w:rPr>
                <w:noProof/>
                <w:lang w:val="en-US"/>
              </w:rPr>
            </w:pPr>
            <w:r w:rsidRPr="00846210">
              <w:rPr>
                <w:noProof/>
                <w:lang w:val="en-US"/>
              </w:rPr>
              <w:t>Supporting study assessing the programme’s performance over 2021-2023 has been reviewed, despite not publicly available yet (planned for 2025)</w:t>
            </w:r>
          </w:p>
        </w:tc>
      </w:tr>
      <w:tr w:rsidR="000727EC" w:rsidRPr="009E259E" w14:paraId="17284EE5" w14:textId="77777777" w:rsidTr="00603157">
        <w:tc>
          <w:tcPr>
            <w:tcW w:w="10065" w:type="dxa"/>
          </w:tcPr>
          <w:p w14:paraId="0192C6F3" w14:textId="77777777" w:rsidR="00A03E08" w:rsidRPr="00846210" w:rsidRDefault="00A03E08" w:rsidP="00603157">
            <w:pPr>
              <w:spacing w:before="0" w:after="160"/>
              <w:rPr>
                <w:b/>
                <w:noProof/>
                <w:lang w:val="en-US"/>
              </w:rPr>
            </w:pPr>
            <w:r w:rsidRPr="00846210">
              <w:rPr>
                <w:b/>
                <w:noProof/>
                <w:lang w:val="en-US"/>
              </w:rPr>
              <w:t>Budget</w:t>
            </w:r>
          </w:p>
          <w:p w14:paraId="76E70143" w14:textId="77777777" w:rsidR="00A03E08" w:rsidRPr="00846210" w:rsidRDefault="00A03E08" w:rsidP="00603157">
            <w:pPr>
              <w:spacing w:before="0" w:after="160"/>
              <w:rPr>
                <w:noProof/>
                <w:lang w:val="en-US"/>
              </w:rPr>
            </w:pPr>
            <w:r w:rsidRPr="00846210">
              <w:rPr>
                <w:noProof/>
                <w:lang w:val="en-US"/>
              </w:rPr>
              <w:t>An indicative amount of EUR 1 billion is allocated by the SMP Regulation to Pillar 2, relates to strengthening the competitiveness and sustainability of SMEs. The overall budget allocated to the SMP amounted to EUR 4.2 billion over the period of 2021-2027.</w:t>
            </w:r>
          </w:p>
        </w:tc>
      </w:tr>
      <w:tr w:rsidR="000727EC" w:rsidRPr="009E259E" w14:paraId="4FB579C5" w14:textId="77777777" w:rsidTr="00603157">
        <w:tc>
          <w:tcPr>
            <w:tcW w:w="10065" w:type="dxa"/>
          </w:tcPr>
          <w:p w14:paraId="00676742" w14:textId="77777777" w:rsidR="00A03E08" w:rsidRPr="00846210" w:rsidRDefault="00A03E08" w:rsidP="00603157">
            <w:pPr>
              <w:spacing w:before="0" w:after="160"/>
              <w:rPr>
                <w:b/>
                <w:noProof/>
                <w:lang w:val="en-US"/>
              </w:rPr>
            </w:pPr>
            <w:r w:rsidRPr="00846210">
              <w:rPr>
                <w:b/>
                <w:noProof/>
                <w:lang w:val="en-US"/>
              </w:rPr>
              <w:t>Link with other programmes</w:t>
            </w:r>
          </w:p>
          <w:p w14:paraId="19F10E12" w14:textId="77777777" w:rsidR="00A03E08" w:rsidRPr="00846210" w:rsidRDefault="00A03E08" w:rsidP="00603157">
            <w:pPr>
              <w:spacing w:before="0" w:after="160"/>
              <w:rPr>
                <w:noProof/>
                <w:lang w:val="en-US"/>
              </w:rPr>
            </w:pPr>
            <w:r w:rsidRPr="00846210">
              <w:rPr>
                <w:noProof/>
                <w:lang w:val="en-US"/>
              </w:rPr>
              <w:t>None</w:t>
            </w:r>
          </w:p>
        </w:tc>
      </w:tr>
      <w:tr w:rsidR="000727EC" w:rsidRPr="009E259E" w14:paraId="4B34EA19" w14:textId="77777777" w:rsidTr="00603157">
        <w:tc>
          <w:tcPr>
            <w:tcW w:w="10065" w:type="dxa"/>
          </w:tcPr>
          <w:p w14:paraId="000D4960" w14:textId="77777777" w:rsidR="00A03E08" w:rsidRPr="00846210" w:rsidRDefault="00A03E08" w:rsidP="00603157">
            <w:pPr>
              <w:spacing w:before="0" w:after="160"/>
              <w:rPr>
                <w:b/>
                <w:noProof/>
                <w:lang w:val="en-US"/>
              </w:rPr>
            </w:pPr>
            <w:r w:rsidRPr="00846210">
              <w:rPr>
                <w:b/>
                <w:noProof/>
                <w:lang w:val="en-US"/>
              </w:rPr>
              <w:t>Focus</w:t>
            </w:r>
          </w:p>
          <w:p w14:paraId="18C4A685" w14:textId="77777777" w:rsidR="00A03E08" w:rsidRPr="00846210" w:rsidRDefault="00A03E08" w:rsidP="00603157">
            <w:pPr>
              <w:spacing w:before="0" w:after="160"/>
              <w:rPr>
                <w:noProof/>
                <w:lang w:val="en-US"/>
              </w:rPr>
            </w:pPr>
            <w:r w:rsidRPr="00846210">
              <w:rPr>
                <w:noProof/>
                <w:lang w:val="en-US"/>
              </w:rPr>
              <w:t>The Single Market Programme (SMP) is implemented in six pillars, the second of which (Pillar 2) relates to strengthening the competitiveness and sustainability of SMEs. The overall programme aims to improve the functioning of the internal market and helps protect and empower citizens, consumers and businesses by designing, implementing and enforcing EU legislation underpinning the proper functioning of the single market.</w:t>
            </w:r>
          </w:p>
        </w:tc>
      </w:tr>
      <w:tr w:rsidR="000727EC" w:rsidRPr="009E259E" w14:paraId="58D5DDC2" w14:textId="77777777" w:rsidTr="00603157">
        <w:tc>
          <w:tcPr>
            <w:tcW w:w="10065" w:type="dxa"/>
          </w:tcPr>
          <w:p w14:paraId="4805A7E7" w14:textId="77777777" w:rsidR="00A03E08" w:rsidRPr="00846210" w:rsidRDefault="00A03E08" w:rsidP="00603157">
            <w:pPr>
              <w:spacing w:before="0" w:after="160"/>
              <w:rPr>
                <w:b/>
                <w:noProof/>
                <w:lang w:val="en-US"/>
              </w:rPr>
            </w:pPr>
            <w:r w:rsidRPr="00846210">
              <w:rPr>
                <w:b/>
                <w:noProof/>
                <w:lang w:val="en-US"/>
              </w:rPr>
              <w:t>Delivery mode</w:t>
            </w:r>
          </w:p>
          <w:p w14:paraId="6230026F" w14:textId="77777777" w:rsidR="00A03E08" w:rsidRPr="00846210" w:rsidRDefault="00A03E08" w:rsidP="00603157">
            <w:pPr>
              <w:spacing w:before="0" w:after="160"/>
              <w:rPr>
                <w:noProof/>
                <w:lang w:val="en-US"/>
              </w:rPr>
            </w:pPr>
            <w:r w:rsidRPr="00846210">
              <w:rPr>
                <w:noProof/>
                <w:lang w:val="en-US"/>
              </w:rPr>
              <w:t>The European Innovation Council and SMEs Executive Agency (EISMEA) is entrusted with the management and implementation of the vast majority of the SME Pillar’s activities. Overall, the SMP is mainly implemented under direct management, in particular, but not exclusively, using grants and procurement. The participating directorates-general are DG Internal Market, Industry, Entrepreneurship and SMEs, DG Competition, DG Financial Stability, Financial Services and Capital Markets Union, DG Taxation and Customs Union, DG Health and Food Safety, DG Justice and Consumers and Eurostat. The programme is coordinated in accordance with the memorandum of understanding signed by the seven participating DGs, with the support of a coordination team based in DG Internal Market, Industry, Entrepreneurship and SMEs.</w:t>
            </w:r>
          </w:p>
        </w:tc>
      </w:tr>
      <w:tr w:rsidR="000727EC" w:rsidRPr="009E259E" w14:paraId="5E464330" w14:textId="77777777" w:rsidTr="00603157">
        <w:tc>
          <w:tcPr>
            <w:tcW w:w="10065" w:type="dxa"/>
          </w:tcPr>
          <w:p w14:paraId="1FA94EDE" w14:textId="77777777" w:rsidR="00A03E08" w:rsidRPr="00846210" w:rsidRDefault="00A03E08" w:rsidP="00603157">
            <w:pPr>
              <w:spacing w:before="0" w:after="160"/>
              <w:rPr>
                <w:b/>
                <w:noProof/>
                <w:lang w:val="en-US"/>
              </w:rPr>
            </w:pPr>
            <w:r w:rsidRPr="00846210">
              <w:rPr>
                <w:b/>
                <w:noProof/>
                <w:lang w:val="en-US"/>
              </w:rPr>
              <w:t>Predecessor</w:t>
            </w:r>
          </w:p>
          <w:p w14:paraId="66DA5675" w14:textId="77777777" w:rsidR="00A03E08" w:rsidRPr="00846210" w:rsidRDefault="00A03E08" w:rsidP="00603157">
            <w:pPr>
              <w:spacing w:before="0" w:after="160"/>
              <w:rPr>
                <w:noProof/>
                <w:lang w:val="en-US"/>
              </w:rPr>
            </w:pPr>
            <w:r w:rsidRPr="00846210">
              <w:rPr>
                <w:noProof/>
                <w:lang w:val="en-US"/>
              </w:rPr>
              <w:t>The SMP brings together six predecessor programmes from various policy areas. The main components of Pillar 2, especially its flagship initiatives build on earlier actions implemented for many years under the predecessor programmes COSME (2014-2020) and partly the Entrepreneurship and Innovation Programme (EIP) (2007-2013). Drawing from the lessons of the impact assessment, this integrated set-up is expected to constitute a more flexible and agile financing framework, which will allow the exploitation of synergies, the prevention of duplication and fragmentation, and prioritisation to be improved across all 14 industrial ecosystems. An important change in the support provided to SMEs with the introduction of the SMP is the establishment of multiannual initiatives to provide medium-term continuity to flagship initiatives that had already demonstrated their impact upon SMEs, such as the Enterprise Europe Network, actions for clusters and Erasmus for young entrepreneurs. In addition, the financial instruments for SMEs that were previously included in the COSME programme are now part of the InvestEU framework.</w:t>
            </w:r>
          </w:p>
        </w:tc>
      </w:tr>
      <w:tr w:rsidR="00E809B1" w14:paraId="642F01B4" w14:textId="77777777" w:rsidTr="00E809B1">
        <w:tc>
          <w:tcPr>
            <w:tcW w:w="10065" w:type="dxa"/>
            <w:hideMark/>
          </w:tcPr>
          <w:p w14:paraId="01DFC155" w14:textId="77777777" w:rsidR="00E809B1" w:rsidRPr="0038438D" w:rsidRDefault="00E809B1">
            <w:pPr>
              <w:spacing w:before="40" w:after="40"/>
              <w:rPr>
                <w:b/>
                <w:noProof/>
                <w:lang w:val="en-GB"/>
              </w:rPr>
            </w:pPr>
            <w:r w:rsidRPr="004F264E">
              <w:rPr>
                <w:b/>
                <w:noProof/>
                <w:lang w:val="en-IE"/>
              </w:rPr>
              <w:t>Type of recipients</w:t>
            </w:r>
          </w:p>
          <w:p w14:paraId="00089454" w14:textId="77777777" w:rsidR="00E809B1" w:rsidRPr="0038438D" w:rsidRDefault="00E809B1">
            <w:pPr>
              <w:spacing w:before="40" w:after="40"/>
              <w:rPr>
                <w:b/>
                <w:noProof/>
                <w:lang w:val="en-GB"/>
              </w:rPr>
            </w:pPr>
            <w:r w:rsidRPr="004F264E">
              <w:rPr>
                <w:noProof/>
                <w:lang w:val="en-IE"/>
              </w:rPr>
              <w:t>SMEs, clusters, business network organisations, and business support organisations.</w:t>
            </w:r>
          </w:p>
        </w:tc>
      </w:tr>
      <w:tr w:rsidR="00E809B1" w14:paraId="17A52C56" w14:textId="77777777" w:rsidTr="00E809B1">
        <w:tc>
          <w:tcPr>
            <w:tcW w:w="10065" w:type="dxa"/>
            <w:hideMark/>
          </w:tcPr>
          <w:p w14:paraId="7A614726" w14:textId="77777777" w:rsidR="00E809B1" w:rsidRPr="0038438D" w:rsidRDefault="00E809B1">
            <w:pPr>
              <w:spacing w:before="40" w:after="40"/>
              <w:rPr>
                <w:b/>
                <w:noProof/>
                <w:lang w:val="en-GB"/>
              </w:rPr>
            </w:pPr>
            <w:r w:rsidRPr="004F264E">
              <w:rPr>
                <w:b/>
                <w:noProof/>
                <w:lang w:val="en-IE"/>
              </w:rPr>
              <w:t>Forms of EU support</w:t>
            </w:r>
          </w:p>
          <w:p w14:paraId="00F37A3D" w14:textId="77777777" w:rsidR="00E809B1" w:rsidRPr="0038438D" w:rsidRDefault="00E809B1">
            <w:pPr>
              <w:spacing w:before="40" w:after="40"/>
              <w:rPr>
                <w:b/>
                <w:noProof/>
                <w:lang w:val="en-GB"/>
              </w:rPr>
            </w:pPr>
            <w:r w:rsidRPr="004F264E">
              <w:rPr>
                <w:noProof/>
                <w:lang w:val="en-IE"/>
              </w:rPr>
              <w:t>Grants, prizes, procurements, advisory.</w:t>
            </w:r>
          </w:p>
        </w:tc>
      </w:tr>
      <w:tr w:rsidR="00E809B1" w14:paraId="42BBE745" w14:textId="77777777" w:rsidTr="00E809B1">
        <w:tc>
          <w:tcPr>
            <w:tcW w:w="10065" w:type="dxa"/>
            <w:hideMark/>
          </w:tcPr>
          <w:p w14:paraId="36A29F3C" w14:textId="77777777" w:rsidR="00E809B1" w:rsidRPr="0038438D" w:rsidRDefault="00E809B1">
            <w:pPr>
              <w:spacing w:before="40" w:after="40"/>
              <w:rPr>
                <w:b/>
                <w:noProof/>
                <w:lang w:val="en-GB"/>
              </w:rPr>
            </w:pPr>
            <w:r w:rsidRPr="004F264E">
              <w:rPr>
                <w:b/>
                <w:noProof/>
                <w:lang w:val="en-IE"/>
              </w:rPr>
              <w:t>Third countries associated to the programme</w:t>
            </w:r>
          </w:p>
          <w:p w14:paraId="17C3846C" w14:textId="77777777" w:rsidR="00E809B1" w:rsidRPr="0038438D" w:rsidRDefault="00E809B1">
            <w:pPr>
              <w:spacing w:before="40" w:after="40"/>
              <w:rPr>
                <w:noProof/>
                <w:lang w:val="en-GB"/>
              </w:rPr>
            </w:pPr>
            <w:r w:rsidRPr="0038438D">
              <w:rPr>
                <w:noProof/>
              </w:rPr>
              <w:t>Iceland, Norway and Liechtenstein</w:t>
            </w:r>
          </w:p>
        </w:tc>
      </w:tr>
      <w:tr w:rsidR="00E809B1" w14:paraId="3C79D9F7" w14:textId="77777777" w:rsidTr="00E809B1">
        <w:tc>
          <w:tcPr>
            <w:tcW w:w="10065" w:type="dxa"/>
            <w:hideMark/>
          </w:tcPr>
          <w:p w14:paraId="3DA41935" w14:textId="77777777" w:rsidR="00E809B1" w:rsidRPr="0038438D" w:rsidRDefault="00E809B1">
            <w:pPr>
              <w:spacing w:before="40" w:after="40"/>
              <w:rPr>
                <w:b/>
                <w:noProof/>
                <w:lang w:val="en-GB"/>
              </w:rPr>
            </w:pPr>
            <w:r w:rsidRPr="004F264E">
              <w:rPr>
                <w:b/>
                <w:noProof/>
                <w:lang w:val="en-IE"/>
              </w:rPr>
              <w:t>Application</w:t>
            </w:r>
          </w:p>
          <w:p w14:paraId="5B67E99C" w14:textId="77777777" w:rsidR="00E809B1" w:rsidRPr="0038438D" w:rsidRDefault="00E809B1">
            <w:pPr>
              <w:spacing w:before="40" w:after="40"/>
              <w:rPr>
                <w:b/>
                <w:noProof/>
                <w:lang w:val="en-GB"/>
              </w:rPr>
            </w:pPr>
            <w:r w:rsidRPr="004F264E">
              <w:rPr>
                <w:noProof/>
                <w:lang w:val="en-IE"/>
              </w:rPr>
              <w:t>Calls for proposals for actions supporting EU businesses under the Single Market Programme are advertised on the website of the European Innovation Council and SMEs Executive Agency and published on the European Commission’s Funding and tender portal. Applicants can submit their proposals electronically through the Funding and tender portal. Information including the legislation and rules for participation, templates for proposals, evaluations and project reporting can be accessed on the Funding and tender portal.</w:t>
            </w:r>
          </w:p>
        </w:tc>
      </w:tr>
    </w:tbl>
    <w:p w14:paraId="33B53FD9" w14:textId="7D8743C6" w:rsidR="00AC6B1E" w:rsidRPr="0038438D" w:rsidRDefault="00AC6B1E" w:rsidP="00603157">
      <w:pPr>
        <w:spacing w:before="0" w:after="200"/>
        <w:jc w:val="left"/>
        <w:rPr>
          <w:rFonts w:eastAsia="Calibri"/>
          <w:noProof/>
          <w:lang w:val="en-US"/>
        </w:rPr>
      </w:pPr>
    </w:p>
    <w:p w14:paraId="5710BDB0" w14:textId="77777777" w:rsidR="004F3A12" w:rsidRDefault="004F3A12">
      <w:pPr>
        <w:spacing w:before="0" w:after="200" w:line="276" w:lineRule="auto"/>
        <w:jc w:val="left"/>
        <w:rPr>
          <w:rFonts w:eastAsia="Times New Roman"/>
          <w:b/>
          <w:noProof/>
          <w:szCs w:val="20"/>
        </w:rPr>
      </w:pPr>
      <w:r>
        <w:rPr>
          <w:noProof/>
        </w:rPr>
        <w:br w:type="page"/>
      </w:r>
    </w:p>
    <w:p w14:paraId="6EA8147C" w14:textId="43BD4BE5" w:rsidR="00A02B21" w:rsidRDefault="00A31958" w:rsidP="00603157">
      <w:pPr>
        <w:pStyle w:val="Heading2"/>
        <w:numPr>
          <w:ilvl w:val="0"/>
          <w:numId w:val="0"/>
        </w:numPr>
        <w:ind w:left="1200"/>
        <w:rPr>
          <w:b w:val="0"/>
          <w:bCs/>
          <w:smallCaps/>
          <w:noProof/>
          <w:sz w:val="32"/>
          <w:szCs w:val="32"/>
        </w:rPr>
      </w:pPr>
      <w:bookmarkStart w:id="284" w:name="_Toc203043665"/>
      <w:r>
        <w:rPr>
          <w:noProof/>
        </w:rPr>
        <w:t>A</w:t>
      </w:r>
      <w:r w:rsidR="00A02B21" w:rsidRPr="2A1AD167">
        <w:rPr>
          <w:noProof/>
        </w:rPr>
        <w:t xml:space="preserve">nnex </w:t>
      </w:r>
      <w:r w:rsidR="00D246C7">
        <w:rPr>
          <w:noProof/>
        </w:rPr>
        <w:t>9</w:t>
      </w:r>
      <w:r w:rsidR="00A02B21">
        <w:rPr>
          <w:noProof/>
        </w:rPr>
        <w:t>:</w:t>
      </w:r>
      <w:r w:rsidR="00A02B21" w:rsidRPr="2A1AD167">
        <w:rPr>
          <w:b w:val="0"/>
          <w:bCs/>
          <w:smallCaps/>
          <w:noProof/>
          <w:sz w:val="32"/>
          <w:szCs w:val="32"/>
        </w:rPr>
        <w:t xml:space="preserve"> </w:t>
      </w:r>
      <w:r w:rsidR="00FC40DC">
        <w:rPr>
          <w:noProof/>
        </w:rPr>
        <w:t>Ov</w:t>
      </w:r>
      <w:r w:rsidR="00FC40DC" w:rsidRPr="00FC40DC">
        <w:rPr>
          <w:noProof/>
        </w:rPr>
        <w:t>erview of the current time to inform and time to grant per programme</w:t>
      </w:r>
      <w:bookmarkEnd w:id="284"/>
    </w:p>
    <w:tbl>
      <w:tblPr>
        <w:tblStyle w:val="TableGrid"/>
        <w:tblW w:w="10065" w:type="dxa"/>
        <w:tblInd w:w="-431" w:type="dxa"/>
        <w:tblLayout w:type="fixed"/>
        <w:tblLook w:val="04A0" w:firstRow="1" w:lastRow="0" w:firstColumn="1" w:lastColumn="0" w:noHBand="0" w:noVBand="1"/>
      </w:tblPr>
      <w:tblGrid>
        <w:gridCol w:w="1696"/>
        <w:gridCol w:w="851"/>
        <w:gridCol w:w="1134"/>
        <w:gridCol w:w="1417"/>
        <w:gridCol w:w="1276"/>
        <w:gridCol w:w="3691"/>
      </w:tblGrid>
      <w:tr w:rsidR="0002195E" w:rsidRPr="007233CA" w14:paraId="539C97AF" w14:textId="77777777" w:rsidTr="00603157">
        <w:trPr>
          <w:trHeight w:val="1160"/>
          <w:tblHeader/>
        </w:trPr>
        <w:tc>
          <w:tcPr>
            <w:tcW w:w="1696" w:type="dxa"/>
            <w:hideMark/>
          </w:tcPr>
          <w:p w14:paraId="2CE192E7" w14:textId="77777777" w:rsidR="008606DF" w:rsidRPr="007233CA" w:rsidRDefault="008606DF" w:rsidP="00603157">
            <w:pPr>
              <w:pStyle w:val="BodyText1"/>
              <w:jc w:val="center"/>
              <w:rPr>
                <w:rFonts w:ascii="Times New Roman" w:hAnsi="Times New Roman"/>
                <w:b/>
                <w:bCs/>
                <w:sz w:val="20"/>
              </w:rPr>
            </w:pPr>
            <w:r w:rsidRPr="007233CA">
              <w:rPr>
                <w:rFonts w:ascii="Times New Roman" w:hAnsi="Times New Roman"/>
                <w:b/>
                <w:bCs/>
                <w:sz w:val="20"/>
              </w:rPr>
              <w:t>Programme</w:t>
            </w:r>
          </w:p>
        </w:tc>
        <w:tc>
          <w:tcPr>
            <w:tcW w:w="851" w:type="dxa"/>
            <w:hideMark/>
          </w:tcPr>
          <w:p w14:paraId="64CD64FC" w14:textId="77777777" w:rsidR="008606DF" w:rsidRPr="007233CA" w:rsidRDefault="008606DF" w:rsidP="00603157">
            <w:pPr>
              <w:pStyle w:val="BodyText1"/>
              <w:jc w:val="center"/>
              <w:rPr>
                <w:rFonts w:ascii="Times New Roman" w:hAnsi="Times New Roman"/>
                <w:b/>
                <w:bCs/>
                <w:sz w:val="20"/>
              </w:rPr>
            </w:pPr>
            <w:r w:rsidRPr="007233CA">
              <w:rPr>
                <w:rFonts w:ascii="Times New Roman" w:hAnsi="Times New Roman"/>
                <w:b/>
                <w:bCs/>
                <w:sz w:val="20"/>
              </w:rPr>
              <w:t>Related MFF</w:t>
            </w:r>
          </w:p>
        </w:tc>
        <w:tc>
          <w:tcPr>
            <w:tcW w:w="1134" w:type="dxa"/>
            <w:hideMark/>
          </w:tcPr>
          <w:p w14:paraId="36A7F2CF" w14:textId="77777777" w:rsidR="008606DF" w:rsidRPr="007233CA" w:rsidRDefault="008606DF" w:rsidP="00603157">
            <w:pPr>
              <w:pStyle w:val="BodyText1"/>
              <w:jc w:val="center"/>
              <w:rPr>
                <w:rFonts w:ascii="Times New Roman" w:hAnsi="Times New Roman"/>
                <w:b/>
                <w:bCs/>
                <w:sz w:val="20"/>
              </w:rPr>
            </w:pPr>
            <w:r w:rsidRPr="007233CA">
              <w:rPr>
                <w:rFonts w:ascii="Times New Roman" w:hAnsi="Times New Roman"/>
                <w:b/>
                <w:bCs/>
                <w:sz w:val="20"/>
              </w:rPr>
              <w:t>Reference period</w:t>
            </w:r>
          </w:p>
        </w:tc>
        <w:tc>
          <w:tcPr>
            <w:tcW w:w="1417" w:type="dxa"/>
            <w:hideMark/>
          </w:tcPr>
          <w:p w14:paraId="641AD22D" w14:textId="77777777" w:rsidR="008606DF" w:rsidRPr="007233CA" w:rsidRDefault="008606DF" w:rsidP="00603157">
            <w:pPr>
              <w:pStyle w:val="BodyText1"/>
              <w:jc w:val="center"/>
              <w:rPr>
                <w:rFonts w:ascii="Times New Roman" w:hAnsi="Times New Roman"/>
                <w:b/>
                <w:bCs/>
                <w:sz w:val="20"/>
              </w:rPr>
            </w:pPr>
            <w:r w:rsidRPr="007233CA">
              <w:rPr>
                <w:rFonts w:ascii="Times New Roman" w:hAnsi="Times New Roman"/>
                <w:b/>
                <w:bCs/>
                <w:sz w:val="20"/>
              </w:rPr>
              <w:t>TTI</w:t>
            </w:r>
          </w:p>
          <w:p w14:paraId="73FE0686" w14:textId="77777777" w:rsidR="008606DF" w:rsidRPr="007233CA" w:rsidRDefault="008606DF" w:rsidP="00603157">
            <w:pPr>
              <w:pStyle w:val="BodyText1"/>
              <w:jc w:val="center"/>
              <w:rPr>
                <w:rFonts w:ascii="Times New Roman" w:hAnsi="Times New Roman"/>
                <w:b/>
                <w:bCs/>
                <w:sz w:val="20"/>
              </w:rPr>
            </w:pPr>
            <w:r w:rsidRPr="007233CA">
              <w:rPr>
                <w:rFonts w:ascii="Times New Roman" w:hAnsi="Times New Roman"/>
                <w:b/>
                <w:bCs/>
                <w:sz w:val="20"/>
              </w:rPr>
              <w:t>(Number of days)</w:t>
            </w:r>
          </w:p>
        </w:tc>
        <w:tc>
          <w:tcPr>
            <w:tcW w:w="1276" w:type="dxa"/>
          </w:tcPr>
          <w:p w14:paraId="734D3E62" w14:textId="77777777" w:rsidR="008606DF" w:rsidRPr="007233CA" w:rsidRDefault="008606DF" w:rsidP="00603157">
            <w:pPr>
              <w:pStyle w:val="BodyText1"/>
              <w:jc w:val="center"/>
              <w:rPr>
                <w:rFonts w:ascii="Times New Roman" w:hAnsi="Times New Roman"/>
                <w:b/>
                <w:bCs/>
                <w:sz w:val="20"/>
              </w:rPr>
            </w:pPr>
            <w:r w:rsidRPr="007233CA">
              <w:rPr>
                <w:rFonts w:ascii="Times New Roman" w:hAnsi="Times New Roman"/>
                <w:b/>
                <w:bCs/>
                <w:sz w:val="20"/>
              </w:rPr>
              <w:t>TTI target</w:t>
            </w:r>
          </w:p>
          <w:p w14:paraId="755F319B" w14:textId="77777777" w:rsidR="008606DF" w:rsidRPr="007233CA" w:rsidRDefault="008606DF" w:rsidP="00603157">
            <w:pPr>
              <w:pStyle w:val="BodyText1"/>
              <w:jc w:val="center"/>
              <w:rPr>
                <w:rFonts w:ascii="Times New Roman" w:hAnsi="Times New Roman"/>
                <w:b/>
                <w:bCs/>
                <w:sz w:val="20"/>
              </w:rPr>
            </w:pPr>
            <w:r w:rsidRPr="007233CA">
              <w:rPr>
                <w:rFonts w:ascii="Times New Roman" w:hAnsi="Times New Roman"/>
                <w:b/>
                <w:bCs/>
                <w:sz w:val="20"/>
              </w:rPr>
              <w:t>(Number of days)</w:t>
            </w:r>
          </w:p>
        </w:tc>
        <w:tc>
          <w:tcPr>
            <w:tcW w:w="3691" w:type="dxa"/>
            <w:hideMark/>
          </w:tcPr>
          <w:p w14:paraId="5FFEF8D3" w14:textId="77777777" w:rsidR="008606DF" w:rsidRPr="007233CA" w:rsidRDefault="008606DF" w:rsidP="00603157">
            <w:pPr>
              <w:pStyle w:val="BodyText1"/>
              <w:jc w:val="center"/>
              <w:rPr>
                <w:rFonts w:ascii="Times New Roman" w:hAnsi="Times New Roman"/>
                <w:b/>
                <w:bCs/>
                <w:sz w:val="20"/>
              </w:rPr>
            </w:pPr>
            <w:r w:rsidRPr="007233CA">
              <w:rPr>
                <w:rFonts w:ascii="Times New Roman" w:hAnsi="Times New Roman"/>
                <w:b/>
                <w:bCs/>
                <w:sz w:val="20"/>
              </w:rPr>
              <w:t>Source</w:t>
            </w:r>
          </w:p>
        </w:tc>
      </w:tr>
      <w:tr w:rsidR="008231A1" w:rsidRPr="007233CA" w14:paraId="1945821B" w14:textId="77777777" w:rsidTr="00603157">
        <w:trPr>
          <w:trHeight w:val="290"/>
        </w:trPr>
        <w:tc>
          <w:tcPr>
            <w:tcW w:w="1696" w:type="dxa"/>
            <w:noWrap/>
          </w:tcPr>
          <w:p w14:paraId="3973F708" w14:textId="77777777" w:rsidR="008606DF" w:rsidRPr="007233CA" w:rsidRDefault="008606DF" w:rsidP="00603157">
            <w:pPr>
              <w:spacing w:after="0"/>
              <w:jc w:val="left"/>
              <w:rPr>
                <w:noProof/>
                <w:color w:val="000000"/>
                <w:sz w:val="20"/>
                <w:lang w:val="it-IT" w:eastAsia="it-IT"/>
              </w:rPr>
            </w:pPr>
            <w:r w:rsidRPr="007233CA">
              <w:rPr>
                <w:noProof/>
                <w:color w:val="000000"/>
                <w:sz w:val="20"/>
                <w:lang w:val="it-IT" w:eastAsia="it-IT"/>
              </w:rPr>
              <w:t>Horizon</w:t>
            </w:r>
          </w:p>
        </w:tc>
        <w:tc>
          <w:tcPr>
            <w:tcW w:w="851" w:type="dxa"/>
            <w:noWrap/>
          </w:tcPr>
          <w:p w14:paraId="30D8BB4F"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14-20</w:t>
            </w:r>
          </w:p>
        </w:tc>
        <w:tc>
          <w:tcPr>
            <w:tcW w:w="1134" w:type="dxa"/>
            <w:noWrap/>
          </w:tcPr>
          <w:p w14:paraId="05969188"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14-20</w:t>
            </w:r>
          </w:p>
        </w:tc>
        <w:tc>
          <w:tcPr>
            <w:tcW w:w="1417" w:type="dxa"/>
            <w:noWrap/>
          </w:tcPr>
          <w:p w14:paraId="7C59BAFC" w14:textId="77777777" w:rsidR="008606DF" w:rsidRPr="007233CA" w:rsidRDefault="008606DF" w:rsidP="00603157">
            <w:pPr>
              <w:spacing w:after="0"/>
              <w:jc w:val="center"/>
              <w:rPr>
                <w:noProof/>
                <w:color w:val="00B050"/>
                <w:sz w:val="20"/>
                <w:lang w:val="it-IT" w:eastAsia="it-IT"/>
              </w:rPr>
            </w:pPr>
            <w:r w:rsidRPr="007233CA">
              <w:rPr>
                <w:noProof/>
                <w:color w:val="00B050"/>
                <w:sz w:val="20"/>
                <w:lang w:val="it-IT" w:eastAsia="it-IT"/>
              </w:rPr>
              <w:t>112</w:t>
            </w:r>
          </w:p>
        </w:tc>
        <w:tc>
          <w:tcPr>
            <w:tcW w:w="1276" w:type="dxa"/>
          </w:tcPr>
          <w:p w14:paraId="196758AD"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153</w:t>
            </w:r>
          </w:p>
        </w:tc>
        <w:tc>
          <w:tcPr>
            <w:tcW w:w="3691" w:type="dxa"/>
            <w:noWrap/>
          </w:tcPr>
          <w:p w14:paraId="2CC19388" w14:textId="77777777" w:rsidR="008606DF" w:rsidRPr="007233CA" w:rsidRDefault="008606DF" w:rsidP="00603157">
            <w:pPr>
              <w:spacing w:after="0"/>
              <w:jc w:val="left"/>
              <w:rPr>
                <w:noProof/>
                <w:color w:val="000000"/>
                <w:sz w:val="20"/>
                <w:lang w:val="en-US" w:eastAsia="it-IT"/>
              </w:rPr>
            </w:pPr>
            <w:r w:rsidRPr="007233CA">
              <w:rPr>
                <w:noProof/>
                <w:color w:val="000000"/>
                <w:sz w:val="20"/>
                <w:lang w:val="en-US" w:eastAsia="it-IT"/>
              </w:rPr>
              <w:t>Ex-post evaluation of Horizon 2020</w:t>
            </w:r>
          </w:p>
        </w:tc>
      </w:tr>
      <w:tr w:rsidR="008231A1" w:rsidRPr="007233CA" w14:paraId="0A59C155" w14:textId="77777777" w:rsidTr="00603157">
        <w:trPr>
          <w:trHeight w:val="290"/>
        </w:trPr>
        <w:tc>
          <w:tcPr>
            <w:tcW w:w="1696" w:type="dxa"/>
            <w:noWrap/>
          </w:tcPr>
          <w:p w14:paraId="1A9CF40B" w14:textId="77777777" w:rsidR="008606DF" w:rsidRPr="007233CA" w:rsidRDefault="008606DF" w:rsidP="00603157">
            <w:pPr>
              <w:spacing w:after="0"/>
              <w:jc w:val="left"/>
              <w:rPr>
                <w:noProof/>
                <w:color w:val="000000"/>
                <w:sz w:val="20"/>
                <w:lang w:val="it-IT" w:eastAsia="it-IT"/>
              </w:rPr>
            </w:pPr>
            <w:r w:rsidRPr="007233CA">
              <w:rPr>
                <w:noProof/>
                <w:color w:val="000000"/>
                <w:sz w:val="20"/>
                <w:lang w:val="it-IT" w:eastAsia="it-IT"/>
              </w:rPr>
              <w:t>Horizon</w:t>
            </w:r>
          </w:p>
        </w:tc>
        <w:tc>
          <w:tcPr>
            <w:tcW w:w="851" w:type="dxa"/>
            <w:noWrap/>
          </w:tcPr>
          <w:p w14:paraId="124B003F"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21-27</w:t>
            </w:r>
          </w:p>
        </w:tc>
        <w:tc>
          <w:tcPr>
            <w:tcW w:w="1134" w:type="dxa"/>
            <w:noWrap/>
          </w:tcPr>
          <w:p w14:paraId="625537D8"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21-24</w:t>
            </w:r>
          </w:p>
        </w:tc>
        <w:tc>
          <w:tcPr>
            <w:tcW w:w="1417" w:type="dxa"/>
            <w:noWrap/>
          </w:tcPr>
          <w:p w14:paraId="7A4C33D4" w14:textId="77777777" w:rsidR="008606DF" w:rsidRPr="007233CA" w:rsidRDefault="008606DF" w:rsidP="00603157">
            <w:pPr>
              <w:spacing w:after="0"/>
              <w:jc w:val="center"/>
              <w:rPr>
                <w:noProof/>
                <w:color w:val="00B050"/>
                <w:sz w:val="20"/>
                <w:lang w:val="en-IE" w:eastAsia="it-IT"/>
              </w:rPr>
            </w:pPr>
            <w:r w:rsidRPr="007233CA">
              <w:rPr>
                <w:noProof/>
                <w:color w:val="00B050"/>
                <w:sz w:val="20"/>
                <w:lang w:val="en-IE" w:eastAsia="it-IT"/>
              </w:rPr>
              <w:t>130</w:t>
            </w:r>
          </w:p>
          <w:p w14:paraId="586D4E77" w14:textId="77777777" w:rsidR="008606DF" w:rsidRPr="007233CA" w:rsidRDefault="008606DF" w:rsidP="00603157">
            <w:pPr>
              <w:spacing w:after="0"/>
              <w:jc w:val="center"/>
              <w:rPr>
                <w:noProof/>
                <w:color w:val="00B050"/>
                <w:sz w:val="20"/>
                <w:lang w:val="en-IE" w:eastAsia="it-IT"/>
              </w:rPr>
            </w:pPr>
            <w:r w:rsidRPr="007233CA">
              <w:rPr>
                <w:noProof/>
                <w:color w:val="00B050"/>
                <w:sz w:val="20"/>
                <w:lang w:val="en-IE" w:eastAsia="it-IT"/>
              </w:rPr>
              <w:t>(range: 108 Pillar II to 148 Pillar III w/o EIC)</w:t>
            </w:r>
          </w:p>
        </w:tc>
        <w:tc>
          <w:tcPr>
            <w:tcW w:w="1276" w:type="dxa"/>
          </w:tcPr>
          <w:p w14:paraId="74680E35"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153</w:t>
            </w:r>
          </w:p>
          <w:p w14:paraId="56F6056F" w14:textId="77777777" w:rsidR="008606DF" w:rsidRPr="007233CA" w:rsidRDefault="008606DF" w:rsidP="00603157">
            <w:pPr>
              <w:spacing w:after="0"/>
              <w:jc w:val="center"/>
              <w:rPr>
                <w:noProof/>
                <w:color w:val="000000"/>
                <w:sz w:val="20"/>
                <w:lang w:val="en-US" w:eastAsia="it-IT"/>
              </w:rPr>
            </w:pPr>
          </w:p>
        </w:tc>
        <w:tc>
          <w:tcPr>
            <w:tcW w:w="3691" w:type="dxa"/>
            <w:noWrap/>
          </w:tcPr>
          <w:p w14:paraId="0731536A" w14:textId="6DA3112D" w:rsidR="008606DF" w:rsidRPr="007233CA" w:rsidRDefault="008606DF" w:rsidP="00603157">
            <w:pPr>
              <w:spacing w:after="0"/>
              <w:jc w:val="left"/>
              <w:rPr>
                <w:noProof/>
                <w:color w:val="000000"/>
                <w:sz w:val="20"/>
                <w:lang w:val="en-US" w:eastAsia="it-IT"/>
              </w:rPr>
            </w:pPr>
            <w:r w:rsidRPr="007233CA">
              <w:rPr>
                <w:noProof/>
                <w:color w:val="000000"/>
                <w:sz w:val="20"/>
                <w:lang w:val="en-US" w:eastAsia="it-IT"/>
              </w:rPr>
              <w:t>Interim evaluation of Horizon Europe</w:t>
            </w:r>
          </w:p>
        </w:tc>
      </w:tr>
      <w:tr w:rsidR="008231A1" w:rsidRPr="007233CA" w14:paraId="2E74E961" w14:textId="77777777" w:rsidTr="00603157">
        <w:trPr>
          <w:trHeight w:val="290"/>
        </w:trPr>
        <w:tc>
          <w:tcPr>
            <w:tcW w:w="1696" w:type="dxa"/>
            <w:noWrap/>
          </w:tcPr>
          <w:p w14:paraId="305A99B8" w14:textId="77777777" w:rsidR="008606DF" w:rsidRPr="007233CA" w:rsidRDefault="008606DF" w:rsidP="00603157">
            <w:pPr>
              <w:spacing w:after="0"/>
              <w:jc w:val="left"/>
              <w:rPr>
                <w:noProof/>
                <w:color w:val="000000"/>
                <w:sz w:val="20"/>
                <w:lang w:val="it-IT" w:eastAsia="it-IT"/>
              </w:rPr>
            </w:pPr>
            <w:r w:rsidRPr="007233CA">
              <w:rPr>
                <w:noProof/>
                <w:color w:val="000000"/>
                <w:sz w:val="20"/>
                <w:lang w:val="it-IT" w:eastAsia="it-IT"/>
              </w:rPr>
              <w:t>Digital Europe</w:t>
            </w:r>
          </w:p>
        </w:tc>
        <w:tc>
          <w:tcPr>
            <w:tcW w:w="851" w:type="dxa"/>
            <w:noWrap/>
          </w:tcPr>
          <w:p w14:paraId="1EC7F865"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21-27</w:t>
            </w:r>
          </w:p>
        </w:tc>
        <w:tc>
          <w:tcPr>
            <w:tcW w:w="1134" w:type="dxa"/>
            <w:noWrap/>
          </w:tcPr>
          <w:p w14:paraId="7890F848"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2023</w:t>
            </w:r>
          </w:p>
        </w:tc>
        <w:tc>
          <w:tcPr>
            <w:tcW w:w="1417" w:type="dxa"/>
            <w:noWrap/>
          </w:tcPr>
          <w:p w14:paraId="6C91C7D5" w14:textId="77777777" w:rsidR="008606DF" w:rsidRPr="007233CA" w:rsidRDefault="008606DF" w:rsidP="00603157">
            <w:pPr>
              <w:spacing w:after="0"/>
              <w:jc w:val="center"/>
              <w:rPr>
                <w:noProof/>
                <w:color w:val="00B050"/>
                <w:sz w:val="20"/>
                <w:lang w:val="it-IT" w:eastAsia="it-IT"/>
              </w:rPr>
            </w:pPr>
            <w:r w:rsidRPr="007233CA">
              <w:rPr>
                <w:noProof/>
                <w:color w:val="00B050"/>
                <w:sz w:val="20"/>
                <w:lang w:val="it-IT" w:eastAsia="it-IT"/>
              </w:rPr>
              <w:t>110**</w:t>
            </w:r>
          </w:p>
        </w:tc>
        <w:tc>
          <w:tcPr>
            <w:tcW w:w="1276" w:type="dxa"/>
          </w:tcPr>
          <w:p w14:paraId="2FAC22F4"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183</w:t>
            </w:r>
          </w:p>
        </w:tc>
        <w:tc>
          <w:tcPr>
            <w:tcW w:w="3691" w:type="dxa"/>
            <w:noWrap/>
          </w:tcPr>
          <w:p w14:paraId="79C5A5C1" w14:textId="77777777" w:rsidR="008606DF" w:rsidRPr="007233CA" w:rsidRDefault="008606DF" w:rsidP="00603157">
            <w:pPr>
              <w:spacing w:after="0"/>
              <w:jc w:val="left"/>
              <w:rPr>
                <w:noProof/>
                <w:color w:val="000000"/>
                <w:sz w:val="20"/>
                <w:lang w:val="en-US" w:eastAsia="it-IT"/>
              </w:rPr>
            </w:pPr>
            <w:r w:rsidRPr="007233CA">
              <w:rPr>
                <w:noProof/>
                <w:color w:val="000000"/>
                <w:sz w:val="20"/>
                <w:lang w:eastAsia="it-IT"/>
              </w:rPr>
              <w:t>HaDEA - Annual Activity Report 2023</w:t>
            </w:r>
          </w:p>
        </w:tc>
      </w:tr>
      <w:tr w:rsidR="008231A1" w:rsidRPr="007233CA" w14:paraId="102E14AC" w14:textId="77777777" w:rsidTr="00603157">
        <w:trPr>
          <w:trHeight w:val="290"/>
        </w:trPr>
        <w:tc>
          <w:tcPr>
            <w:tcW w:w="1696" w:type="dxa"/>
            <w:noWrap/>
            <w:hideMark/>
          </w:tcPr>
          <w:p w14:paraId="562A0946" w14:textId="77777777" w:rsidR="008606DF" w:rsidRPr="007233CA" w:rsidRDefault="008606DF" w:rsidP="00603157">
            <w:pPr>
              <w:spacing w:after="0"/>
              <w:jc w:val="left"/>
              <w:rPr>
                <w:noProof/>
                <w:color w:val="000000"/>
                <w:sz w:val="20"/>
                <w:lang w:val="it-IT" w:eastAsia="it-IT"/>
              </w:rPr>
            </w:pPr>
            <w:r w:rsidRPr="007233CA">
              <w:rPr>
                <w:noProof/>
                <w:color w:val="000000"/>
                <w:sz w:val="20"/>
                <w:lang w:val="it-IT" w:eastAsia="it-IT"/>
              </w:rPr>
              <w:t>Innovation Fund</w:t>
            </w:r>
          </w:p>
        </w:tc>
        <w:tc>
          <w:tcPr>
            <w:tcW w:w="851" w:type="dxa"/>
            <w:noWrap/>
            <w:hideMark/>
          </w:tcPr>
          <w:p w14:paraId="25B2B6DF"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21-27</w:t>
            </w:r>
          </w:p>
        </w:tc>
        <w:tc>
          <w:tcPr>
            <w:tcW w:w="1134" w:type="dxa"/>
            <w:noWrap/>
            <w:hideMark/>
          </w:tcPr>
          <w:p w14:paraId="541E46D4"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2021</w:t>
            </w:r>
          </w:p>
        </w:tc>
        <w:tc>
          <w:tcPr>
            <w:tcW w:w="1417" w:type="dxa"/>
            <w:noWrap/>
            <w:hideMark/>
          </w:tcPr>
          <w:p w14:paraId="2890073D" w14:textId="77777777" w:rsidR="008606DF" w:rsidRPr="007233CA" w:rsidRDefault="008606DF" w:rsidP="00603157">
            <w:pPr>
              <w:spacing w:after="0"/>
              <w:jc w:val="center"/>
              <w:rPr>
                <w:noProof/>
                <w:color w:val="00B050"/>
                <w:sz w:val="20"/>
                <w:lang w:val="it-IT" w:eastAsia="it-IT"/>
              </w:rPr>
            </w:pPr>
            <w:r w:rsidRPr="007233CA">
              <w:rPr>
                <w:noProof/>
                <w:color w:val="00B050"/>
                <w:sz w:val="20"/>
                <w:lang w:val="it-IT" w:eastAsia="it-IT"/>
              </w:rPr>
              <w:t>132</w:t>
            </w:r>
          </w:p>
        </w:tc>
        <w:tc>
          <w:tcPr>
            <w:tcW w:w="1276" w:type="dxa"/>
          </w:tcPr>
          <w:p w14:paraId="387268EE"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183</w:t>
            </w:r>
          </w:p>
        </w:tc>
        <w:tc>
          <w:tcPr>
            <w:tcW w:w="3691" w:type="dxa"/>
            <w:noWrap/>
            <w:hideMark/>
          </w:tcPr>
          <w:p w14:paraId="18304E07" w14:textId="77777777" w:rsidR="008606DF" w:rsidRPr="007233CA" w:rsidRDefault="008606DF" w:rsidP="00603157">
            <w:pPr>
              <w:spacing w:after="0"/>
              <w:jc w:val="left"/>
              <w:rPr>
                <w:noProof/>
                <w:color w:val="000000"/>
                <w:sz w:val="20"/>
                <w:lang w:val="en-US" w:eastAsia="it-IT"/>
              </w:rPr>
            </w:pPr>
            <w:r w:rsidRPr="007233CA">
              <w:rPr>
                <w:noProof/>
                <w:color w:val="000000"/>
                <w:sz w:val="20"/>
                <w:lang w:val="en-US" w:eastAsia="it-IT"/>
              </w:rPr>
              <w:t xml:space="preserve">CINEA - Annual Activity Report 2023 </w:t>
            </w:r>
          </w:p>
        </w:tc>
      </w:tr>
      <w:tr w:rsidR="008231A1" w:rsidRPr="007233CA" w14:paraId="6EE95E33" w14:textId="77777777" w:rsidTr="00603157">
        <w:trPr>
          <w:trHeight w:val="290"/>
        </w:trPr>
        <w:tc>
          <w:tcPr>
            <w:tcW w:w="1696" w:type="dxa"/>
            <w:noWrap/>
            <w:hideMark/>
          </w:tcPr>
          <w:p w14:paraId="52DBD1D1" w14:textId="77777777" w:rsidR="008606DF" w:rsidRPr="007233CA" w:rsidRDefault="008606DF" w:rsidP="00603157">
            <w:pPr>
              <w:spacing w:after="0"/>
              <w:jc w:val="left"/>
              <w:rPr>
                <w:noProof/>
                <w:color w:val="000000"/>
                <w:sz w:val="20"/>
                <w:lang w:val="it-IT" w:eastAsia="it-IT"/>
              </w:rPr>
            </w:pPr>
            <w:r w:rsidRPr="007233CA">
              <w:rPr>
                <w:noProof/>
                <w:color w:val="000000"/>
                <w:sz w:val="20"/>
                <w:lang w:val="it-IT" w:eastAsia="it-IT"/>
              </w:rPr>
              <w:t>Innovation Fund</w:t>
            </w:r>
          </w:p>
        </w:tc>
        <w:tc>
          <w:tcPr>
            <w:tcW w:w="851" w:type="dxa"/>
            <w:noWrap/>
            <w:hideMark/>
          </w:tcPr>
          <w:p w14:paraId="560D15C4"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21-27</w:t>
            </w:r>
          </w:p>
        </w:tc>
        <w:tc>
          <w:tcPr>
            <w:tcW w:w="1134" w:type="dxa"/>
            <w:noWrap/>
            <w:hideMark/>
          </w:tcPr>
          <w:p w14:paraId="4F08EE0C"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2022</w:t>
            </w:r>
          </w:p>
        </w:tc>
        <w:tc>
          <w:tcPr>
            <w:tcW w:w="1417" w:type="dxa"/>
            <w:noWrap/>
            <w:hideMark/>
          </w:tcPr>
          <w:p w14:paraId="24A12724" w14:textId="77777777" w:rsidR="008606DF" w:rsidRPr="007233CA" w:rsidRDefault="008606DF" w:rsidP="00603157">
            <w:pPr>
              <w:spacing w:after="0"/>
              <w:jc w:val="center"/>
              <w:rPr>
                <w:noProof/>
                <w:color w:val="00B050"/>
                <w:sz w:val="20"/>
                <w:lang w:val="it-IT" w:eastAsia="it-IT"/>
              </w:rPr>
            </w:pPr>
            <w:r w:rsidRPr="007233CA">
              <w:rPr>
                <w:noProof/>
                <w:color w:val="00B050"/>
                <w:sz w:val="20"/>
                <w:lang w:val="it-IT" w:eastAsia="it-IT"/>
              </w:rPr>
              <w:t>122</w:t>
            </w:r>
          </w:p>
        </w:tc>
        <w:tc>
          <w:tcPr>
            <w:tcW w:w="1276" w:type="dxa"/>
          </w:tcPr>
          <w:p w14:paraId="55674F51"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183</w:t>
            </w:r>
          </w:p>
        </w:tc>
        <w:tc>
          <w:tcPr>
            <w:tcW w:w="3691" w:type="dxa"/>
            <w:noWrap/>
            <w:hideMark/>
          </w:tcPr>
          <w:p w14:paraId="775ABBF3" w14:textId="77777777" w:rsidR="008606DF" w:rsidRPr="007233CA" w:rsidRDefault="008606DF" w:rsidP="00603157">
            <w:pPr>
              <w:spacing w:after="0"/>
              <w:jc w:val="left"/>
              <w:rPr>
                <w:noProof/>
                <w:color w:val="000000"/>
                <w:sz w:val="20"/>
                <w:lang w:val="en-US" w:eastAsia="it-IT"/>
              </w:rPr>
            </w:pPr>
            <w:r w:rsidRPr="007233CA">
              <w:rPr>
                <w:noProof/>
                <w:color w:val="000000"/>
                <w:sz w:val="20"/>
                <w:lang w:val="en-US" w:eastAsia="it-IT"/>
              </w:rPr>
              <w:t xml:space="preserve">CINEA - Annual Activity Report 2023 </w:t>
            </w:r>
          </w:p>
        </w:tc>
      </w:tr>
      <w:tr w:rsidR="008231A1" w:rsidRPr="007233CA" w14:paraId="127BD52A" w14:textId="77777777" w:rsidTr="00603157">
        <w:trPr>
          <w:trHeight w:val="290"/>
        </w:trPr>
        <w:tc>
          <w:tcPr>
            <w:tcW w:w="1696" w:type="dxa"/>
            <w:noWrap/>
            <w:hideMark/>
          </w:tcPr>
          <w:p w14:paraId="09CFAD5D" w14:textId="77777777" w:rsidR="008606DF" w:rsidRPr="007233CA" w:rsidRDefault="008606DF" w:rsidP="00603157">
            <w:pPr>
              <w:spacing w:after="0"/>
              <w:jc w:val="left"/>
              <w:rPr>
                <w:noProof/>
                <w:color w:val="000000"/>
                <w:sz w:val="20"/>
                <w:lang w:val="it-IT" w:eastAsia="it-IT"/>
              </w:rPr>
            </w:pPr>
            <w:r w:rsidRPr="007233CA">
              <w:rPr>
                <w:noProof/>
                <w:color w:val="000000"/>
                <w:sz w:val="20"/>
                <w:lang w:val="it-IT" w:eastAsia="it-IT"/>
              </w:rPr>
              <w:t>Innovation Fund</w:t>
            </w:r>
          </w:p>
        </w:tc>
        <w:tc>
          <w:tcPr>
            <w:tcW w:w="851" w:type="dxa"/>
            <w:noWrap/>
            <w:hideMark/>
          </w:tcPr>
          <w:p w14:paraId="7F3A6C5F"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21-27</w:t>
            </w:r>
          </w:p>
        </w:tc>
        <w:tc>
          <w:tcPr>
            <w:tcW w:w="1134" w:type="dxa"/>
            <w:noWrap/>
            <w:hideMark/>
          </w:tcPr>
          <w:p w14:paraId="7F5C836D"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2023</w:t>
            </w:r>
          </w:p>
        </w:tc>
        <w:tc>
          <w:tcPr>
            <w:tcW w:w="1417" w:type="dxa"/>
            <w:noWrap/>
            <w:hideMark/>
          </w:tcPr>
          <w:p w14:paraId="1B2AE3D0" w14:textId="77777777" w:rsidR="008606DF" w:rsidRPr="007233CA" w:rsidRDefault="008606DF" w:rsidP="00603157">
            <w:pPr>
              <w:spacing w:after="0"/>
              <w:jc w:val="center"/>
              <w:rPr>
                <w:noProof/>
                <w:color w:val="00B050"/>
                <w:sz w:val="20"/>
                <w:lang w:val="it-IT" w:eastAsia="it-IT"/>
              </w:rPr>
            </w:pPr>
            <w:r w:rsidRPr="007233CA">
              <w:rPr>
                <w:noProof/>
                <w:color w:val="00B050"/>
                <w:sz w:val="20"/>
                <w:lang w:val="it-IT" w:eastAsia="it-IT"/>
              </w:rPr>
              <w:t>113</w:t>
            </w:r>
          </w:p>
        </w:tc>
        <w:tc>
          <w:tcPr>
            <w:tcW w:w="1276" w:type="dxa"/>
          </w:tcPr>
          <w:p w14:paraId="577255BD"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183</w:t>
            </w:r>
          </w:p>
        </w:tc>
        <w:tc>
          <w:tcPr>
            <w:tcW w:w="3691" w:type="dxa"/>
            <w:noWrap/>
            <w:hideMark/>
          </w:tcPr>
          <w:p w14:paraId="58500FD2" w14:textId="77777777" w:rsidR="008606DF" w:rsidRPr="007233CA" w:rsidRDefault="008606DF" w:rsidP="00603157">
            <w:pPr>
              <w:spacing w:after="0"/>
              <w:jc w:val="left"/>
              <w:rPr>
                <w:noProof/>
                <w:color w:val="000000"/>
                <w:sz w:val="20"/>
                <w:lang w:val="en-US" w:eastAsia="it-IT"/>
              </w:rPr>
            </w:pPr>
            <w:r w:rsidRPr="007233CA">
              <w:rPr>
                <w:noProof/>
                <w:color w:val="000000"/>
                <w:sz w:val="20"/>
                <w:lang w:val="en-US" w:eastAsia="it-IT"/>
              </w:rPr>
              <w:t xml:space="preserve">CINEA - Annual Activity Report 2023 </w:t>
            </w:r>
          </w:p>
        </w:tc>
      </w:tr>
      <w:tr w:rsidR="008231A1" w:rsidRPr="007233CA" w14:paraId="288715A9" w14:textId="77777777" w:rsidTr="00603157">
        <w:trPr>
          <w:trHeight w:val="290"/>
        </w:trPr>
        <w:tc>
          <w:tcPr>
            <w:tcW w:w="1696" w:type="dxa"/>
            <w:noWrap/>
            <w:hideMark/>
          </w:tcPr>
          <w:p w14:paraId="33AD78FC" w14:textId="77777777" w:rsidR="008606DF" w:rsidRPr="007233CA" w:rsidRDefault="008606DF" w:rsidP="00603157">
            <w:pPr>
              <w:spacing w:after="0"/>
              <w:jc w:val="left"/>
              <w:rPr>
                <w:noProof/>
                <w:color w:val="000000"/>
                <w:sz w:val="20"/>
                <w:lang w:val="it-IT" w:eastAsia="it-IT"/>
              </w:rPr>
            </w:pPr>
            <w:r w:rsidRPr="007233CA">
              <w:rPr>
                <w:noProof/>
                <w:color w:val="000000"/>
                <w:sz w:val="20"/>
                <w:lang w:val="it-IT" w:eastAsia="it-IT"/>
              </w:rPr>
              <w:t>LIFE</w:t>
            </w:r>
          </w:p>
        </w:tc>
        <w:tc>
          <w:tcPr>
            <w:tcW w:w="851" w:type="dxa"/>
            <w:noWrap/>
            <w:hideMark/>
          </w:tcPr>
          <w:p w14:paraId="21073563"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21-27</w:t>
            </w:r>
          </w:p>
        </w:tc>
        <w:tc>
          <w:tcPr>
            <w:tcW w:w="1134" w:type="dxa"/>
            <w:noWrap/>
            <w:hideMark/>
          </w:tcPr>
          <w:p w14:paraId="2C97E8A3"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2021</w:t>
            </w:r>
          </w:p>
        </w:tc>
        <w:tc>
          <w:tcPr>
            <w:tcW w:w="1417" w:type="dxa"/>
            <w:noWrap/>
            <w:hideMark/>
          </w:tcPr>
          <w:p w14:paraId="5AC48E9A" w14:textId="77777777" w:rsidR="008606DF" w:rsidRPr="007233CA" w:rsidRDefault="008606DF" w:rsidP="00603157">
            <w:pPr>
              <w:spacing w:after="0"/>
              <w:jc w:val="center"/>
              <w:rPr>
                <w:noProof/>
                <w:color w:val="00B050"/>
                <w:sz w:val="20"/>
                <w:lang w:val="it-IT" w:eastAsia="it-IT"/>
              </w:rPr>
            </w:pPr>
            <w:r w:rsidRPr="007233CA">
              <w:rPr>
                <w:noProof/>
                <w:color w:val="00B050"/>
                <w:sz w:val="20"/>
                <w:lang w:val="it-IT" w:eastAsia="it-IT"/>
              </w:rPr>
              <w:t>94</w:t>
            </w:r>
          </w:p>
        </w:tc>
        <w:tc>
          <w:tcPr>
            <w:tcW w:w="1276" w:type="dxa"/>
          </w:tcPr>
          <w:p w14:paraId="419F9E89"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183</w:t>
            </w:r>
          </w:p>
        </w:tc>
        <w:tc>
          <w:tcPr>
            <w:tcW w:w="3691" w:type="dxa"/>
            <w:noWrap/>
            <w:hideMark/>
          </w:tcPr>
          <w:p w14:paraId="2391B986" w14:textId="77777777" w:rsidR="008606DF" w:rsidRPr="007233CA" w:rsidRDefault="008606DF" w:rsidP="00603157">
            <w:pPr>
              <w:spacing w:after="0"/>
              <w:jc w:val="left"/>
              <w:rPr>
                <w:noProof/>
                <w:color w:val="000000"/>
                <w:sz w:val="20"/>
                <w:lang w:val="en-US" w:eastAsia="it-IT"/>
              </w:rPr>
            </w:pPr>
            <w:r w:rsidRPr="007233CA">
              <w:rPr>
                <w:noProof/>
                <w:color w:val="000000"/>
                <w:sz w:val="20"/>
                <w:lang w:val="en-US" w:eastAsia="it-IT"/>
              </w:rPr>
              <w:t xml:space="preserve">CINEA - Annual Activity Report 2023 </w:t>
            </w:r>
          </w:p>
        </w:tc>
      </w:tr>
      <w:tr w:rsidR="008231A1" w:rsidRPr="007233CA" w14:paraId="322B0B6A" w14:textId="77777777" w:rsidTr="00603157">
        <w:trPr>
          <w:trHeight w:val="290"/>
        </w:trPr>
        <w:tc>
          <w:tcPr>
            <w:tcW w:w="1696" w:type="dxa"/>
            <w:noWrap/>
            <w:hideMark/>
          </w:tcPr>
          <w:p w14:paraId="6156AEE9" w14:textId="77777777" w:rsidR="008606DF" w:rsidRPr="007233CA" w:rsidRDefault="008606DF" w:rsidP="00603157">
            <w:pPr>
              <w:spacing w:after="0"/>
              <w:jc w:val="left"/>
              <w:rPr>
                <w:noProof/>
                <w:color w:val="000000"/>
                <w:sz w:val="20"/>
                <w:lang w:val="it-IT" w:eastAsia="it-IT"/>
              </w:rPr>
            </w:pPr>
            <w:r w:rsidRPr="007233CA">
              <w:rPr>
                <w:noProof/>
                <w:color w:val="000000"/>
                <w:sz w:val="20"/>
                <w:lang w:val="it-IT" w:eastAsia="it-IT"/>
              </w:rPr>
              <w:t>LIFE</w:t>
            </w:r>
          </w:p>
        </w:tc>
        <w:tc>
          <w:tcPr>
            <w:tcW w:w="851" w:type="dxa"/>
            <w:noWrap/>
            <w:hideMark/>
          </w:tcPr>
          <w:p w14:paraId="55811B87"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21-27</w:t>
            </w:r>
          </w:p>
        </w:tc>
        <w:tc>
          <w:tcPr>
            <w:tcW w:w="1134" w:type="dxa"/>
            <w:noWrap/>
            <w:hideMark/>
          </w:tcPr>
          <w:p w14:paraId="5509DFAF"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2022</w:t>
            </w:r>
          </w:p>
        </w:tc>
        <w:tc>
          <w:tcPr>
            <w:tcW w:w="1417" w:type="dxa"/>
            <w:noWrap/>
            <w:hideMark/>
          </w:tcPr>
          <w:p w14:paraId="76D72E03" w14:textId="77777777" w:rsidR="008606DF" w:rsidRPr="007233CA" w:rsidRDefault="008606DF" w:rsidP="00603157">
            <w:pPr>
              <w:spacing w:after="0"/>
              <w:jc w:val="center"/>
              <w:rPr>
                <w:noProof/>
                <w:color w:val="00B050"/>
                <w:sz w:val="20"/>
                <w:lang w:val="it-IT" w:eastAsia="it-IT"/>
              </w:rPr>
            </w:pPr>
            <w:r w:rsidRPr="007233CA">
              <w:rPr>
                <w:noProof/>
                <w:color w:val="00B050"/>
                <w:sz w:val="20"/>
                <w:lang w:val="it-IT" w:eastAsia="it-IT"/>
              </w:rPr>
              <w:t>146</w:t>
            </w:r>
          </w:p>
        </w:tc>
        <w:tc>
          <w:tcPr>
            <w:tcW w:w="1276" w:type="dxa"/>
          </w:tcPr>
          <w:p w14:paraId="380D2971"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183</w:t>
            </w:r>
          </w:p>
        </w:tc>
        <w:tc>
          <w:tcPr>
            <w:tcW w:w="3691" w:type="dxa"/>
            <w:noWrap/>
            <w:hideMark/>
          </w:tcPr>
          <w:p w14:paraId="6BFBB3BB" w14:textId="77777777" w:rsidR="008606DF" w:rsidRPr="007233CA" w:rsidRDefault="008606DF" w:rsidP="00603157">
            <w:pPr>
              <w:spacing w:after="0"/>
              <w:jc w:val="left"/>
              <w:rPr>
                <w:noProof/>
                <w:color w:val="000000"/>
                <w:sz w:val="20"/>
                <w:lang w:val="en-US" w:eastAsia="it-IT"/>
              </w:rPr>
            </w:pPr>
            <w:r w:rsidRPr="007233CA">
              <w:rPr>
                <w:noProof/>
                <w:color w:val="000000"/>
                <w:sz w:val="20"/>
                <w:lang w:val="en-US" w:eastAsia="it-IT"/>
              </w:rPr>
              <w:t xml:space="preserve">CINEA - Annual Activity Report 2023 </w:t>
            </w:r>
          </w:p>
        </w:tc>
      </w:tr>
      <w:tr w:rsidR="008231A1" w:rsidRPr="007233CA" w14:paraId="2E9D850C" w14:textId="77777777" w:rsidTr="00603157">
        <w:trPr>
          <w:trHeight w:val="290"/>
        </w:trPr>
        <w:tc>
          <w:tcPr>
            <w:tcW w:w="1696" w:type="dxa"/>
            <w:noWrap/>
            <w:hideMark/>
          </w:tcPr>
          <w:p w14:paraId="3861AC5D" w14:textId="77777777" w:rsidR="008606DF" w:rsidRPr="007233CA" w:rsidRDefault="008606DF" w:rsidP="00603157">
            <w:pPr>
              <w:spacing w:after="0"/>
              <w:jc w:val="left"/>
              <w:rPr>
                <w:noProof/>
                <w:color w:val="000000"/>
                <w:sz w:val="20"/>
                <w:lang w:val="it-IT" w:eastAsia="it-IT"/>
              </w:rPr>
            </w:pPr>
            <w:r w:rsidRPr="007233CA">
              <w:rPr>
                <w:noProof/>
                <w:color w:val="000000"/>
                <w:sz w:val="20"/>
                <w:lang w:val="it-IT" w:eastAsia="it-IT"/>
              </w:rPr>
              <w:t>LIFE</w:t>
            </w:r>
          </w:p>
        </w:tc>
        <w:tc>
          <w:tcPr>
            <w:tcW w:w="851" w:type="dxa"/>
            <w:noWrap/>
            <w:hideMark/>
          </w:tcPr>
          <w:p w14:paraId="161E30DF"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21-27</w:t>
            </w:r>
          </w:p>
        </w:tc>
        <w:tc>
          <w:tcPr>
            <w:tcW w:w="1134" w:type="dxa"/>
            <w:noWrap/>
            <w:hideMark/>
          </w:tcPr>
          <w:p w14:paraId="1F45A09F"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2023</w:t>
            </w:r>
          </w:p>
        </w:tc>
        <w:tc>
          <w:tcPr>
            <w:tcW w:w="1417" w:type="dxa"/>
            <w:noWrap/>
            <w:hideMark/>
          </w:tcPr>
          <w:p w14:paraId="4D2FC3C9" w14:textId="77777777" w:rsidR="008606DF" w:rsidRPr="007233CA" w:rsidRDefault="008606DF" w:rsidP="00603157">
            <w:pPr>
              <w:spacing w:after="0"/>
              <w:jc w:val="center"/>
              <w:rPr>
                <w:noProof/>
                <w:color w:val="00B050"/>
                <w:sz w:val="20"/>
                <w:lang w:val="it-IT" w:eastAsia="it-IT"/>
              </w:rPr>
            </w:pPr>
            <w:r w:rsidRPr="007233CA">
              <w:rPr>
                <w:noProof/>
                <w:color w:val="00B050"/>
                <w:sz w:val="20"/>
                <w:lang w:val="it-IT" w:eastAsia="it-IT"/>
              </w:rPr>
              <w:t>144</w:t>
            </w:r>
          </w:p>
        </w:tc>
        <w:tc>
          <w:tcPr>
            <w:tcW w:w="1276" w:type="dxa"/>
          </w:tcPr>
          <w:p w14:paraId="3C76CF8F"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183</w:t>
            </w:r>
          </w:p>
        </w:tc>
        <w:tc>
          <w:tcPr>
            <w:tcW w:w="3691" w:type="dxa"/>
            <w:noWrap/>
            <w:hideMark/>
          </w:tcPr>
          <w:p w14:paraId="35057D1D" w14:textId="77777777" w:rsidR="008606DF" w:rsidRPr="007233CA" w:rsidRDefault="008606DF" w:rsidP="00603157">
            <w:pPr>
              <w:spacing w:after="0"/>
              <w:jc w:val="left"/>
              <w:rPr>
                <w:noProof/>
                <w:color w:val="000000"/>
                <w:sz w:val="20"/>
                <w:lang w:val="en-US" w:eastAsia="it-IT"/>
              </w:rPr>
            </w:pPr>
            <w:r w:rsidRPr="007233CA">
              <w:rPr>
                <w:noProof/>
                <w:color w:val="000000"/>
                <w:sz w:val="20"/>
                <w:lang w:val="en-US" w:eastAsia="it-IT"/>
              </w:rPr>
              <w:t xml:space="preserve">CINEA - Annual Activity Report 2023 </w:t>
            </w:r>
          </w:p>
        </w:tc>
      </w:tr>
      <w:tr w:rsidR="008231A1" w:rsidRPr="007233CA" w14:paraId="0634F871" w14:textId="77777777" w:rsidTr="00603157">
        <w:trPr>
          <w:trHeight w:val="290"/>
        </w:trPr>
        <w:tc>
          <w:tcPr>
            <w:tcW w:w="1696" w:type="dxa"/>
            <w:noWrap/>
            <w:hideMark/>
          </w:tcPr>
          <w:p w14:paraId="6C05EA15" w14:textId="77777777" w:rsidR="008606DF" w:rsidRPr="007233CA" w:rsidRDefault="008606DF" w:rsidP="00603157">
            <w:pPr>
              <w:spacing w:after="0"/>
              <w:jc w:val="left"/>
              <w:rPr>
                <w:noProof/>
                <w:color w:val="000000"/>
                <w:sz w:val="20"/>
                <w:lang w:val="it-IT" w:eastAsia="it-IT"/>
              </w:rPr>
            </w:pPr>
            <w:r w:rsidRPr="007233CA">
              <w:rPr>
                <w:noProof/>
                <w:color w:val="000000"/>
                <w:sz w:val="20"/>
                <w:lang w:val="it-IT" w:eastAsia="it-IT"/>
              </w:rPr>
              <w:t>CEF</w:t>
            </w:r>
          </w:p>
        </w:tc>
        <w:tc>
          <w:tcPr>
            <w:tcW w:w="851" w:type="dxa"/>
            <w:noWrap/>
            <w:hideMark/>
          </w:tcPr>
          <w:p w14:paraId="39F227D5"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14-20</w:t>
            </w:r>
          </w:p>
        </w:tc>
        <w:tc>
          <w:tcPr>
            <w:tcW w:w="1134" w:type="dxa"/>
            <w:noWrap/>
            <w:hideMark/>
          </w:tcPr>
          <w:p w14:paraId="19EEE821"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2016</w:t>
            </w:r>
          </w:p>
        </w:tc>
        <w:tc>
          <w:tcPr>
            <w:tcW w:w="1417" w:type="dxa"/>
            <w:noWrap/>
            <w:hideMark/>
          </w:tcPr>
          <w:p w14:paraId="7D4BF3FB" w14:textId="77777777" w:rsidR="008606DF" w:rsidRPr="007233CA" w:rsidRDefault="008606DF" w:rsidP="00603157">
            <w:pPr>
              <w:spacing w:after="0"/>
              <w:jc w:val="center"/>
              <w:rPr>
                <w:noProof/>
                <w:color w:val="00B050"/>
                <w:sz w:val="20"/>
                <w:lang w:val="it-IT" w:eastAsia="it-IT"/>
              </w:rPr>
            </w:pPr>
            <w:r w:rsidRPr="007233CA">
              <w:rPr>
                <w:noProof/>
                <w:color w:val="00B050"/>
                <w:sz w:val="20"/>
                <w:lang w:val="it-IT" w:eastAsia="it-IT"/>
              </w:rPr>
              <w:t>141</w:t>
            </w:r>
          </w:p>
        </w:tc>
        <w:tc>
          <w:tcPr>
            <w:tcW w:w="1276" w:type="dxa"/>
          </w:tcPr>
          <w:p w14:paraId="65DBD4A6"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183</w:t>
            </w:r>
          </w:p>
        </w:tc>
        <w:tc>
          <w:tcPr>
            <w:tcW w:w="3691" w:type="dxa"/>
            <w:noWrap/>
            <w:hideMark/>
          </w:tcPr>
          <w:p w14:paraId="3D79D6DF" w14:textId="77777777" w:rsidR="008606DF" w:rsidRPr="007233CA" w:rsidRDefault="008606DF" w:rsidP="00603157">
            <w:pPr>
              <w:spacing w:after="0"/>
              <w:jc w:val="left"/>
              <w:rPr>
                <w:noProof/>
                <w:color w:val="000000"/>
                <w:sz w:val="20"/>
                <w:lang w:val="en-US" w:eastAsia="it-IT"/>
              </w:rPr>
            </w:pPr>
            <w:r w:rsidRPr="007233CA">
              <w:rPr>
                <w:noProof/>
                <w:color w:val="000000"/>
                <w:sz w:val="20"/>
                <w:lang w:val="en-US" w:eastAsia="it-IT"/>
              </w:rPr>
              <w:t>Mid-term evaluation of CEF 2014-20 (2018)</w:t>
            </w:r>
          </w:p>
        </w:tc>
      </w:tr>
      <w:tr w:rsidR="008231A1" w:rsidRPr="007233CA" w14:paraId="4DA7CAFA" w14:textId="77777777" w:rsidTr="00603157">
        <w:trPr>
          <w:trHeight w:val="290"/>
        </w:trPr>
        <w:tc>
          <w:tcPr>
            <w:tcW w:w="1696" w:type="dxa"/>
            <w:noWrap/>
            <w:hideMark/>
          </w:tcPr>
          <w:p w14:paraId="392BA8D8" w14:textId="77777777" w:rsidR="008606DF" w:rsidRPr="007233CA" w:rsidRDefault="008606DF" w:rsidP="00603157">
            <w:pPr>
              <w:spacing w:after="0"/>
              <w:jc w:val="left"/>
              <w:rPr>
                <w:noProof/>
                <w:color w:val="000000"/>
                <w:sz w:val="20"/>
                <w:lang w:val="it-IT" w:eastAsia="it-IT"/>
              </w:rPr>
            </w:pPr>
            <w:r w:rsidRPr="007233CA">
              <w:rPr>
                <w:noProof/>
                <w:color w:val="000000"/>
                <w:sz w:val="20"/>
                <w:lang w:eastAsia="it-IT"/>
              </w:rPr>
              <w:t>CEF – Transport +Energy</w:t>
            </w:r>
          </w:p>
        </w:tc>
        <w:tc>
          <w:tcPr>
            <w:tcW w:w="851" w:type="dxa"/>
            <w:noWrap/>
            <w:hideMark/>
          </w:tcPr>
          <w:p w14:paraId="5AF93D3C"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21-27</w:t>
            </w:r>
          </w:p>
        </w:tc>
        <w:tc>
          <w:tcPr>
            <w:tcW w:w="1134" w:type="dxa"/>
            <w:noWrap/>
            <w:hideMark/>
          </w:tcPr>
          <w:p w14:paraId="26AF0DAD"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2021</w:t>
            </w:r>
          </w:p>
        </w:tc>
        <w:tc>
          <w:tcPr>
            <w:tcW w:w="1417" w:type="dxa"/>
            <w:noWrap/>
            <w:hideMark/>
          </w:tcPr>
          <w:p w14:paraId="24AC6863" w14:textId="77777777" w:rsidR="008606DF" w:rsidRPr="007233CA" w:rsidRDefault="008606DF" w:rsidP="00603157">
            <w:pPr>
              <w:spacing w:after="0"/>
              <w:jc w:val="center"/>
              <w:rPr>
                <w:noProof/>
                <w:color w:val="00B050"/>
                <w:sz w:val="20"/>
                <w:lang w:val="it-IT" w:eastAsia="it-IT"/>
              </w:rPr>
            </w:pPr>
            <w:r w:rsidRPr="007233CA">
              <w:rPr>
                <w:noProof/>
                <w:color w:val="00B050"/>
                <w:sz w:val="20"/>
                <w:lang w:val="it-IT" w:eastAsia="it-IT"/>
              </w:rPr>
              <w:t>116</w:t>
            </w:r>
          </w:p>
        </w:tc>
        <w:tc>
          <w:tcPr>
            <w:tcW w:w="1276" w:type="dxa"/>
          </w:tcPr>
          <w:p w14:paraId="052D5CD5"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183</w:t>
            </w:r>
          </w:p>
        </w:tc>
        <w:tc>
          <w:tcPr>
            <w:tcW w:w="3691" w:type="dxa"/>
            <w:noWrap/>
            <w:hideMark/>
          </w:tcPr>
          <w:p w14:paraId="384F1A11" w14:textId="77777777" w:rsidR="008606DF" w:rsidRPr="007233CA" w:rsidRDefault="008606DF" w:rsidP="00603157">
            <w:pPr>
              <w:spacing w:after="0"/>
              <w:jc w:val="left"/>
              <w:rPr>
                <w:noProof/>
                <w:color w:val="000000"/>
                <w:sz w:val="20"/>
                <w:lang w:val="en-US" w:eastAsia="it-IT"/>
              </w:rPr>
            </w:pPr>
            <w:r w:rsidRPr="007233CA">
              <w:rPr>
                <w:noProof/>
                <w:color w:val="000000"/>
                <w:sz w:val="20"/>
                <w:lang w:val="en-US" w:eastAsia="it-IT"/>
              </w:rPr>
              <w:t xml:space="preserve">CINEA - Annual Activity Report 2023 </w:t>
            </w:r>
          </w:p>
        </w:tc>
      </w:tr>
      <w:tr w:rsidR="008231A1" w:rsidRPr="007233CA" w14:paraId="13FFE2E1" w14:textId="77777777" w:rsidTr="00603157">
        <w:trPr>
          <w:trHeight w:val="290"/>
        </w:trPr>
        <w:tc>
          <w:tcPr>
            <w:tcW w:w="1696" w:type="dxa"/>
            <w:noWrap/>
            <w:hideMark/>
          </w:tcPr>
          <w:p w14:paraId="3922B9A1" w14:textId="77777777" w:rsidR="008606DF" w:rsidRPr="007233CA" w:rsidRDefault="008606DF" w:rsidP="00603157">
            <w:pPr>
              <w:spacing w:after="0"/>
              <w:jc w:val="left"/>
              <w:rPr>
                <w:noProof/>
                <w:color w:val="000000"/>
                <w:sz w:val="20"/>
                <w:lang w:val="it-IT" w:eastAsia="it-IT"/>
              </w:rPr>
            </w:pPr>
            <w:r w:rsidRPr="007233CA">
              <w:rPr>
                <w:noProof/>
                <w:color w:val="000000"/>
                <w:sz w:val="20"/>
                <w:lang w:eastAsia="it-IT"/>
              </w:rPr>
              <w:t>CEF – Transport +Energy</w:t>
            </w:r>
          </w:p>
        </w:tc>
        <w:tc>
          <w:tcPr>
            <w:tcW w:w="851" w:type="dxa"/>
            <w:noWrap/>
            <w:hideMark/>
          </w:tcPr>
          <w:p w14:paraId="0438230B"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21-27</w:t>
            </w:r>
          </w:p>
        </w:tc>
        <w:tc>
          <w:tcPr>
            <w:tcW w:w="1134" w:type="dxa"/>
            <w:noWrap/>
            <w:hideMark/>
          </w:tcPr>
          <w:p w14:paraId="78A51065"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2022</w:t>
            </w:r>
          </w:p>
        </w:tc>
        <w:tc>
          <w:tcPr>
            <w:tcW w:w="1417" w:type="dxa"/>
            <w:noWrap/>
            <w:hideMark/>
          </w:tcPr>
          <w:p w14:paraId="6F72E3C1" w14:textId="77777777" w:rsidR="008606DF" w:rsidRPr="007233CA" w:rsidRDefault="008606DF" w:rsidP="00603157">
            <w:pPr>
              <w:spacing w:after="0"/>
              <w:jc w:val="center"/>
              <w:rPr>
                <w:noProof/>
                <w:color w:val="00B050"/>
                <w:sz w:val="20"/>
                <w:lang w:val="it-IT" w:eastAsia="it-IT"/>
              </w:rPr>
            </w:pPr>
            <w:r w:rsidRPr="007233CA">
              <w:rPr>
                <w:noProof/>
                <w:color w:val="00B050"/>
                <w:sz w:val="20"/>
                <w:lang w:val="it-IT" w:eastAsia="it-IT"/>
              </w:rPr>
              <w:t>134</w:t>
            </w:r>
          </w:p>
        </w:tc>
        <w:tc>
          <w:tcPr>
            <w:tcW w:w="1276" w:type="dxa"/>
          </w:tcPr>
          <w:p w14:paraId="25986710"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183</w:t>
            </w:r>
          </w:p>
        </w:tc>
        <w:tc>
          <w:tcPr>
            <w:tcW w:w="3691" w:type="dxa"/>
            <w:noWrap/>
            <w:hideMark/>
          </w:tcPr>
          <w:p w14:paraId="62B6A5B4" w14:textId="77777777" w:rsidR="008606DF" w:rsidRPr="007233CA" w:rsidRDefault="008606DF" w:rsidP="00603157">
            <w:pPr>
              <w:spacing w:after="0"/>
              <w:jc w:val="left"/>
              <w:rPr>
                <w:noProof/>
                <w:color w:val="000000"/>
                <w:sz w:val="20"/>
                <w:lang w:val="en-US" w:eastAsia="it-IT"/>
              </w:rPr>
            </w:pPr>
            <w:r w:rsidRPr="007233CA">
              <w:rPr>
                <w:noProof/>
                <w:color w:val="000000"/>
                <w:sz w:val="20"/>
                <w:lang w:val="en-US" w:eastAsia="it-IT"/>
              </w:rPr>
              <w:t xml:space="preserve">CINEA - Annual Activity Report 2023 </w:t>
            </w:r>
          </w:p>
        </w:tc>
      </w:tr>
      <w:tr w:rsidR="008231A1" w:rsidRPr="007233CA" w14:paraId="6804C0CB" w14:textId="77777777" w:rsidTr="00603157">
        <w:trPr>
          <w:trHeight w:val="290"/>
        </w:trPr>
        <w:tc>
          <w:tcPr>
            <w:tcW w:w="1696" w:type="dxa"/>
            <w:noWrap/>
            <w:hideMark/>
          </w:tcPr>
          <w:p w14:paraId="5AAF8836" w14:textId="77777777" w:rsidR="008606DF" w:rsidRPr="007233CA" w:rsidRDefault="008606DF" w:rsidP="00603157">
            <w:pPr>
              <w:spacing w:after="0"/>
              <w:jc w:val="left"/>
              <w:rPr>
                <w:noProof/>
                <w:color w:val="000000"/>
                <w:sz w:val="20"/>
                <w:lang w:val="it-IT" w:eastAsia="it-IT"/>
              </w:rPr>
            </w:pPr>
            <w:r w:rsidRPr="007233CA">
              <w:rPr>
                <w:noProof/>
                <w:color w:val="000000"/>
                <w:sz w:val="20"/>
                <w:lang w:eastAsia="it-IT"/>
              </w:rPr>
              <w:t>CEF – Transport +Energy</w:t>
            </w:r>
          </w:p>
        </w:tc>
        <w:tc>
          <w:tcPr>
            <w:tcW w:w="851" w:type="dxa"/>
            <w:noWrap/>
            <w:hideMark/>
          </w:tcPr>
          <w:p w14:paraId="1B095B7B"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21-27</w:t>
            </w:r>
          </w:p>
        </w:tc>
        <w:tc>
          <w:tcPr>
            <w:tcW w:w="1134" w:type="dxa"/>
            <w:noWrap/>
            <w:hideMark/>
          </w:tcPr>
          <w:p w14:paraId="51074BAF"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2023</w:t>
            </w:r>
          </w:p>
        </w:tc>
        <w:tc>
          <w:tcPr>
            <w:tcW w:w="1417" w:type="dxa"/>
            <w:noWrap/>
            <w:hideMark/>
          </w:tcPr>
          <w:p w14:paraId="1FEF55CA" w14:textId="77777777" w:rsidR="008606DF" w:rsidRPr="007233CA" w:rsidRDefault="008606DF" w:rsidP="00603157">
            <w:pPr>
              <w:spacing w:after="0"/>
              <w:jc w:val="center"/>
              <w:rPr>
                <w:noProof/>
                <w:color w:val="00B050"/>
                <w:sz w:val="20"/>
                <w:lang w:val="it-IT" w:eastAsia="it-IT"/>
              </w:rPr>
            </w:pPr>
            <w:r w:rsidRPr="007233CA">
              <w:rPr>
                <w:noProof/>
                <w:color w:val="00B050"/>
                <w:sz w:val="20"/>
                <w:lang w:val="it-IT" w:eastAsia="it-IT"/>
              </w:rPr>
              <w:t>150</w:t>
            </w:r>
          </w:p>
        </w:tc>
        <w:tc>
          <w:tcPr>
            <w:tcW w:w="1276" w:type="dxa"/>
          </w:tcPr>
          <w:p w14:paraId="3BBAD85C"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183</w:t>
            </w:r>
          </w:p>
        </w:tc>
        <w:tc>
          <w:tcPr>
            <w:tcW w:w="3691" w:type="dxa"/>
            <w:noWrap/>
            <w:hideMark/>
          </w:tcPr>
          <w:p w14:paraId="0A0B212F" w14:textId="77777777" w:rsidR="008606DF" w:rsidRPr="007233CA" w:rsidRDefault="008606DF" w:rsidP="00603157">
            <w:pPr>
              <w:spacing w:after="0"/>
              <w:jc w:val="left"/>
              <w:rPr>
                <w:noProof/>
                <w:color w:val="000000"/>
                <w:sz w:val="20"/>
                <w:lang w:val="en-US" w:eastAsia="it-IT"/>
              </w:rPr>
            </w:pPr>
            <w:r w:rsidRPr="007233CA">
              <w:rPr>
                <w:noProof/>
                <w:color w:val="000000"/>
                <w:sz w:val="20"/>
                <w:lang w:val="en-US" w:eastAsia="it-IT"/>
              </w:rPr>
              <w:t xml:space="preserve">CINEA - Annual Activity Report 2023 </w:t>
            </w:r>
          </w:p>
        </w:tc>
      </w:tr>
      <w:tr w:rsidR="008231A1" w:rsidRPr="007233CA" w14:paraId="39FD5B97" w14:textId="77777777" w:rsidTr="00603157">
        <w:trPr>
          <w:trHeight w:val="290"/>
        </w:trPr>
        <w:tc>
          <w:tcPr>
            <w:tcW w:w="1696" w:type="dxa"/>
            <w:noWrap/>
          </w:tcPr>
          <w:p w14:paraId="196518D8" w14:textId="77777777" w:rsidR="008606DF" w:rsidRPr="007233CA" w:rsidRDefault="008606DF" w:rsidP="00603157">
            <w:pPr>
              <w:spacing w:after="0"/>
              <w:jc w:val="left"/>
              <w:rPr>
                <w:noProof/>
                <w:color w:val="000000"/>
                <w:sz w:val="20"/>
                <w:lang w:val="en-US" w:eastAsia="it-IT"/>
              </w:rPr>
            </w:pPr>
            <w:r w:rsidRPr="007233CA">
              <w:rPr>
                <w:noProof/>
                <w:color w:val="000000"/>
                <w:sz w:val="20"/>
                <w:lang w:eastAsia="it-IT"/>
              </w:rPr>
              <w:t>CEF – Digital</w:t>
            </w:r>
          </w:p>
        </w:tc>
        <w:tc>
          <w:tcPr>
            <w:tcW w:w="851" w:type="dxa"/>
            <w:noWrap/>
          </w:tcPr>
          <w:p w14:paraId="5676DBED"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21-27</w:t>
            </w:r>
          </w:p>
        </w:tc>
        <w:tc>
          <w:tcPr>
            <w:tcW w:w="1134" w:type="dxa"/>
            <w:noWrap/>
          </w:tcPr>
          <w:p w14:paraId="28DFFB8D"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2023</w:t>
            </w:r>
          </w:p>
        </w:tc>
        <w:tc>
          <w:tcPr>
            <w:tcW w:w="1417" w:type="dxa"/>
            <w:noWrap/>
          </w:tcPr>
          <w:p w14:paraId="33C20BA4" w14:textId="77777777" w:rsidR="008606DF" w:rsidRPr="007233CA" w:rsidRDefault="008606DF" w:rsidP="00603157">
            <w:pPr>
              <w:spacing w:after="0"/>
              <w:jc w:val="center"/>
              <w:rPr>
                <w:noProof/>
                <w:color w:val="00B050"/>
                <w:sz w:val="20"/>
                <w:lang w:val="it-IT" w:eastAsia="it-IT"/>
              </w:rPr>
            </w:pPr>
            <w:r w:rsidRPr="007233CA">
              <w:rPr>
                <w:noProof/>
                <w:color w:val="00B050"/>
                <w:sz w:val="20"/>
                <w:lang w:val="it-IT" w:eastAsia="it-IT"/>
              </w:rPr>
              <w:t>110**</w:t>
            </w:r>
          </w:p>
        </w:tc>
        <w:tc>
          <w:tcPr>
            <w:tcW w:w="1276" w:type="dxa"/>
          </w:tcPr>
          <w:p w14:paraId="36456DFE"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183</w:t>
            </w:r>
          </w:p>
        </w:tc>
        <w:tc>
          <w:tcPr>
            <w:tcW w:w="3691" w:type="dxa"/>
            <w:noWrap/>
          </w:tcPr>
          <w:p w14:paraId="209973D4" w14:textId="77777777" w:rsidR="008606DF" w:rsidRPr="007233CA" w:rsidRDefault="008606DF" w:rsidP="00603157">
            <w:pPr>
              <w:spacing w:after="0"/>
              <w:jc w:val="left"/>
              <w:rPr>
                <w:noProof/>
                <w:color w:val="000000"/>
                <w:sz w:val="20"/>
                <w:lang w:val="en-US" w:eastAsia="it-IT"/>
              </w:rPr>
            </w:pPr>
            <w:r w:rsidRPr="007233CA">
              <w:rPr>
                <w:noProof/>
                <w:color w:val="000000"/>
                <w:sz w:val="20"/>
                <w:lang w:eastAsia="it-IT"/>
              </w:rPr>
              <w:t>HaDEA - Annual Activity Report 2023</w:t>
            </w:r>
          </w:p>
        </w:tc>
      </w:tr>
      <w:tr w:rsidR="008231A1" w:rsidRPr="007233CA" w14:paraId="234492E8" w14:textId="77777777" w:rsidTr="00603157">
        <w:trPr>
          <w:trHeight w:val="290"/>
        </w:trPr>
        <w:tc>
          <w:tcPr>
            <w:tcW w:w="1696" w:type="dxa"/>
            <w:noWrap/>
          </w:tcPr>
          <w:p w14:paraId="47AF85F3" w14:textId="77777777" w:rsidR="008606DF" w:rsidRPr="007233CA" w:rsidRDefault="008606DF" w:rsidP="00603157">
            <w:pPr>
              <w:spacing w:after="0"/>
              <w:jc w:val="left"/>
              <w:rPr>
                <w:noProof/>
                <w:color w:val="000000"/>
                <w:sz w:val="20"/>
                <w:lang w:val="it-IT" w:eastAsia="it-IT"/>
              </w:rPr>
            </w:pPr>
            <w:r w:rsidRPr="007233CA">
              <w:rPr>
                <w:noProof/>
                <w:color w:val="000000"/>
                <w:sz w:val="20"/>
                <w:lang w:val="it-IT" w:eastAsia="it-IT"/>
              </w:rPr>
              <w:t>EU4Health</w:t>
            </w:r>
          </w:p>
        </w:tc>
        <w:tc>
          <w:tcPr>
            <w:tcW w:w="851" w:type="dxa"/>
            <w:noWrap/>
          </w:tcPr>
          <w:p w14:paraId="33B289CE"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21-27</w:t>
            </w:r>
          </w:p>
        </w:tc>
        <w:tc>
          <w:tcPr>
            <w:tcW w:w="1134" w:type="dxa"/>
            <w:noWrap/>
          </w:tcPr>
          <w:p w14:paraId="635D6519"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2023</w:t>
            </w:r>
          </w:p>
        </w:tc>
        <w:tc>
          <w:tcPr>
            <w:tcW w:w="1417" w:type="dxa"/>
            <w:noWrap/>
          </w:tcPr>
          <w:p w14:paraId="10FC51F1" w14:textId="77777777" w:rsidR="008606DF" w:rsidRPr="007233CA" w:rsidRDefault="008606DF" w:rsidP="00603157">
            <w:pPr>
              <w:spacing w:after="0"/>
              <w:jc w:val="center"/>
              <w:rPr>
                <w:noProof/>
                <w:color w:val="00B050"/>
                <w:sz w:val="20"/>
                <w:lang w:val="it-IT" w:eastAsia="it-IT"/>
              </w:rPr>
            </w:pPr>
            <w:r w:rsidRPr="007233CA">
              <w:rPr>
                <w:noProof/>
                <w:color w:val="00B050"/>
                <w:sz w:val="20"/>
                <w:lang w:val="it-IT" w:eastAsia="it-IT"/>
              </w:rPr>
              <w:t>110**</w:t>
            </w:r>
          </w:p>
        </w:tc>
        <w:tc>
          <w:tcPr>
            <w:tcW w:w="1276" w:type="dxa"/>
          </w:tcPr>
          <w:p w14:paraId="3AE04692"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183</w:t>
            </w:r>
          </w:p>
        </w:tc>
        <w:tc>
          <w:tcPr>
            <w:tcW w:w="3691" w:type="dxa"/>
            <w:noWrap/>
          </w:tcPr>
          <w:p w14:paraId="49001579" w14:textId="77777777" w:rsidR="008606DF" w:rsidRPr="007233CA" w:rsidRDefault="008606DF" w:rsidP="00603157">
            <w:pPr>
              <w:spacing w:after="0"/>
              <w:jc w:val="left"/>
              <w:rPr>
                <w:noProof/>
                <w:color w:val="000000"/>
                <w:sz w:val="20"/>
                <w:lang w:val="en-US" w:eastAsia="it-IT"/>
              </w:rPr>
            </w:pPr>
            <w:r w:rsidRPr="007233CA">
              <w:rPr>
                <w:noProof/>
                <w:color w:val="000000"/>
                <w:sz w:val="20"/>
                <w:lang w:eastAsia="it-IT"/>
              </w:rPr>
              <w:t>HaDEA - Annual Activity Report 2023</w:t>
            </w:r>
          </w:p>
        </w:tc>
      </w:tr>
      <w:tr w:rsidR="008231A1" w:rsidRPr="007233CA" w14:paraId="48DED45E" w14:textId="77777777" w:rsidTr="00603157">
        <w:trPr>
          <w:trHeight w:val="290"/>
        </w:trPr>
        <w:tc>
          <w:tcPr>
            <w:tcW w:w="1696" w:type="dxa"/>
            <w:noWrap/>
            <w:hideMark/>
          </w:tcPr>
          <w:p w14:paraId="18C4A0DB" w14:textId="77777777" w:rsidR="008606DF" w:rsidRPr="007233CA" w:rsidRDefault="008606DF" w:rsidP="00603157">
            <w:pPr>
              <w:spacing w:after="0"/>
              <w:jc w:val="left"/>
              <w:rPr>
                <w:noProof/>
                <w:color w:val="000000"/>
                <w:sz w:val="20"/>
                <w:lang w:val="it-IT" w:eastAsia="it-IT"/>
              </w:rPr>
            </w:pPr>
            <w:r w:rsidRPr="007233CA">
              <w:rPr>
                <w:noProof/>
                <w:color w:val="000000"/>
                <w:sz w:val="20"/>
                <w:lang w:val="it-IT" w:eastAsia="it-IT"/>
              </w:rPr>
              <w:t xml:space="preserve">SMP – SME Pillar </w:t>
            </w:r>
          </w:p>
        </w:tc>
        <w:tc>
          <w:tcPr>
            <w:tcW w:w="851" w:type="dxa"/>
            <w:noWrap/>
            <w:hideMark/>
          </w:tcPr>
          <w:p w14:paraId="4A5BAB7A"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21-27</w:t>
            </w:r>
          </w:p>
        </w:tc>
        <w:tc>
          <w:tcPr>
            <w:tcW w:w="1134" w:type="dxa"/>
            <w:noWrap/>
            <w:hideMark/>
          </w:tcPr>
          <w:p w14:paraId="39CE50D2"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21-23</w:t>
            </w:r>
          </w:p>
        </w:tc>
        <w:tc>
          <w:tcPr>
            <w:tcW w:w="1417" w:type="dxa"/>
            <w:noWrap/>
            <w:hideMark/>
          </w:tcPr>
          <w:p w14:paraId="3AFF588A" w14:textId="77777777" w:rsidR="008606DF" w:rsidRPr="007233CA" w:rsidRDefault="008606DF" w:rsidP="00603157">
            <w:pPr>
              <w:spacing w:after="0"/>
              <w:jc w:val="center"/>
              <w:rPr>
                <w:noProof/>
                <w:color w:val="000000"/>
                <w:sz w:val="20"/>
                <w:lang w:val="it-IT" w:eastAsia="it-IT"/>
              </w:rPr>
            </w:pPr>
            <w:r w:rsidRPr="007233CA">
              <w:rPr>
                <w:noProof/>
                <w:color w:val="00B050"/>
                <w:sz w:val="20"/>
                <w:lang w:val="it-IT" w:eastAsia="it-IT"/>
              </w:rPr>
              <w:t>86</w:t>
            </w:r>
          </w:p>
        </w:tc>
        <w:tc>
          <w:tcPr>
            <w:tcW w:w="1276" w:type="dxa"/>
          </w:tcPr>
          <w:p w14:paraId="70F46E36"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183</w:t>
            </w:r>
          </w:p>
        </w:tc>
        <w:tc>
          <w:tcPr>
            <w:tcW w:w="3691" w:type="dxa"/>
            <w:noWrap/>
            <w:hideMark/>
          </w:tcPr>
          <w:p w14:paraId="6C3503C7" w14:textId="77777777" w:rsidR="008606DF" w:rsidRPr="007233CA" w:rsidRDefault="008606DF" w:rsidP="00603157">
            <w:pPr>
              <w:spacing w:after="0"/>
              <w:jc w:val="left"/>
              <w:rPr>
                <w:noProof/>
                <w:color w:val="000000"/>
                <w:sz w:val="20"/>
                <w:lang w:val="en-US" w:eastAsia="it-IT"/>
              </w:rPr>
            </w:pPr>
            <w:r w:rsidRPr="007233CA">
              <w:rPr>
                <w:noProof/>
                <w:color w:val="000000"/>
                <w:sz w:val="20"/>
                <w:lang w:val="en-US" w:eastAsia="it-IT"/>
              </w:rPr>
              <w:t>Mid-term evaluation SME pillar of SMP</w:t>
            </w:r>
          </w:p>
        </w:tc>
      </w:tr>
      <w:tr w:rsidR="008231A1" w:rsidRPr="007233CA" w14:paraId="0097C9AB" w14:textId="77777777" w:rsidTr="00603157">
        <w:trPr>
          <w:trHeight w:val="290"/>
        </w:trPr>
        <w:tc>
          <w:tcPr>
            <w:tcW w:w="1696" w:type="dxa"/>
            <w:noWrap/>
            <w:hideMark/>
          </w:tcPr>
          <w:p w14:paraId="2785E35B" w14:textId="77777777" w:rsidR="008606DF" w:rsidRPr="007233CA" w:rsidRDefault="008606DF" w:rsidP="00603157">
            <w:pPr>
              <w:spacing w:after="0"/>
              <w:jc w:val="left"/>
              <w:rPr>
                <w:noProof/>
                <w:color w:val="000000"/>
                <w:sz w:val="20"/>
                <w:lang w:val="it-IT" w:eastAsia="it-IT"/>
              </w:rPr>
            </w:pPr>
            <w:r w:rsidRPr="007233CA">
              <w:rPr>
                <w:noProof/>
                <w:color w:val="000000"/>
                <w:sz w:val="20"/>
                <w:lang w:val="it-IT" w:eastAsia="it-IT"/>
              </w:rPr>
              <w:t>COSME</w:t>
            </w:r>
          </w:p>
        </w:tc>
        <w:tc>
          <w:tcPr>
            <w:tcW w:w="851" w:type="dxa"/>
            <w:noWrap/>
            <w:hideMark/>
          </w:tcPr>
          <w:p w14:paraId="566FDF4B"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14-20</w:t>
            </w:r>
          </w:p>
        </w:tc>
        <w:tc>
          <w:tcPr>
            <w:tcW w:w="1134" w:type="dxa"/>
            <w:noWrap/>
            <w:hideMark/>
          </w:tcPr>
          <w:p w14:paraId="1CD613CB" w14:textId="77777777" w:rsidR="008606DF" w:rsidRPr="007233CA" w:rsidRDefault="008606DF" w:rsidP="00603157">
            <w:pPr>
              <w:spacing w:after="0"/>
              <w:jc w:val="center"/>
              <w:rPr>
                <w:noProof/>
                <w:color w:val="000000"/>
                <w:sz w:val="20"/>
                <w:lang w:val="it-IT" w:eastAsia="it-IT"/>
              </w:rPr>
            </w:pPr>
            <w:r w:rsidRPr="007233CA">
              <w:rPr>
                <w:noProof/>
                <w:color w:val="000000"/>
                <w:sz w:val="20"/>
                <w:lang w:val="it-IT" w:eastAsia="it-IT"/>
              </w:rPr>
              <w:t>14-20</w:t>
            </w:r>
          </w:p>
        </w:tc>
        <w:tc>
          <w:tcPr>
            <w:tcW w:w="1417" w:type="dxa"/>
            <w:noWrap/>
            <w:hideMark/>
          </w:tcPr>
          <w:p w14:paraId="5BC21A87" w14:textId="77777777" w:rsidR="008606DF" w:rsidRPr="007233CA" w:rsidRDefault="008606DF" w:rsidP="00603157">
            <w:pPr>
              <w:spacing w:after="0"/>
              <w:jc w:val="center"/>
              <w:rPr>
                <w:noProof/>
                <w:color w:val="000000"/>
                <w:sz w:val="20"/>
                <w:lang w:val="it-IT" w:eastAsia="it-IT"/>
              </w:rPr>
            </w:pPr>
            <w:r w:rsidRPr="007233CA">
              <w:rPr>
                <w:noProof/>
                <w:color w:val="00B050"/>
                <w:sz w:val="20"/>
                <w:lang w:val="it-IT" w:eastAsia="it-IT"/>
              </w:rPr>
              <w:t>115</w:t>
            </w:r>
          </w:p>
        </w:tc>
        <w:tc>
          <w:tcPr>
            <w:tcW w:w="1276" w:type="dxa"/>
          </w:tcPr>
          <w:p w14:paraId="40808755" w14:textId="77777777" w:rsidR="008606DF" w:rsidRPr="007233CA" w:rsidRDefault="008606DF" w:rsidP="00603157">
            <w:pPr>
              <w:spacing w:after="0"/>
              <w:jc w:val="center"/>
              <w:rPr>
                <w:noProof/>
                <w:color w:val="000000"/>
                <w:sz w:val="20"/>
                <w:lang w:val="en-US" w:eastAsia="it-IT"/>
              </w:rPr>
            </w:pPr>
            <w:r w:rsidRPr="007233CA">
              <w:rPr>
                <w:noProof/>
                <w:color w:val="000000"/>
                <w:sz w:val="20"/>
                <w:lang w:val="en-US" w:eastAsia="it-IT"/>
              </w:rPr>
              <w:t>183</w:t>
            </w:r>
          </w:p>
        </w:tc>
        <w:tc>
          <w:tcPr>
            <w:tcW w:w="3691" w:type="dxa"/>
            <w:noWrap/>
            <w:hideMark/>
          </w:tcPr>
          <w:p w14:paraId="1DD49D00" w14:textId="77777777" w:rsidR="008606DF" w:rsidRPr="007233CA" w:rsidRDefault="008606DF" w:rsidP="00603157">
            <w:pPr>
              <w:spacing w:after="0"/>
              <w:jc w:val="left"/>
              <w:rPr>
                <w:noProof/>
                <w:color w:val="000000"/>
                <w:sz w:val="20"/>
                <w:lang w:val="en-US" w:eastAsia="it-IT"/>
              </w:rPr>
            </w:pPr>
            <w:r w:rsidRPr="007233CA">
              <w:rPr>
                <w:noProof/>
                <w:color w:val="000000"/>
                <w:sz w:val="20"/>
                <w:lang w:val="en-US" w:eastAsia="it-IT"/>
              </w:rPr>
              <w:t>Mid-term evaluation SME pillar of SMP</w:t>
            </w:r>
          </w:p>
        </w:tc>
      </w:tr>
    </w:tbl>
    <w:p w14:paraId="6604E5A4" w14:textId="77777777" w:rsidR="008A21E0" w:rsidRDefault="008A21E0" w:rsidP="00603157">
      <w:pPr>
        <w:rPr>
          <w:rFonts w:eastAsia="Times New Roman"/>
          <w:noProof/>
          <w:color w:val="000000" w:themeColor="text1"/>
          <w:lang w:val="en-US"/>
        </w:rPr>
      </w:pPr>
    </w:p>
    <w:tbl>
      <w:tblPr>
        <w:tblStyle w:val="TableGrid"/>
        <w:tblW w:w="5241" w:type="pct"/>
        <w:tblInd w:w="-431" w:type="dxa"/>
        <w:tblLayout w:type="fixed"/>
        <w:tblLook w:val="04A0" w:firstRow="1" w:lastRow="0" w:firstColumn="1" w:lastColumn="0" w:noHBand="0" w:noVBand="1"/>
      </w:tblPr>
      <w:tblGrid>
        <w:gridCol w:w="1861"/>
        <w:gridCol w:w="931"/>
        <w:gridCol w:w="932"/>
        <w:gridCol w:w="1232"/>
        <w:gridCol w:w="1552"/>
        <w:gridCol w:w="3557"/>
      </w:tblGrid>
      <w:tr w:rsidR="0002195E" w:rsidRPr="007233CA" w14:paraId="44CD4611" w14:textId="77777777" w:rsidTr="51E02097">
        <w:trPr>
          <w:trHeight w:val="1160"/>
          <w:tblHeader/>
        </w:trPr>
        <w:tc>
          <w:tcPr>
            <w:tcW w:w="924" w:type="pct"/>
            <w:hideMark/>
          </w:tcPr>
          <w:p w14:paraId="49F6B0F8" w14:textId="77777777" w:rsidR="00127AC3" w:rsidRPr="007233CA" w:rsidRDefault="00127AC3" w:rsidP="00603157">
            <w:pPr>
              <w:spacing w:after="0"/>
              <w:jc w:val="center"/>
              <w:rPr>
                <w:b/>
                <w:bCs/>
                <w:noProof/>
                <w:color w:val="000000"/>
                <w:sz w:val="20"/>
                <w:lang w:eastAsia="it-IT"/>
              </w:rPr>
            </w:pPr>
            <w:r w:rsidRPr="007233CA">
              <w:rPr>
                <w:b/>
                <w:bCs/>
                <w:noProof/>
                <w:sz w:val="20"/>
              </w:rPr>
              <w:t>Programme</w:t>
            </w:r>
          </w:p>
        </w:tc>
        <w:tc>
          <w:tcPr>
            <w:tcW w:w="462" w:type="pct"/>
            <w:hideMark/>
          </w:tcPr>
          <w:p w14:paraId="17EFF270" w14:textId="77777777" w:rsidR="00127AC3" w:rsidRPr="007233CA" w:rsidRDefault="00127AC3" w:rsidP="00603157">
            <w:pPr>
              <w:spacing w:after="0"/>
              <w:jc w:val="center"/>
              <w:rPr>
                <w:b/>
                <w:bCs/>
                <w:noProof/>
                <w:color w:val="000000"/>
                <w:sz w:val="20"/>
                <w:lang w:eastAsia="it-IT"/>
              </w:rPr>
            </w:pPr>
            <w:r w:rsidRPr="007233CA">
              <w:rPr>
                <w:b/>
                <w:bCs/>
                <w:noProof/>
                <w:sz w:val="20"/>
              </w:rPr>
              <w:t>Related MFF</w:t>
            </w:r>
          </w:p>
        </w:tc>
        <w:tc>
          <w:tcPr>
            <w:tcW w:w="463" w:type="pct"/>
            <w:hideMark/>
          </w:tcPr>
          <w:p w14:paraId="6B346C15" w14:textId="77777777" w:rsidR="00127AC3" w:rsidRPr="007233CA" w:rsidRDefault="00127AC3" w:rsidP="00603157">
            <w:pPr>
              <w:spacing w:after="0"/>
              <w:jc w:val="center"/>
              <w:rPr>
                <w:b/>
                <w:bCs/>
                <w:noProof/>
                <w:color w:val="000000"/>
                <w:sz w:val="20"/>
                <w:lang w:eastAsia="it-IT"/>
              </w:rPr>
            </w:pPr>
            <w:r w:rsidRPr="007233CA">
              <w:rPr>
                <w:b/>
                <w:bCs/>
                <w:noProof/>
                <w:sz w:val="20"/>
              </w:rPr>
              <w:t>Reference period</w:t>
            </w:r>
          </w:p>
        </w:tc>
        <w:tc>
          <w:tcPr>
            <w:tcW w:w="612" w:type="pct"/>
            <w:hideMark/>
          </w:tcPr>
          <w:p w14:paraId="552340B6" w14:textId="77777777" w:rsidR="00127AC3" w:rsidRPr="007233CA" w:rsidRDefault="00127AC3" w:rsidP="00603157">
            <w:pPr>
              <w:pStyle w:val="BodyText1"/>
              <w:jc w:val="center"/>
              <w:rPr>
                <w:rFonts w:ascii="Times New Roman" w:hAnsi="Times New Roman"/>
                <w:b/>
                <w:bCs/>
                <w:sz w:val="20"/>
              </w:rPr>
            </w:pPr>
            <w:r w:rsidRPr="007233CA">
              <w:rPr>
                <w:rFonts w:ascii="Times New Roman" w:hAnsi="Times New Roman"/>
                <w:b/>
                <w:bCs/>
                <w:sz w:val="20"/>
              </w:rPr>
              <w:t>TTG</w:t>
            </w:r>
          </w:p>
          <w:p w14:paraId="4476734A" w14:textId="77777777" w:rsidR="00127AC3" w:rsidRPr="007233CA" w:rsidRDefault="00127AC3" w:rsidP="00603157">
            <w:pPr>
              <w:spacing w:after="0"/>
              <w:jc w:val="center"/>
              <w:rPr>
                <w:b/>
                <w:bCs/>
                <w:noProof/>
                <w:color w:val="000000"/>
                <w:sz w:val="20"/>
                <w:lang w:eastAsia="it-IT"/>
              </w:rPr>
            </w:pPr>
            <w:r w:rsidRPr="007233CA">
              <w:rPr>
                <w:b/>
                <w:bCs/>
                <w:noProof/>
                <w:sz w:val="20"/>
              </w:rPr>
              <w:t>(Number of days)</w:t>
            </w:r>
          </w:p>
        </w:tc>
        <w:tc>
          <w:tcPr>
            <w:tcW w:w="771" w:type="pct"/>
          </w:tcPr>
          <w:p w14:paraId="0F31AA50" w14:textId="77777777" w:rsidR="00127AC3" w:rsidRPr="007233CA" w:rsidRDefault="00127AC3" w:rsidP="00603157">
            <w:pPr>
              <w:pStyle w:val="BodyText1"/>
              <w:jc w:val="center"/>
              <w:rPr>
                <w:rFonts w:ascii="Times New Roman" w:hAnsi="Times New Roman"/>
                <w:b/>
                <w:bCs/>
                <w:sz w:val="20"/>
              </w:rPr>
            </w:pPr>
            <w:r w:rsidRPr="007233CA">
              <w:rPr>
                <w:rFonts w:ascii="Times New Roman" w:hAnsi="Times New Roman"/>
                <w:b/>
                <w:bCs/>
                <w:sz w:val="20"/>
              </w:rPr>
              <w:t>TTG target</w:t>
            </w:r>
          </w:p>
          <w:p w14:paraId="7F5F7D06" w14:textId="77777777" w:rsidR="00127AC3" w:rsidRPr="007233CA" w:rsidRDefault="00127AC3" w:rsidP="00603157">
            <w:pPr>
              <w:pStyle w:val="BodyText1"/>
              <w:jc w:val="center"/>
              <w:rPr>
                <w:rFonts w:ascii="Times New Roman" w:hAnsi="Times New Roman"/>
                <w:b/>
                <w:bCs/>
                <w:sz w:val="20"/>
              </w:rPr>
            </w:pPr>
            <w:r w:rsidRPr="007233CA">
              <w:rPr>
                <w:rFonts w:ascii="Times New Roman" w:hAnsi="Times New Roman"/>
                <w:b/>
                <w:bCs/>
                <w:sz w:val="20"/>
              </w:rPr>
              <w:t>(Number of days)</w:t>
            </w:r>
          </w:p>
        </w:tc>
        <w:tc>
          <w:tcPr>
            <w:tcW w:w="1767" w:type="pct"/>
            <w:hideMark/>
          </w:tcPr>
          <w:p w14:paraId="0D4C57B4" w14:textId="77777777" w:rsidR="00127AC3" w:rsidRPr="007233CA" w:rsidRDefault="00127AC3" w:rsidP="00603157">
            <w:pPr>
              <w:spacing w:after="0"/>
              <w:jc w:val="center"/>
              <w:rPr>
                <w:b/>
                <w:bCs/>
                <w:noProof/>
                <w:color w:val="000000"/>
                <w:sz w:val="20"/>
                <w:lang w:eastAsia="it-IT"/>
              </w:rPr>
            </w:pPr>
            <w:r w:rsidRPr="007233CA">
              <w:rPr>
                <w:b/>
                <w:bCs/>
                <w:noProof/>
                <w:sz w:val="20"/>
              </w:rPr>
              <w:t>Source</w:t>
            </w:r>
          </w:p>
        </w:tc>
      </w:tr>
      <w:tr w:rsidR="008231A1" w:rsidRPr="007233CA" w14:paraId="4B821E34" w14:textId="77777777" w:rsidTr="51E02097">
        <w:trPr>
          <w:trHeight w:val="290"/>
        </w:trPr>
        <w:tc>
          <w:tcPr>
            <w:tcW w:w="924" w:type="pct"/>
            <w:noWrap/>
            <w:hideMark/>
          </w:tcPr>
          <w:p w14:paraId="1205E46D"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FP7</w:t>
            </w:r>
          </w:p>
        </w:tc>
        <w:tc>
          <w:tcPr>
            <w:tcW w:w="462" w:type="pct"/>
            <w:noWrap/>
            <w:hideMark/>
          </w:tcPr>
          <w:p w14:paraId="0718F2CE"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07-13</w:t>
            </w:r>
          </w:p>
        </w:tc>
        <w:tc>
          <w:tcPr>
            <w:tcW w:w="463" w:type="pct"/>
            <w:noWrap/>
            <w:hideMark/>
          </w:tcPr>
          <w:p w14:paraId="63278E11"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07-13</w:t>
            </w:r>
          </w:p>
        </w:tc>
        <w:tc>
          <w:tcPr>
            <w:tcW w:w="612" w:type="pct"/>
            <w:noWrap/>
            <w:hideMark/>
          </w:tcPr>
          <w:p w14:paraId="7F821C15" w14:textId="77777777" w:rsidR="00127AC3" w:rsidRPr="007233CA" w:rsidRDefault="00127AC3" w:rsidP="00603157">
            <w:pPr>
              <w:spacing w:after="0"/>
              <w:jc w:val="center"/>
              <w:rPr>
                <w:noProof/>
                <w:color w:val="FF0000"/>
                <w:sz w:val="20"/>
                <w:lang w:eastAsia="it-IT"/>
              </w:rPr>
            </w:pPr>
            <w:r w:rsidRPr="007233CA">
              <w:rPr>
                <w:noProof/>
                <w:color w:val="C00000"/>
                <w:sz w:val="20"/>
                <w:lang w:eastAsia="it-IT"/>
              </w:rPr>
              <w:t>313</w:t>
            </w:r>
          </w:p>
        </w:tc>
        <w:tc>
          <w:tcPr>
            <w:tcW w:w="771" w:type="pct"/>
          </w:tcPr>
          <w:p w14:paraId="3D7C3FC6"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270</w:t>
            </w:r>
          </w:p>
        </w:tc>
        <w:tc>
          <w:tcPr>
            <w:tcW w:w="1767" w:type="pct"/>
            <w:noWrap/>
            <w:hideMark/>
          </w:tcPr>
          <w:p w14:paraId="62A7695E"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Ex post evaluation H2020 (2024)</w:t>
            </w:r>
          </w:p>
        </w:tc>
      </w:tr>
      <w:tr w:rsidR="008231A1" w:rsidRPr="007233CA" w14:paraId="441E0EB4" w14:textId="77777777" w:rsidTr="51E02097">
        <w:trPr>
          <w:trHeight w:val="290"/>
        </w:trPr>
        <w:tc>
          <w:tcPr>
            <w:tcW w:w="924" w:type="pct"/>
            <w:noWrap/>
            <w:hideMark/>
          </w:tcPr>
          <w:p w14:paraId="59CD8FAC"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Horizon 2020</w:t>
            </w:r>
          </w:p>
        </w:tc>
        <w:tc>
          <w:tcPr>
            <w:tcW w:w="462" w:type="pct"/>
            <w:noWrap/>
            <w:hideMark/>
          </w:tcPr>
          <w:p w14:paraId="3E0DB112"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14-20</w:t>
            </w:r>
          </w:p>
        </w:tc>
        <w:tc>
          <w:tcPr>
            <w:tcW w:w="463" w:type="pct"/>
            <w:noWrap/>
            <w:hideMark/>
          </w:tcPr>
          <w:p w14:paraId="2E4ED57C"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14-20</w:t>
            </w:r>
          </w:p>
        </w:tc>
        <w:tc>
          <w:tcPr>
            <w:tcW w:w="612" w:type="pct"/>
            <w:noWrap/>
            <w:hideMark/>
          </w:tcPr>
          <w:p w14:paraId="2160B6A3" w14:textId="77777777" w:rsidR="00127AC3" w:rsidRPr="007233CA" w:rsidRDefault="00127AC3" w:rsidP="00603157">
            <w:pPr>
              <w:spacing w:after="0"/>
              <w:jc w:val="center"/>
              <w:rPr>
                <w:noProof/>
                <w:color w:val="000000"/>
                <w:sz w:val="20"/>
                <w:lang w:eastAsia="it-IT"/>
              </w:rPr>
            </w:pPr>
            <w:r w:rsidRPr="007233CA">
              <w:rPr>
                <w:noProof/>
                <w:color w:val="00B050"/>
                <w:sz w:val="20"/>
                <w:lang w:eastAsia="it-IT"/>
              </w:rPr>
              <w:t>187</w:t>
            </w:r>
          </w:p>
        </w:tc>
        <w:tc>
          <w:tcPr>
            <w:tcW w:w="771" w:type="pct"/>
          </w:tcPr>
          <w:p w14:paraId="164B54B9"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245</w:t>
            </w:r>
          </w:p>
        </w:tc>
        <w:tc>
          <w:tcPr>
            <w:tcW w:w="1767" w:type="pct"/>
            <w:noWrap/>
            <w:hideMark/>
          </w:tcPr>
          <w:p w14:paraId="62FDF7F3"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Ex post evaluation H2020 (2024)</w:t>
            </w:r>
          </w:p>
        </w:tc>
      </w:tr>
      <w:tr w:rsidR="008231A1" w:rsidRPr="007233CA" w14:paraId="7A2626A1" w14:textId="77777777" w:rsidTr="51E02097">
        <w:trPr>
          <w:trHeight w:val="290"/>
        </w:trPr>
        <w:tc>
          <w:tcPr>
            <w:tcW w:w="924" w:type="pct"/>
            <w:noWrap/>
            <w:hideMark/>
          </w:tcPr>
          <w:p w14:paraId="5026D8AB"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Horizon Europe</w:t>
            </w:r>
          </w:p>
        </w:tc>
        <w:tc>
          <w:tcPr>
            <w:tcW w:w="462" w:type="pct"/>
            <w:noWrap/>
            <w:hideMark/>
          </w:tcPr>
          <w:p w14:paraId="7D530AAF"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75CDD15C"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21-24</w:t>
            </w:r>
          </w:p>
        </w:tc>
        <w:tc>
          <w:tcPr>
            <w:tcW w:w="612" w:type="pct"/>
            <w:noWrap/>
            <w:hideMark/>
          </w:tcPr>
          <w:p w14:paraId="73E5A4F0" w14:textId="77777777" w:rsidR="00127AC3" w:rsidRPr="007233CA" w:rsidRDefault="143F592B" w:rsidP="00603157">
            <w:pPr>
              <w:spacing w:after="0"/>
              <w:jc w:val="center"/>
              <w:rPr>
                <w:noProof/>
                <w:color w:val="000000"/>
                <w:sz w:val="20"/>
                <w:lang w:eastAsia="it-IT"/>
              </w:rPr>
            </w:pPr>
            <w:r w:rsidRPr="46504AF2">
              <w:rPr>
                <w:noProof/>
                <w:color w:val="00B050"/>
                <w:sz w:val="20"/>
                <w:szCs w:val="20"/>
                <w:lang w:eastAsia="it-IT"/>
              </w:rPr>
              <w:t>240</w:t>
            </w:r>
            <w:r w:rsidR="00127AC3" w:rsidRPr="007233CA">
              <w:rPr>
                <w:rStyle w:val="FootnoteReference"/>
                <w:noProof/>
                <w:color w:val="00B050"/>
                <w:lang w:eastAsia="it-IT"/>
              </w:rPr>
              <w:footnoteReference w:id="196"/>
            </w:r>
          </w:p>
        </w:tc>
        <w:tc>
          <w:tcPr>
            <w:tcW w:w="771" w:type="pct"/>
          </w:tcPr>
          <w:p w14:paraId="4BF58864"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245</w:t>
            </w:r>
          </w:p>
        </w:tc>
        <w:tc>
          <w:tcPr>
            <w:tcW w:w="1767" w:type="pct"/>
            <w:noWrap/>
            <w:hideMark/>
          </w:tcPr>
          <w:p w14:paraId="257E5240" w14:textId="63000CA0" w:rsidR="00127AC3" w:rsidRPr="007233CA" w:rsidRDefault="00127AC3" w:rsidP="00603157">
            <w:pPr>
              <w:spacing w:after="0"/>
              <w:jc w:val="left"/>
              <w:rPr>
                <w:noProof/>
                <w:color w:val="000000"/>
                <w:sz w:val="20"/>
                <w:lang w:eastAsia="it-IT"/>
              </w:rPr>
            </w:pPr>
            <w:r w:rsidRPr="007233CA">
              <w:rPr>
                <w:noProof/>
                <w:color w:val="000000"/>
                <w:sz w:val="20"/>
                <w:lang w:eastAsia="it-IT"/>
              </w:rPr>
              <w:t>Interim evaluation of Horizon Europe</w:t>
            </w:r>
          </w:p>
        </w:tc>
      </w:tr>
      <w:tr w:rsidR="008231A1" w:rsidRPr="007233CA" w14:paraId="227DFA32" w14:textId="77777777" w:rsidTr="51E02097">
        <w:trPr>
          <w:trHeight w:val="290"/>
        </w:trPr>
        <w:tc>
          <w:tcPr>
            <w:tcW w:w="924" w:type="pct"/>
            <w:noWrap/>
            <w:hideMark/>
          </w:tcPr>
          <w:p w14:paraId="24A4F656"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Horizon Europe</w:t>
            </w:r>
          </w:p>
        </w:tc>
        <w:tc>
          <w:tcPr>
            <w:tcW w:w="462" w:type="pct"/>
            <w:noWrap/>
            <w:hideMark/>
          </w:tcPr>
          <w:p w14:paraId="678B00DB"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5AACB390"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2021</w:t>
            </w:r>
          </w:p>
        </w:tc>
        <w:tc>
          <w:tcPr>
            <w:tcW w:w="612" w:type="pct"/>
            <w:noWrap/>
            <w:hideMark/>
          </w:tcPr>
          <w:p w14:paraId="2E718BA2"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135</w:t>
            </w:r>
          </w:p>
        </w:tc>
        <w:tc>
          <w:tcPr>
            <w:tcW w:w="771" w:type="pct"/>
          </w:tcPr>
          <w:p w14:paraId="5506840B"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245</w:t>
            </w:r>
          </w:p>
        </w:tc>
        <w:tc>
          <w:tcPr>
            <w:tcW w:w="1767" w:type="pct"/>
            <w:noWrap/>
            <w:hideMark/>
          </w:tcPr>
          <w:p w14:paraId="76046AB1"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 xml:space="preserve">Interim evaluation of Horizon Europe </w:t>
            </w:r>
          </w:p>
        </w:tc>
      </w:tr>
      <w:tr w:rsidR="008231A1" w:rsidRPr="007233CA" w14:paraId="7BB78A8B" w14:textId="77777777" w:rsidTr="51E02097">
        <w:trPr>
          <w:trHeight w:val="290"/>
        </w:trPr>
        <w:tc>
          <w:tcPr>
            <w:tcW w:w="924" w:type="pct"/>
            <w:noWrap/>
            <w:hideMark/>
          </w:tcPr>
          <w:p w14:paraId="55F4073C"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Horizon Europe</w:t>
            </w:r>
          </w:p>
        </w:tc>
        <w:tc>
          <w:tcPr>
            <w:tcW w:w="462" w:type="pct"/>
            <w:noWrap/>
            <w:hideMark/>
          </w:tcPr>
          <w:p w14:paraId="0DC6760C"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11AB5765"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2022</w:t>
            </w:r>
          </w:p>
        </w:tc>
        <w:tc>
          <w:tcPr>
            <w:tcW w:w="612" w:type="pct"/>
            <w:noWrap/>
            <w:hideMark/>
          </w:tcPr>
          <w:p w14:paraId="75447788"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249</w:t>
            </w:r>
          </w:p>
        </w:tc>
        <w:tc>
          <w:tcPr>
            <w:tcW w:w="771" w:type="pct"/>
          </w:tcPr>
          <w:p w14:paraId="5EAAA54C"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245</w:t>
            </w:r>
          </w:p>
        </w:tc>
        <w:tc>
          <w:tcPr>
            <w:tcW w:w="1767" w:type="pct"/>
            <w:noWrap/>
            <w:hideMark/>
          </w:tcPr>
          <w:p w14:paraId="53944F6A"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 xml:space="preserve">Interim evaluation of Horizon Europe </w:t>
            </w:r>
          </w:p>
        </w:tc>
      </w:tr>
      <w:tr w:rsidR="008231A1" w:rsidRPr="007233CA" w14:paraId="40793CB3" w14:textId="77777777" w:rsidTr="51E02097">
        <w:trPr>
          <w:trHeight w:val="290"/>
        </w:trPr>
        <w:tc>
          <w:tcPr>
            <w:tcW w:w="924" w:type="pct"/>
            <w:noWrap/>
            <w:hideMark/>
          </w:tcPr>
          <w:p w14:paraId="4B4AEC0F"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Horizon Europe</w:t>
            </w:r>
          </w:p>
        </w:tc>
        <w:tc>
          <w:tcPr>
            <w:tcW w:w="462" w:type="pct"/>
            <w:noWrap/>
            <w:hideMark/>
          </w:tcPr>
          <w:p w14:paraId="144ED524"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2F5389D1"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2023</w:t>
            </w:r>
          </w:p>
        </w:tc>
        <w:tc>
          <w:tcPr>
            <w:tcW w:w="612" w:type="pct"/>
            <w:noWrap/>
            <w:hideMark/>
          </w:tcPr>
          <w:p w14:paraId="32DAD232"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239</w:t>
            </w:r>
          </w:p>
        </w:tc>
        <w:tc>
          <w:tcPr>
            <w:tcW w:w="771" w:type="pct"/>
          </w:tcPr>
          <w:p w14:paraId="0FBE95A5"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245</w:t>
            </w:r>
          </w:p>
        </w:tc>
        <w:tc>
          <w:tcPr>
            <w:tcW w:w="1767" w:type="pct"/>
            <w:noWrap/>
            <w:hideMark/>
          </w:tcPr>
          <w:p w14:paraId="1D7F8760"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 xml:space="preserve">Interim evaluation of Horizon Europe </w:t>
            </w:r>
          </w:p>
        </w:tc>
      </w:tr>
      <w:tr w:rsidR="008231A1" w:rsidRPr="007233CA" w14:paraId="21843CB9" w14:textId="77777777" w:rsidTr="51E02097">
        <w:trPr>
          <w:trHeight w:val="290"/>
        </w:trPr>
        <w:tc>
          <w:tcPr>
            <w:tcW w:w="924" w:type="pct"/>
            <w:noWrap/>
            <w:hideMark/>
          </w:tcPr>
          <w:p w14:paraId="061A7C2B"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Horizon Europe</w:t>
            </w:r>
          </w:p>
        </w:tc>
        <w:tc>
          <w:tcPr>
            <w:tcW w:w="462" w:type="pct"/>
            <w:noWrap/>
            <w:hideMark/>
          </w:tcPr>
          <w:p w14:paraId="411A28A1"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23958C5F"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2024</w:t>
            </w:r>
          </w:p>
        </w:tc>
        <w:tc>
          <w:tcPr>
            <w:tcW w:w="612" w:type="pct"/>
            <w:noWrap/>
            <w:hideMark/>
          </w:tcPr>
          <w:p w14:paraId="3B36D0DC"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229</w:t>
            </w:r>
          </w:p>
        </w:tc>
        <w:tc>
          <w:tcPr>
            <w:tcW w:w="771" w:type="pct"/>
          </w:tcPr>
          <w:p w14:paraId="40F7522D"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245</w:t>
            </w:r>
          </w:p>
        </w:tc>
        <w:tc>
          <w:tcPr>
            <w:tcW w:w="1767" w:type="pct"/>
            <w:noWrap/>
            <w:hideMark/>
          </w:tcPr>
          <w:p w14:paraId="6B186269"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 xml:space="preserve">Interim evaluation of Horizon Europe </w:t>
            </w:r>
          </w:p>
        </w:tc>
      </w:tr>
      <w:tr w:rsidR="008231A1" w:rsidRPr="007233CA" w14:paraId="1214762A" w14:textId="77777777" w:rsidTr="51E02097">
        <w:trPr>
          <w:trHeight w:val="290"/>
        </w:trPr>
        <w:tc>
          <w:tcPr>
            <w:tcW w:w="924" w:type="pct"/>
            <w:noWrap/>
          </w:tcPr>
          <w:p w14:paraId="691A524E" w14:textId="77777777" w:rsidR="00127AC3" w:rsidRPr="007233CA" w:rsidRDefault="00127AC3" w:rsidP="00603157">
            <w:pPr>
              <w:spacing w:after="0"/>
              <w:jc w:val="left"/>
              <w:rPr>
                <w:noProof/>
                <w:color w:val="000000"/>
                <w:sz w:val="20"/>
                <w:lang w:eastAsia="it-IT"/>
              </w:rPr>
            </w:pPr>
            <w:r w:rsidRPr="007233CA">
              <w:rPr>
                <w:noProof/>
                <w:color w:val="000000"/>
                <w:sz w:val="20"/>
                <w:lang w:val="it-IT" w:eastAsia="it-IT"/>
              </w:rPr>
              <w:t>Digital Europe</w:t>
            </w:r>
          </w:p>
        </w:tc>
        <w:tc>
          <w:tcPr>
            <w:tcW w:w="462" w:type="pct"/>
            <w:noWrap/>
          </w:tcPr>
          <w:p w14:paraId="31D47705" w14:textId="77777777" w:rsidR="00127AC3" w:rsidRPr="007233CA" w:rsidRDefault="00127AC3" w:rsidP="00603157">
            <w:pPr>
              <w:spacing w:after="0"/>
              <w:jc w:val="center"/>
              <w:rPr>
                <w:noProof/>
                <w:color w:val="000000"/>
                <w:sz w:val="20"/>
                <w:lang w:eastAsia="it-IT"/>
              </w:rPr>
            </w:pPr>
            <w:r w:rsidRPr="007233CA">
              <w:rPr>
                <w:noProof/>
                <w:color w:val="000000"/>
                <w:sz w:val="20"/>
                <w:lang w:val="it-IT" w:eastAsia="it-IT"/>
              </w:rPr>
              <w:t>21-27</w:t>
            </w:r>
          </w:p>
        </w:tc>
        <w:tc>
          <w:tcPr>
            <w:tcW w:w="463" w:type="pct"/>
            <w:noWrap/>
          </w:tcPr>
          <w:p w14:paraId="3EE6B7E2" w14:textId="77777777" w:rsidR="00127AC3" w:rsidRPr="007233CA" w:rsidRDefault="00127AC3" w:rsidP="00603157">
            <w:pPr>
              <w:spacing w:after="0"/>
              <w:jc w:val="center"/>
              <w:rPr>
                <w:noProof/>
                <w:color w:val="000000"/>
                <w:sz w:val="20"/>
                <w:lang w:eastAsia="it-IT"/>
              </w:rPr>
            </w:pPr>
            <w:r w:rsidRPr="007233CA">
              <w:rPr>
                <w:noProof/>
                <w:color w:val="000000"/>
                <w:sz w:val="20"/>
                <w:lang w:val="it-IT" w:eastAsia="it-IT"/>
              </w:rPr>
              <w:t>2023</w:t>
            </w:r>
          </w:p>
        </w:tc>
        <w:tc>
          <w:tcPr>
            <w:tcW w:w="612" w:type="pct"/>
            <w:noWrap/>
          </w:tcPr>
          <w:p w14:paraId="3429345E" w14:textId="77777777" w:rsidR="00127AC3" w:rsidRPr="007233CA" w:rsidRDefault="00127AC3" w:rsidP="00603157">
            <w:pPr>
              <w:spacing w:after="0"/>
              <w:jc w:val="center"/>
              <w:rPr>
                <w:noProof/>
                <w:color w:val="00B050"/>
                <w:sz w:val="20"/>
                <w:lang w:eastAsia="it-IT"/>
              </w:rPr>
            </w:pPr>
            <w:r w:rsidRPr="007233CA">
              <w:rPr>
                <w:noProof/>
                <w:color w:val="00B050"/>
                <w:sz w:val="20"/>
                <w:lang w:val="it-IT" w:eastAsia="it-IT"/>
              </w:rPr>
              <w:t>229**</w:t>
            </w:r>
          </w:p>
        </w:tc>
        <w:tc>
          <w:tcPr>
            <w:tcW w:w="771" w:type="pct"/>
          </w:tcPr>
          <w:p w14:paraId="2BCAB6C4" w14:textId="77777777" w:rsidR="00127AC3" w:rsidRPr="007233CA" w:rsidRDefault="00127AC3" w:rsidP="00603157">
            <w:pPr>
              <w:spacing w:after="0"/>
              <w:jc w:val="center"/>
              <w:rPr>
                <w:noProof/>
                <w:color w:val="000000"/>
                <w:sz w:val="20"/>
                <w:lang w:eastAsia="it-IT"/>
              </w:rPr>
            </w:pPr>
            <w:r w:rsidRPr="007233CA">
              <w:rPr>
                <w:noProof/>
                <w:color w:val="000000"/>
                <w:sz w:val="20"/>
                <w:lang w:val="en-US" w:eastAsia="it-IT"/>
              </w:rPr>
              <w:t>274</w:t>
            </w:r>
          </w:p>
        </w:tc>
        <w:tc>
          <w:tcPr>
            <w:tcW w:w="1767" w:type="pct"/>
            <w:noWrap/>
          </w:tcPr>
          <w:p w14:paraId="1AD25506" w14:textId="77777777" w:rsidR="00127AC3" w:rsidRPr="007233CA" w:rsidRDefault="00127AC3" w:rsidP="00603157">
            <w:pPr>
              <w:spacing w:after="0"/>
              <w:jc w:val="left"/>
              <w:rPr>
                <w:noProof/>
                <w:color w:val="000000"/>
                <w:sz w:val="20"/>
                <w:lang w:eastAsia="it-IT"/>
              </w:rPr>
            </w:pPr>
            <w:r w:rsidRPr="007233CA">
              <w:rPr>
                <w:noProof/>
                <w:color w:val="000000"/>
                <w:sz w:val="20"/>
                <w:lang w:val="en-US" w:eastAsia="it-IT"/>
              </w:rPr>
              <w:t>HaDEA - Annual Activity Report 2023</w:t>
            </w:r>
          </w:p>
        </w:tc>
      </w:tr>
      <w:tr w:rsidR="008231A1" w:rsidRPr="007233CA" w14:paraId="4BD14D8B" w14:textId="77777777" w:rsidTr="51E02097">
        <w:trPr>
          <w:trHeight w:val="290"/>
        </w:trPr>
        <w:tc>
          <w:tcPr>
            <w:tcW w:w="924" w:type="pct"/>
            <w:noWrap/>
            <w:hideMark/>
          </w:tcPr>
          <w:p w14:paraId="3605D877"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Innovation Fund</w:t>
            </w:r>
          </w:p>
        </w:tc>
        <w:tc>
          <w:tcPr>
            <w:tcW w:w="462" w:type="pct"/>
            <w:noWrap/>
            <w:hideMark/>
          </w:tcPr>
          <w:p w14:paraId="194E1158"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62FC14B7"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2021</w:t>
            </w:r>
          </w:p>
        </w:tc>
        <w:tc>
          <w:tcPr>
            <w:tcW w:w="612" w:type="pct"/>
            <w:noWrap/>
            <w:hideMark/>
          </w:tcPr>
          <w:p w14:paraId="7BB38FB6"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268</w:t>
            </w:r>
          </w:p>
        </w:tc>
        <w:tc>
          <w:tcPr>
            <w:tcW w:w="771" w:type="pct"/>
          </w:tcPr>
          <w:p w14:paraId="329D3427"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274</w:t>
            </w:r>
          </w:p>
        </w:tc>
        <w:tc>
          <w:tcPr>
            <w:tcW w:w="1767" w:type="pct"/>
            <w:noWrap/>
            <w:hideMark/>
          </w:tcPr>
          <w:p w14:paraId="53E67989"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 xml:space="preserve">CINEA - Annual Activity Report 2023 </w:t>
            </w:r>
          </w:p>
        </w:tc>
      </w:tr>
      <w:tr w:rsidR="008231A1" w:rsidRPr="007233CA" w14:paraId="0071CCED" w14:textId="77777777" w:rsidTr="51E02097">
        <w:trPr>
          <w:trHeight w:val="290"/>
        </w:trPr>
        <w:tc>
          <w:tcPr>
            <w:tcW w:w="924" w:type="pct"/>
            <w:noWrap/>
            <w:hideMark/>
          </w:tcPr>
          <w:p w14:paraId="37989FFE"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Innovation Fund</w:t>
            </w:r>
          </w:p>
        </w:tc>
        <w:tc>
          <w:tcPr>
            <w:tcW w:w="462" w:type="pct"/>
            <w:noWrap/>
            <w:hideMark/>
          </w:tcPr>
          <w:p w14:paraId="753EAC96"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006FE41E"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2022</w:t>
            </w:r>
          </w:p>
        </w:tc>
        <w:tc>
          <w:tcPr>
            <w:tcW w:w="612" w:type="pct"/>
            <w:noWrap/>
            <w:hideMark/>
          </w:tcPr>
          <w:p w14:paraId="5F8EFC7B"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270</w:t>
            </w:r>
          </w:p>
        </w:tc>
        <w:tc>
          <w:tcPr>
            <w:tcW w:w="771" w:type="pct"/>
          </w:tcPr>
          <w:p w14:paraId="0B78F39F"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274</w:t>
            </w:r>
          </w:p>
        </w:tc>
        <w:tc>
          <w:tcPr>
            <w:tcW w:w="1767" w:type="pct"/>
            <w:noWrap/>
            <w:hideMark/>
          </w:tcPr>
          <w:p w14:paraId="3A26E025"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 xml:space="preserve">CINEA - Annual Activity Report 2023 </w:t>
            </w:r>
          </w:p>
        </w:tc>
      </w:tr>
      <w:tr w:rsidR="008231A1" w:rsidRPr="007233CA" w14:paraId="4B335561" w14:textId="77777777" w:rsidTr="51E02097">
        <w:trPr>
          <w:trHeight w:val="290"/>
        </w:trPr>
        <w:tc>
          <w:tcPr>
            <w:tcW w:w="924" w:type="pct"/>
            <w:noWrap/>
            <w:hideMark/>
          </w:tcPr>
          <w:p w14:paraId="28CF5FA3"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Innovation Fund</w:t>
            </w:r>
          </w:p>
        </w:tc>
        <w:tc>
          <w:tcPr>
            <w:tcW w:w="462" w:type="pct"/>
            <w:noWrap/>
            <w:hideMark/>
          </w:tcPr>
          <w:p w14:paraId="3694CB41"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05465632"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2023</w:t>
            </w:r>
          </w:p>
        </w:tc>
        <w:tc>
          <w:tcPr>
            <w:tcW w:w="612" w:type="pct"/>
            <w:noWrap/>
            <w:hideMark/>
          </w:tcPr>
          <w:p w14:paraId="7665623A"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263</w:t>
            </w:r>
          </w:p>
        </w:tc>
        <w:tc>
          <w:tcPr>
            <w:tcW w:w="771" w:type="pct"/>
          </w:tcPr>
          <w:p w14:paraId="2A762F67"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274</w:t>
            </w:r>
          </w:p>
        </w:tc>
        <w:tc>
          <w:tcPr>
            <w:tcW w:w="1767" w:type="pct"/>
            <w:noWrap/>
            <w:hideMark/>
          </w:tcPr>
          <w:p w14:paraId="13053E4A"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 xml:space="preserve">CINEA - Annual Activity Report 2023 </w:t>
            </w:r>
          </w:p>
        </w:tc>
      </w:tr>
      <w:tr w:rsidR="008231A1" w:rsidRPr="007233CA" w14:paraId="6A0C6ACC" w14:textId="77777777" w:rsidTr="51E02097">
        <w:trPr>
          <w:trHeight w:val="290"/>
        </w:trPr>
        <w:tc>
          <w:tcPr>
            <w:tcW w:w="924" w:type="pct"/>
            <w:noWrap/>
            <w:hideMark/>
          </w:tcPr>
          <w:p w14:paraId="0B5F426F"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LIFE</w:t>
            </w:r>
          </w:p>
        </w:tc>
        <w:tc>
          <w:tcPr>
            <w:tcW w:w="462" w:type="pct"/>
            <w:noWrap/>
            <w:hideMark/>
          </w:tcPr>
          <w:p w14:paraId="608447C8"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4DC2AAFB"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2021</w:t>
            </w:r>
          </w:p>
        </w:tc>
        <w:tc>
          <w:tcPr>
            <w:tcW w:w="612" w:type="pct"/>
            <w:noWrap/>
            <w:hideMark/>
          </w:tcPr>
          <w:p w14:paraId="40264B88"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237</w:t>
            </w:r>
          </w:p>
        </w:tc>
        <w:tc>
          <w:tcPr>
            <w:tcW w:w="771" w:type="pct"/>
          </w:tcPr>
          <w:p w14:paraId="182C6CE9"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274</w:t>
            </w:r>
          </w:p>
        </w:tc>
        <w:tc>
          <w:tcPr>
            <w:tcW w:w="1767" w:type="pct"/>
            <w:noWrap/>
            <w:hideMark/>
          </w:tcPr>
          <w:p w14:paraId="7B5AEB93"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 xml:space="preserve">CINEA - Annual Activity Report 2023 </w:t>
            </w:r>
          </w:p>
        </w:tc>
      </w:tr>
      <w:tr w:rsidR="008231A1" w:rsidRPr="007233CA" w14:paraId="782EFFFB" w14:textId="77777777" w:rsidTr="51E02097">
        <w:trPr>
          <w:trHeight w:val="290"/>
        </w:trPr>
        <w:tc>
          <w:tcPr>
            <w:tcW w:w="924" w:type="pct"/>
            <w:noWrap/>
            <w:hideMark/>
          </w:tcPr>
          <w:p w14:paraId="796A12CF"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LIFE</w:t>
            </w:r>
          </w:p>
        </w:tc>
        <w:tc>
          <w:tcPr>
            <w:tcW w:w="462" w:type="pct"/>
            <w:noWrap/>
            <w:hideMark/>
          </w:tcPr>
          <w:p w14:paraId="75609551"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154D4A07"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2022</w:t>
            </w:r>
          </w:p>
        </w:tc>
        <w:tc>
          <w:tcPr>
            <w:tcW w:w="612" w:type="pct"/>
            <w:noWrap/>
            <w:hideMark/>
          </w:tcPr>
          <w:p w14:paraId="511D9CEC"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212</w:t>
            </w:r>
          </w:p>
        </w:tc>
        <w:tc>
          <w:tcPr>
            <w:tcW w:w="771" w:type="pct"/>
          </w:tcPr>
          <w:p w14:paraId="7819F448"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274</w:t>
            </w:r>
          </w:p>
        </w:tc>
        <w:tc>
          <w:tcPr>
            <w:tcW w:w="1767" w:type="pct"/>
            <w:noWrap/>
            <w:hideMark/>
          </w:tcPr>
          <w:p w14:paraId="16BD533D"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 xml:space="preserve">CINEA - Annual Activity Report 2023 </w:t>
            </w:r>
          </w:p>
        </w:tc>
      </w:tr>
      <w:tr w:rsidR="008231A1" w:rsidRPr="007233CA" w14:paraId="69F98664" w14:textId="77777777" w:rsidTr="51E02097">
        <w:trPr>
          <w:trHeight w:val="290"/>
        </w:trPr>
        <w:tc>
          <w:tcPr>
            <w:tcW w:w="924" w:type="pct"/>
            <w:noWrap/>
            <w:hideMark/>
          </w:tcPr>
          <w:p w14:paraId="3E1F428F"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LIFE</w:t>
            </w:r>
          </w:p>
        </w:tc>
        <w:tc>
          <w:tcPr>
            <w:tcW w:w="462" w:type="pct"/>
            <w:noWrap/>
            <w:hideMark/>
          </w:tcPr>
          <w:p w14:paraId="504943E3"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25BE306F"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2023</w:t>
            </w:r>
          </w:p>
        </w:tc>
        <w:tc>
          <w:tcPr>
            <w:tcW w:w="612" w:type="pct"/>
            <w:noWrap/>
            <w:hideMark/>
          </w:tcPr>
          <w:p w14:paraId="0C54EB6B"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242</w:t>
            </w:r>
          </w:p>
        </w:tc>
        <w:tc>
          <w:tcPr>
            <w:tcW w:w="771" w:type="pct"/>
          </w:tcPr>
          <w:p w14:paraId="30D81A39"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274</w:t>
            </w:r>
          </w:p>
        </w:tc>
        <w:tc>
          <w:tcPr>
            <w:tcW w:w="1767" w:type="pct"/>
            <w:noWrap/>
            <w:hideMark/>
          </w:tcPr>
          <w:p w14:paraId="6D72D8F1"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 xml:space="preserve">CINEA - Annual Activity Report 2023 </w:t>
            </w:r>
          </w:p>
        </w:tc>
      </w:tr>
      <w:tr w:rsidR="008231A1" w:rsidRPr="007233CA" w14:paraId="38085C84" w14:textId="77777777" w:rsidTr="51E02097">
        <w:trPr>
          <w:trHeight w:val="290"/>
        </w:trPr>
        <w:tc>
          <w:tcPr>
            <w:tcW w:w="924" w:type="pct"/>
            <w:noWrap/>
            <w:hideMark/>
          </w:tcPr>
          <w:p w14:paraId="24A59973"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CEF</w:t>
            </w:r>
          </w:p>
        </w:tc>
        <w:tc>
          <w:tcPr>
            <w:tcW w:w="462" w:type="pct"/>
            <w:noWrap/>
            <w:hideMark/>
          </w:tcPr>
          <w:p w14:paraId="7FFC9290"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14-20</w:t>
            </w:r>
          </w:p>
        </w:tc>
        <w:tc>
          <w:tcPr>
            <w:tcW w:w="463" w:type="pct"/>
            <w:noWrap/>
            <w:hideMark/>
          </w:tcPr>
          <w:p w14:paraId="178F8A96"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2016</w:t>
            </w:r>
          </w:p>
        </w:tc>
        <w:tc>
          <w:tcPr>
            <w:tcW w:w="612" w:type="pct"/>
            <w:noWrap/>
            <w:hideMark/>
          </w:tcPr>
          <w:p w14:paraId="78C46219"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249</w:t>
            </w:r>
          </w:p>
        </w:tc>
        <w:tc>
          <w:tcPr>
            <w:tcW w:w="771" w:type="pct"/>
          </w:tcPr>
          <w:p w14:paraId="20F44F79"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274</w:t>
            </w:r>
          </w:p>
        </w:tc>
        <w:tc>
          <w:tcPr>
            <w:tcW w:w="1767" w:type="pct"/>
            <w:noWrap/>
            <w:hideMark/>
          </w:tcPr>
          <w:p w14:paraId="57998822"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Mid-term evaluation of CEF 14-20</w:t>
            </w:r>
          </w:p>
        </w:tc>
      </w:tr>
      <w:tr w:rsidR="008231A1" w:rsidRPr="007233CA" w14:paraId="6B6A56B1" w14:textId="77777777" w:rsidTr="51E02097">
        <w:trPr>
          <w:trHeight w:val="290"/>
        </w:trPr>
        <w:tc>
          <w:tcPr>
            <w:tcW w:w="924" w:type="pct"/>
            <w:noWrap/>
            <w:hideMark/>
          </w:tcPr>
          <w:p w14:paraId="33D1F777"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CEF – Transport +Energy</w:t>
            </w:r>
          </w:p>
        </w:tc>
        <w:tc>
          <w:tcPr>
            <w:tcW w:w="462" w:type="pct"/>
            <w:noWrap/>
            <w:hideMark/>
          </w:tcPr>
          <w:p w14:paraId="190F5CF6"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7D6DFCD7"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2021</w:t>
            </w:r>
          </w:p>
        </w:tc>
        <w:tc>
          <w:tcPr>
            <w:tcW w:w="612" w:type="pct"/>
            <w:noWrap/>
            <w:hideMark/>
          </w:tcPr>
          <w:p w14:paraId="7F89BC23"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234</w:t>
            </w:r>
          </w:p>
        </w:tc>
        <w:tc>
          <w:tcPr>
            <w:tcW w:w="771" w:type="pct"/>
          </w:tcPr>
          <w:p w14:paraId="62038A9E"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274</w:t>
            </w:r>
          </w:p>
        </w:tc>
        <w:tc>
          <w:tcPr>
            <w:tcW w:w="1767" w:type="pct"/>
            <w:noWrap/>
            <w:hideMark/>
          </w:tcPr>
          <w:p w14:paraId="3CE9ABA3"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 xml:space="preserve">CINEA - Annual Activity Report 2023 </w:t>
            </w:r>
          </w:p>
        </w:tc>
      </w:tr>
      <w:tr w:rsidR="008231A1" w:rsidRPr="007233CA" w14:paraId="7101A839" w14:textId="77777777" w:rsidTr="51E02097">
        <w:trPr>
          <w:trHeight w:val="290"/>
        </w:trPr>
        <w:tc>
          <w:tcPr>
            <w:tcW w:w="924" w:type="pct"/>
            <w:noWrap/>
            <w:hideMark/>
          </w:tcPr>
          <w:p w14:paraId="698CB344"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CEF – Transport +Energy</w:t>
            </w:r>
          </w:p>
        </w:tc>
        <w:tc>
          <w:tcPr>
            <w:tcW w:w="462" w:type="pct"/>
            <w:noWrap/>
            <w:hideMark/>
          </w:tcPr>
          <w:p w14:paraId="55C6385B"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306CD02E"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2022</w:t>
            </w:r>
          </w:p>
        </w:tc>
        <w:tc>
          <w:tcPr>
            <w:tcW w:w="612" w:type="pct"/>
            <w:noWrap/>
            <w:hideMark/>
          </w:tcPr>
          <w:p w14:paraId="597B355F"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257</w:t>
            </w:r>
          </w:p>
        </w:tc>
        <w:tc>
          <w:tcPr>
            <w:tcW w:w="771" w:type="pct"/>
          </w:tcPr>
          <w:p w14:paraId="66BB7459"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274</w:t>
            </w:r>
          </w:p>
        </w:tc>
        <w:tc>
          <w:tcPr>
            <w:tcW w:w="1767" w:type="pct"/>
            <w:noWrap/>
            <w:hideMark/>
          </w:tcPr>
          <w:p w14:paraId="406B5751"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 xml:space="preserve">CINEA - Annual Activity Report 2023 </w:t>
            </w:r>
          </w:p>
        </w:tc>
      </w:tr>
      <w:tr w:rsidR="008231A1" w:rsidRPr="007233CA" w14:paraId="66186AEA" w14:textId="77777777" w:rsidTr="51E02097">
        <w:trPr>
          <w:trHeight w:val="290"/>
        </w:trPr>
        <w:tc>
          <w:tcPr>
            <w:tcW w:w="924" w:type="pct"/>
            <w:noWrap/>
            <w:hideMark/>
          </w:tcPr>
          <w:p w14:paraId="679F7ED4"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CEF – Transport +Energy</w:t>
            </w:r>
          </w:p>
        </w:tc>
        <w:tc>
          <w:tcPr>
            <w:tcW w:w="462" w:type="pct"/>
            <w:noWrap/>
            <w:hideMark/>
          </w:tcPr>
          <w:p w14:paraId="6CD1690C"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38B7EFFD"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2023</w:t>
            </w:r>
          </w:p>
        </w:tc>
        <w:tc>
          <w:tcPr>
            <w:tcW w:w="612" w:type="pct"/>
            <w:noWrap/>
            <w:hideMark/>
          </w:tcPr>
          <w:p w14:paraId="037E95DB"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259</w:t>
            </w:r>
          </w:p>
        </w:tc>
        <w:tc>
          <w:tcPr>
            <w:tcW w:w="771" w:type="pct"/>
          </w:tcPr>
          <w:p w14:paraId="2A4796FA"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274</w:t>
            </w:r>
          </w:p>
        </w:tc>
        <w:tc>
          <w:tcPr>
            <w:tcW w:w="1767" w:type="pct"/>
            <w:noWrap/>
            <w:hideMark/>
          </w:tcPr>
          <w:p w14:paraId="1777B2F0"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 xml:space="preserve">CINEA - Annual Activity Report 2023 </w:t>
            </w:r>
          </w:p>
        </w:tc>
      </w:tr>
      <w:tr w:rsidR="008231A1" w:rsidRPr="007233CA" w14:paraId="603F33A9" w14:textId="77777777" w:rsidTr="51E02097">
        <w:trPr>
          <w:trHeight w:val="290"/>
        </w:trPr>
        <w:tc>
          <w:tcPr>
            <w:tcW w:w="924" w:type="pct"/>
            <w:noWrap/>
          </w:tcPr>
          <w:p w14:paraId="51CA8905" w14:textId="77777777" w:rsidR="00127AC3" w:rsidRPr="007233CA" w:rsidRDefault="00127AC3" w:rsidP="00603157">
            <w:pPr>
              <w:spacing w:after="0"/>
              <w:jc w:val="left"/>
              <w:rPr>
                <w:noProof/>
                <w:color w:val="000000"/>
                <w:sz w:val="20"/>
                <w:lang w:eastAsia="it-IT"/>
              </w:rPr>
            </w:pPr>
            <w:r w:rsidRPr="007233CA">
              <w:rPr>
                <w:noProof/>
                <w:color w:val="000000"/>
                <w:sz w:val="20"/>
                <w:lang w:val="it-IT" w:eastAsia="it-IT"/>
              </w:rPr>
              <w:t>CEF – Digital</w:t>
            </w:r>
          </w:p>
        </w:tc>
        <w:tc>
          <w:tcPr>
            <w:tcW w:w="462" w:type="pct"/>
            <w:noWrap/>
          </w:tcPr>
          <w:p w14:paraId="61F761E0" w14:textId="77777777" w:rsidR="00127AC3" w:rsidRPr="007233CA" w:rsidRDefault="00127AC3" w:rsidP="00603157">
            <w:pPr>
              <w:spacing w:after="0"/>
              <w:jc w:val="center"/>
              <w:rPr>
                <w:noProof/>
                <w:color w:val="000000"/>
                <w:sz w:val="20"/>
                <w:lang w:eastAsia="it-IT"/>
              </w:rPr>
            </w:pPr>
            <w:r w:rsidRPr="007233CA">
              <w:rPr>
                <w:noProof/>
                <w:color w:val="000000"/>
                <w:sz w:val="20"/>
                <w:lang w:val="it-IT" w:eastAsia="it-IT"/>
              </w:rPr>
              <w:t>21-27</w:t>
            </w:r>
          </w:p>
        </w:tc>
        <w:tc>
          <w:tcPr>
            <w:tcW w:w="463" w:type="pct"/>
            <w:noWrap/>
          </w:tcPr>
          <w:p w14:paraId="6A72BF24" w14:textId="77777777" w:rsidR="00127AC3" w:rsidRPr="007233CA" w:rsidRDefault="00127AC3" w:rsidP="00603157">
            <w:pPr>
              <w:spacing w:after="0"/>
              <w:jc w:val="center"/>
              <w:rPr>
                <w:noProof/>
                <w:color w:val="000000"/>
                <w:sz w:val="20"/>
                <w:lang w:eastAsia="it-IT"/>
              </w:rPr>
            </w:pPr>
            <w:r w:rsidRPr="007233CA">
              <w:rPr>
                <w:noProof/>
                <w:color w:val="000000"/>
                <w:sz w:val="20"/>
                <w:lang w:val="it-IT" w:eastAsia="it-IT"/>
              </w:rPr>
              <w:t>2023</w:t>
            </w:r>
          </w:p>
        </w:tc>
        <w:tc>
          <w:tcPr>
            <w:tcW w:w="612" w:type="pct"/>
            <w:noWrap/>
          </w:tcPr>
          <w:p w14:paraId="4F1BB014" w14:textId="77777777" w:rsidR="00127AC3" w:rsidRPr="007233CA" w:rsidRDefault="00127AC3" w:rsidP="00603157">
            <w:pPr>
              <w:spacing w:after="0"/>
              <w:jc w:val="center"/>
              <w:rPr>
                <w:noProof/>
                <w:color w:val="00B050"/>
                <w:sz w:val="20"/>
                <w:lang w:eastAsia="it-IT"/>
              </w:rPr>
            </w:pPr>
            <w:r w:rsidRPr="007233CA">
              <w:rPr>
                <w:noProof/>
                <w:color w:val="00B050"/>
                <w:sz w:val="20"/>
                <w:lang w:val="it-IT" w:eastAsia="it-IT"/>
              </w:rPr>
              <w:t>229**</w:t>
            </w:r>
          </w:p>
        </w:tc>
        <w:tc>
          <w:tcPr>
            <w:tcW w:w="771" w:type="pct"/>
          </w:tcPr>
          <w:p w14:paraId="743ECD99" w14:textId="77777777" w:rsidR="00127AC3" w:rsidRPr="007233CA" w:rsidRDefault="00127AC3" w:rsidP="00603157">
            <w:pPr>
              <w:spacing w:after="0"/>
              <w:jc w:val="center"/>
              <w:rPr>
                <w:noProof/>
                <w:color w:val="000000"/>
                <w:sz w:val="20"/>
                <w:lang w:eastAsia="it-IT"/>
              </w:rPr>
            </w:pPr>
            <w:r w:rsidRPr="007233CA">
              <w:rPr>
                <w:noProof/>
                <w:color w:val="000000"/>
                <w:sz w:val="20"/>
                <w:lang w:val="en-US" w:eastAsia="it-IT"/>
              </w:rPr>
              <w:t>274</w:t>
            </w:r>
          </w:p>
        </w:tc>
        <w:tc>
          <w:tcPr>
            <w:tcW w:w="1767" w:type="pct"/>
            <w:noWrap/>
          </w:tcPr>
          <w:p w14:paraId="28625AB9" w14:textId="77777777" w:rsidR="00127AC3" w:rsidRPr="007233CA" w:rsidRDefault="00127AC3" w:rsidP="00603157">
            <w:pPr>
              <w:spacing w:after="0"/>
              <w:jc w:val="left"/>
              <w:rPr>
                <w:noProof/>
                <w:color w:val="000000"/>
                <w:sz w:val="20"/>
                <w:lang w:eastAsia="it-IT"/>
              </w:rPr>
            </w:pPr>
            <w:r w:rsidRPr="007233CA">
              <w:rPr>
                <w:noProof/>
                <w:color w:val="000000"/>
                <w:sz w:val="20"/>
                <w:lang w:val="en-US" w:eastAsia="it-IT"/>
              </w:rPr>
              <w:t>HaDEA - Annual Activity Report 2023</w:t>
            </w:r>
          </w:p>
        </w:tc>
      </w:tr>
      <w:tr w:rsidR="008231A1" w:rsidRPr="007233CA" w14:paraId="3B27FCCD" w14:textId="77777777" w:rsidTr="51E02097">
        <w:trPr>
          <w:trHeight w:val="290"/>
        </w:trPr>
        <w:tc>
          <w:tcPr>
            <w:tcW w:w="924" w:type="pct"/>
            <w:noWrap/>
            <w:hideMark/>
          </w:tcPr>
          <w:p w14:paraId="73ADCD08"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EDF</w:t>
            </w:r>
          </w:p>
        </w:tc>
        <w:tc>
          <w:tcPr>
            <w:tcW w:w="462" w:type="pct"/>
            <w:noWrap/>
            <w:hideMark/>
          </w:tcPr>
          <w:p w14:paraId="6D9FA8A9"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211645DF"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2021</w:t>
            </w:r>
          </w:p>
        </w:tc>
        <w:tc>
          <w:tcPr>
            <w:tcW w:w="612" w:type="pct"/>
            <w:noWrap/>
            <w:hideMark/>
          </w:tcPr>
          <w:p w14:paraId="6E8333D5" w14:textId="77777777" w:rsidR="00127AC3" w:rsidRPr="007233CA" w:rsidRDefault="00127AC3" w:rsidP="00603157">
            <w:pPr>
              <w:spacing w:after="0"/>
              <w:jc w:val="center"/>
              <w:rPr>
                <w:noProof/>
                <w:color w:val="C00000"/>
                <w:sz w:val="20"/>
                <w:lang w:eastAsia="it-IT"/>
              </w:rPr>
            </w:pPr>
            <w:r w:rsidRPr="007233CA">
              <w:rPr>
                <w:noProof/>
                <w:color w:val="C00000"/>
                <w:sz w:val="20"/>
                <w:lang w:eastAsia="it-IT"/>
              </w:rPr>
              <w:t>342</w:t>
            </w:r>
          </w:p>
        </w:tc>
        <w:tc>
          <w:tcPr>
            <w:tcW w:w="771" w:type="pct"/>
          </w:tcPr>
          <w:p w14:paraId="3A685895"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274</w:t>
            </w:r>
          </w:p>
        </w:tc>
        <w:tc>
          <w:tcPr>
            <w:tcW w:w="1767" w:type="pct"/>
            <w:noWrap/>
            <w:hideMark/>
          </w:tcPr>
          <w:p w14:paraId="501B1CAD"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DG DEFIS - Annual Activity Report 2022</w:t>
            </w:r>
          </w:p>
        </w:tc>
      </w:tr>
      <w:tr w:rsidR="008231A1" w:rsidRPr="007233CA" w14:paraId="28ABE6AB" w14:textId="77777777" w:rsidTr="51E02097">
        <w:trPr>
          <w:trHeight w:val="290"/>
        </w:trPr>
        <w:tc>
          <w:tcPr>
            <w:tcW w:w="924" w:type="pct"/>
            <w:noWrap/>
            <w:hideMark/>
          </w:tcPr>
          <w:p w14:paraId="081A2A27"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EDF</w:t>
            </w:r>
          </w:p>
        </w:tc>
        <w:tc>
          <w:tcPr>
            <w:tcW w:w="462" w:type="pct"/>
            <w:noWrap/>
            <w:hideMark/>
          </w:tcPr>
          <w:p w14:paraId="6ECFE04C"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37DCC469"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2022</w:t>
            </w:r>
          </w:p>
        </w:tc>
        <w:tc>
          <w:tcPr>
            <w:tcW w:w="612" w:type="pct"/>
            <w:noWrap/>
            <w:hideMark/>
          </w:tcPr>
          <w:p w14:paraId="2B67D347" w14:textId="77777777" w:rsidR="00127AC3" w:rsidRPr="007233CA" w:rsidRDefault="00127AC3" w:rsidP="00603157">
            <w:pPr>
              <w:spacing w:after="0"/>
              <w:jc w:val="center"/>
              <w:rPr>
                <w:noProof/>
                <w:color w:val="C00000"/>
                <w:sz w:val="20"/>
                <w:lang w:eastAsia="it-IT"/>
              </w:rPr>
            </w:pPr>
            <w:r w:rsidRPr="007233CA">
              <w:rPr>
                <w:noProof/>
                <w:color w:val="C00000"/>
                <w:sz w:val="20"/>
                <w:lang w:eastAsia="it-IT"/>
              </w:rPr>
              <w:t>354</w:t>
            </w:r>
          </w:p>
        </w:tc>
        <w:tc>
          <w:tcPr>
            <w:tcW w:w="771" w:type="pct"/>
          </w:tcPr>
          <w:p w14:paraId="49210A2F"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274</w:t>
            </w:r>
          </w:p>
        </w:tc>
        <w:tc>
          <w:tcPr>
            <w:tcW w:w="1767" w:type="pct"/>
            <w:noWrap/>
            <w:hideMark/>
          </w:tcPr>
          <w:p w14:paraId="13907A2E"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DG DEFIS - Annual Activity Report 2023</w:t>
            </w:r>
          </w:p>
        </w:tc>
      </w:tr>
      <w:tr w:rsidR="008231A1" w:rsidRPr="007233CA" w14:paraId="3D6E73F5" w14:textId="77777777" w:rsidTr="51E02097">
        <w:trPr>
          <w:trHeight w:val="290"/>
        </w:trPr>
        <w:tc>
          <w:tcPr>
            <w:tcW w:w="924" w:type="pct"/>
            <w:noWrap/>
            <w:hideMark/>
          </w:tcPr>
          <w:p w14:paraId="65BCEB30"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EDF</w:t>
            </w:r>
          </w:p>
        </w:tc>
        <w:tc>
          <w:tcPr>
            <w:tcW w:w="462" w:type="pct"/>
            <w:noWrap/>
            <w:hideMark/>
          </w:tcPr>
          <w:p w14:paraId="1B976BB4"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1B0B9503"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2023</w:t>
            </w:r>
          </w:p>
        </w:tc>
        <w:tc>
          <w:tcPr>
            <w:tcW w:w="612" w:type="pct"/>
            <w:noWrap/>
            <w:hideMark/>
          </w:tcPr>
          <w:p w14:paraId="2660458B" w14:textId="77777777" w:rsidR="00127AC3" w:rsidRPr="007233CA" w:rsidRDefault="00127AC3" w:rsidP="00603157">
            <w:pPr>
              <w:spacing w:after="0"/>
              <w:jc w:val="center"/>
              <w:rPr>
                <w:noProof/>
                <w:color w:val="C00000"/>
                <w:sz w:val="20"/>
                <w:lang w:eastAsia="it-IT"/>
              </w:rPr>
            </w:pPr>
            <w:r w:rsidRPr="007233CA">
              <w:rPr>
                <w:noProof/>
                <w:color w:val="C00000"/>
                <w:sz w:val="20"/>
                <w:lang w:eastAsia="it-IT"/>
              </w:rPr>
              <w:t>374</w:t>
            </w:r>
          </w:p>
        </w:tc>
        <w:tc>
          <w:tcPr>
            <w:tcW w:w="771" w:type="pct"/>
          </w:tcPr>
          <w:p w14:paraId="5658BAD7"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274</w:t>
            </w:r>
          </w:p>
        </w:tc>
        <w:tc>
          <w:tcPr>
            <w:tcW w:w="1767" w:type="pct"/>
            <w:noWrap/>
            <w:hideMark/>
          </w:tcPr>
          <w:p w14:paraId="25049FAD"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DG DEFIS - Annual Activity Report 2023</w:t>
            </w:r>
          </w:p>
        </w:tc>
      </w:tr>
      <w:tr w:rsidR="008231A1" w:rsidRPr="007233CA" w14:paraId="0755858D" w14:textId="77777777" w:rsidTr="51E02097">
        <w:trPr>
          <w:trHeight w:val="290"/>
        </w:trPr>
        <w:tc>
          <w:tcPr>
            <w:tcW w:w="924" w:type="pct"/>
            <w:noWrap/>
          </w:tcPr>
          <w:p w14:paraId="51635C1D" w14:textId="77777777" w:rsidR="00127AC3" w:rsidRPr="007233CA" w:rsidRDefault="00127AC3" w:rsidP="00603157">
            <w:pPr>
              <w:spacing w:after="0"/>
              <w:jc w:val="left"/>
              <w:rPr>
                <w:noProof/>
                <w:color w:val="000000"/>
                <w:sz w:val="20"/>
                <w:lang w:eastAsia="it-IT"/>
              </w:rPr>
            </w:pPr>
            <w:r w:rsidRPr="007233CA">
              <w:rPr>
                <w:noProof/>
                <w:color w:val="000000"/>
                <w:sz w:val="20"/>
                <w:lang w:val="it-IT" w:eastAsia="it-IT"/>
              </w:rPr>
              <w:t>EU4Health</w:t>
            </w:r>
          </w:p>
        </w:tc>
        <w:tc>
          <w:tcPr>
            <w:tcW w:w="462" w:type="pct"/>
            <w:noWrap/>
          </w:tcPr>
          <w:p w14:paraId="6BD1A3C4" w14:textId="77777777" w:rsidR="00127AC3" w:rsidRPr="007233CA" w:rsidRDefault="00127AC3" w:rsidP="00603157">
            <w:pPr>
              <w:spacing w:after="0"/>
              <w:jc w:val="center"/>
              <w:rPr>
                <w:noProof/>
                <w:color w:val="000000"/>
                <w:sz w:val="20"/>
                <w:lang w:eastAsia="it-IT"/>
              </w:rPr>
            </w:pPr>
            <w:r w:rsidRPr="007233CA">
              <w:rPr>
                <w:noProof/>
                <w:color w:val="000000"/>
                <w:sz w:val="20"/>
                <w:lang w:val="it-IT" w:eastAsia="it-IT"/>
              </w:rPr>
              <w:t>21-27</w:t>
            </w:r>
          </w:p>
        </w:tc>
        <w:tc>
          <w:tcPr>
            <w:tcW w:w="463" w:type="pct"/>
            <w:noWrap/>
          </w:tcPr>
          <w:p w14:paraId="6484913C" w14:textId="77777777" w:rsidR="00127AC3" w:rsidRPr="007233CA" w:rsidRDefault="00127AC3" w:rsidP="00603157">
            <w:pPr>
              <w:spacing w:after="0"/>
              <w:jc w:val="center"/>
              <w:rPr>
                <w:noProof/>
                <w:color w:val="000000"/>
                <w:sz w:val="20"/>
                <w:lang w:val="it-IT" w:eastAsia="it-IT"/>
              </w:rPr>
            </w:pPr>
            <w:r w:rsidRPr="007233CA">
              <w:rPr>
                <w:noProof/>
                <w:color w:val="000000"/>
                <w:sz w:val="20"/>
                <w:lang w:val="it-IT" w:eastAsia="it-IT"/>
              </w:rPr>
              <w:t>2023</w:t>
            </w:r>
          </w:p>
        </w:tc>
        <w:tc>
          <w:tcPr>
            <w:tcW w:w="612" w:type="pct"/>
            <w:noWrap/>
          </w:tcPr>
          <w:p w14:paraId="4CC48E87" w14:textId="77777777" w:rsidR="00127AC3" w:rsidRPr="007233CA" w:rsidRDefault="00127AC3" w:rsidP="00603157">
            <w:pPr>
              <w:spacing w:after="0"/>
              <w:jc w:val="center"/>
              <w:rPr>
                <w:noProof/>
                <w:color w:val="00B050"/>
                <w:sz w:val="20"/>
                <w:lang w:eastAsia="it-IT"/>
              </w:rPr>
            </w:pPr>
            <w:r w:rsidRPr="007233CA">
              <w:rPr>
                <w:noProof/>
                <w:color w:val="00B050"/>
                <w:sz w:val="20"/>
                <w:lang w:val="it-IT" w:eastAsia="it-IT"/>
              </w:rPr>
              <w:t>229**</w:t>
            </w:r>
          </w:p>
        </w:tc>
        <w:tc>
          <w:tcPr>
            <w:tcW w:w="771" w:type="pct"/>
          </w:tcPr>
          <w:p w14:paraId="2B9CA1D1" w14:textId="77777777" w:rsidR="00127AC3" w:rsidRPr="007233CA" w:rsidRDefault="00127AC3" w:rsidP="00603157">
            <w:pPr>
              <w:spacing w:after="0"/>
              <w:jc w:val="center"/>
              <w:rPr>
                <w:noProof/>
                <w:color w:val="000000"/>
                <w:sz w:val="20"/>
                <w:lang w:eastAsia="it-IT"/>
              </w:rPr>
            </w:pPr>
            <w:r w:rsidRPr="007233CA">
              <w:rPr>
                <w:noProof/>
                <w:color w:val="000000"/>
                <w:sz w:val="20"/>
                <w:lang w:val="en-US" w:eastAsia="it-IT"/>
              </w:rPr>
              <w:t>274</w:t>
            </w:r>
          </w:p>
        </w:tc>
        <w:tc>
          <w:tcPr>
            <w:tcW w:w="1767" w:type="pct"/>
            <w:noWrap/>
          </w:tcPr>
          <w:p w14:paraId="32F8A16C" w14:textId="77777777" w:rsidR="00127AC3" w:rsidRPr="007233CA" w:rsidRDefault="00127AC3" w:rsidP="00603157">
            <w:pPr>
              <w:spacing w:after="0"/>
              <w:jc w:val="left"/>
              <w:rPr>
                <w:noProof/>
                <w:color w:val="000000"/>
                <w:sz w:val="20"/>
                <w:lang w:eastAsia="it-IT"/>
              </w:rPr>
            </w:pPr>
            <w:r w:rsidRPr="007233CA">
              <w:rPr>
                <w:noProof/>
                <w:color w:val="000000"/>
                <w:sz w:val="20"/>
                <w:lang w:val="en-US" w:eastAsia="it-IT"/>
              </w:rPr>
              <w:t>HaDEA - Annual Activity Report 2023</w:t>
            </w:r>
          </w:p>
        </w:tc>
      </w:tr>
      <w:tr w:rsidR="008231A1" w:rsidRPr="007233CA" w14:paraId="6CAADE1C" w14:textId="77777777" w:rsidTr="51E02097">
        <w:trPr>
          <w:trHeight w:val="290"/>
        </w:trPr>
        <w:tc>
          <w:tcPr>
            <w:tcW w:w="924" w:type="pct"/>
            <w:noWrap/>
            <w:hideMark/>
          </w:tcPr>
          <w:p w14:paraId="76F1397A"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SMP – SME Pillar</w:t>
            </w:r>
          </w:p>
        </w:tc>
        <w:tc>
          <w:tcPr>
            <w:tcW w:w="462" w:type="pct"/>
            <w:noWrap/>
            <w:hideMark/>
          </w:tcPr>
          <w:p w14:paraId="1F36F38F"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21-27</w:t>
            </w:r>
          </w:p>
        </w:tc>
        <w:tc>
          <w:tcPr>
            <w:tcW w:w="463" w:type="pct"/>
            <w:noWrap/>
            <w:hideMark/>
          </w:tcPr>
          <w:p w14:paraId="1A2A80B4" w14:textId="77777777" w:rsidR="00127AC3" w:rsidRPr="007233CA" w:rsidRDefault="00127AC3" w:rsidP="00603157">
            <w:pPr>
              <w:spacing w:after="0"/>
              <w:jc w:val="center"/>
              <w:rPr>
                <w:noProof/>
                <w:color w:val="000000"/>
                <w:sz w:val="20"/>
                <w:lang w:eastAsia="it-IT"/>
              </w:rPr>
            </w:pPr>
            <w:r w:rsidRPr="007233CA">
              <w:rPr>
                <w:noProof/>
                <w:color w:val="000000"/>
                <w:sz w:val="20"/>
                <w:lang w:val="it-IT" w:eastAsia="it-IT"/>
              </w:rPr>
              <w:t>21-23</w:t>
            </w:r>
          </w:p>
        </w:tc>
        <w:tc>
          <w:tcPr>
            <w:tcW w:w="612" w:type="pct"/>
            <w:noWrap/>
            <w:hideMark/>
          </w:tcPr>
          <w:p w14:paraId="6B98455E"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218</w:t>
            </w:r>
          </w:p>
        </w:tc>
        <w:tc>
          <w:tcPr>
            <w:tcW w:w="771" w:type="pct"/>
          </w:tcPr>
          <w:p w14:paraId="4BAA0808"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274</w:t>
            </w:r>
          </w:p>
        </w:tc>
        <w:tc>
          <w:tcPr>
            <w:tcW w:w="1767" w:type="pct"/>
            <w:noWrap/>
            <w:hideMark/>
          </w:tcPr>
          <w:p w14:paraId="5502EF80"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Mid-term evaluation SME pillar of SMP</w:t>
            </w:r>
          </w:p>
        </w:tc>
      </w:tr>
      <w:tr w:rsidR="008231A1" w:rsidRPr="007233CA" w14:paraId="406F1CF9" w14:textId="77777777" w:rsidTr="51E02097">
        <w:trPr>
          <w:trHeight w:val="290"/>
        </w:trPr>
        <w:tc>
          <w:tcPr>
            <w:tcW w:w="924" w:type="pct"/>
            <w:noWrap/>
            <w:hideMark/>
          </w:tcPr>
          <w:p w14:paraId="7217C57D"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COSME</w:t>
            </w:r>
          </w:p>
        </w:tc>
        <w:tc>
          <w:tcPr>
            <w:tcW w:w="462" w:type="pct"/>
            <w:noWrap/>
            <w:hideMark/>
          </w:tcPr>
          <w:p w14:paraId="15004D37"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14-20</w:t>
            </w:r>
          </w:p>
        </w:tc>
        <w:tc>
          <w:tcPr>
            <w:tcW w:w="463" w:type="pct"/>
            <w:noWrap/>
            <w:hideMark/>
          </w:tcPr>
          <w:p w14:paraId="479EF3BF" w14:textId="77777777" w:rsidR="00127AC3" w:rsidRPr="007233CA" w:rsidRDefault="00127AC3" w:rsidP="00603157">
            <w:pPr>
              <w:spacing w:after="0"/>
              <w:jc w:val="center"/>
              <w:rPr>
                <w:noProof/>
                <w:color w:val="000000"/>
                <w:sz w:val="20"/>
                <w:lang w:eastAsia="it-IT"/>
              </w:rPr>
            </w:pPr>
            <w:r w:rsidRPr="007233CA">
              <w:rPr>
                <w:noProof/>
                <w:color w:val="000000"/>
                <w:sz w:val="20"/>
                <w:lang w:val="it-IT" w:eastAsia="it-IT"/>
              </w:rPr>
              <w:t>14-20</w:t>
            </w:r>
          </w:p>
        </w:tc>
        <w:tc>
          <w:tcPr>
            <w:tcW w:w="612" w:type="pct"/>
            <w:noWrap/>
            <w:hideMark/>
          </w:tcPr>
          <w:p w14:paraId="37F9CC24" w14:textId="77777777" w:rsidR="00127AC3" w:rsidRPr="007233CA" w:rsidRDefault="00127AC3" w:rsidP="00603157">
            <w:pPr>
              <w:spacing w:after="0"/>
              <w:jc w:val="center"/>
              <w:rPr>
                <w:noProof/>
                <w:color w:val="00B050"/>
                <w:sz w:val="20"/>
                <w:lang w:eastAsia="it-IT"/>
              </w:rPr>
            </w:pPr>
            <w:r w:rsidRPr="007233CA">
              <w:rPr>
                <w:noProof/>
                <w:color w:val="00B050"/>
                <w:sz w:val="20"/>
                <w:lang w:eastAsia="it-IT"/>
              </w:rPr>
              <w:t>226</w:t>
            </w:r>
          </w:p>
        </w:tc>
        <w:tc>
          <w:tcPr>
            <w:tcW w:w="771" w:type="pct"/>
          </w:tcPr>
          <w:p w14:paraId="05194E2F" w14:textId="77777777" w:rsidR="00127AC3" w:rsidRPr="007233CA" w:rsidRDefault="00127AC3" w:rsidP="00603157">
            <w:pPr>
              <w:spacing w:after="0"/>
              <w:jc w:val="center"/>
              <w:rPr>
                <w:noProof/>
                <w:color w:val="000000"/>
                <w:sz w:val="20"/>
                <w:lang w:eastAsia="it-IT"/>
              </w:rPr>
            </w:pPr>
            <w:r w:rsidRPr="007233CA">
              <w:rPr>
                <w:noProof/>
                <w:color w:val="000000"/>
                <w:sz w:val="20"/>
                <w:lang w:eastAsia="it-IT"/>
              </w:rPr>
              <w:t>274</w:t>
            </w:r>
          </w:p>
        </w:tc>
        <w:tc>
          <w:tcPr>
            <w:tcW w:w="1767" w:type="pct"/>
            <w:noWrap/>
            <w:hideMark/>
          </w:tcPr>
          <w:p w14:paraId="36D91107" w14:textId="77777777" w:rsidR="00127AC3" w:rsidRPr="007233CA" w:rsidRDefault="00127AC3" w:rsidP="00603157">
            <w:pPr>
              <w:spacing w:after="0"/>
              <w:jc w:val="left"/>
              <w:rPr>
                <w:noProof/>
                <w:color w:val="000000"/>
                <w:sz w:val="20"/>
                <w:lang w:eastAsia="it-IT"/>
              </w:rPr>
            </w:pPr>
            <w:r w:rsidRPr="007233CA">
              <w:rPr>
                <w:noProof/>
                <w:color w:val="000000"/>
                <w:sz w:val="20"/>
                <w:lang w:eastAsia="it-IT"/>
              </w:rPr>
              <w:t>Mid-term evaluation SME pillar of SMP</w:t>
            </w:r>
          </w:p>
        </w:tc>
      </w:tr>
    </w:tbl>
    <w:p w14:paraId="6DF1C006" w14:textId="27F2D695" w:rsidR="00081165" w:rsidRPr="00846210" w:rsidRDefault="00081165" w:rsidP="00603157">
      <w:pPr>
        <w:pStyle w:val="Caption"/>
        <w:keepNext/>
        <w:rPr>
          <w:noProof/>
          <w:lang w:val="en-US"/>
        </w:rPr>
      </w:pPr>
    </w:p>
    <w:tbl>
      <w:tblPr>
        <w:tblStyle w:val="TableGrid"/>
        <w:tblW w:w="10065" w:type="dxa"/>
        <w:tblInd w:w="-431" w:type="dxa"/>
        <w:tblLook w:val="04A0" w:firstRow="1" w:lastRow="0" w:firstColumn="1" w:lastColumn="0" w:noHBand="0" w:noVBand="1"/>
      </w:tblPr>
      <w:tblGrid>
        <w:gridCol w:w="1503"/>
        <w:gridCol w:w="1359"/>
        <w:gridCol w:w="1183"/>
        <w:gridCol w:w="1134"/>
        <w:gridCol w:w="4886"/>
      </w:tblGrid>
      <w:tr w:rsidR="008231A1" w:rsidRPr="007233CA" w14:paraId="79379DA3" w14:textId="77777777" w:rsidTr="00603157">
        <w:trPr>
          <w:trHeight w:val="1170"/>
        </w:trPr>
        <w:tc>
          <w:tcPr>
            <w:tcW w:w="0" w:type="auto"/>
            <w:hideMark/>
          </w:tcPr>
          <w:p w14:paraId="54171B9E" w14:textId="77777777" w:rsidR="0080194B" w:rsidRPr="007233CA" w:rsidRDefault="0080194B" w:rsidP="00603157">
            <w:pPr>
              <w:spacing w:after="0"/>
              <w:jc w:val="center"/>
              <w:rPr>
                <w:b/>
                <w:bCs/>
                <w:noProof/>
                <w:color w:val="000000"/>
                <w:sz w:val="20"/>
                <w:lang w:eastAsia="it-IT"/>
              </w:rPr>
            </w:pPr>
            <w:r w:rsidRPr="007233CA">
              <w:rPr>
                <w:b/>
                <w:bCs/>
                <w:noProof/>
                <w:sz w:val="20"/>
              </w:rPr>
              <w:t>Programme</w:t>
            </w:r>
          </w:p>
        </w:tc>
        <w:tc>
          <w:tcPr>
            <w:tcW w:w="0" w:type="auto"/>
            <w:hideMark/>
          </w:tcPr>
          <w:p w14:paraId="158B4C80" w14:textId="77777777" w:rsidR="0080194B" w:rsidRPr="007233CA" w:rsidRDefault="0080194B" w:rsidP="00603157">
            <w:pPr>
              <w:spacing w:after="0"/>
              <w:jc w:val="center"/>
              <w:rPr>
                <w:b/>
                <w:bCs/>
                <w:noProof/>
                <w:color w:val="000000"/>
                <w:sz w:val="20"/>
                <w:lang w:eastAsia="it-IT"/>
              </w:rPr>
            </w:pPr>
            <w:r w:rsidRPr="007233CA">
              <w:rPr>
                <w:b/>
                <w:bCs/>
                <w:noProof/>
                <w:sz w:val="20"/>
              </w:rPr>
              <w:t>Related MFF</w:t>
            </w:r>
          </w:p>
        </w:tc>
        <w:tc>
          <w:tcPr>
            <w:tcW w:w="1183" w:type="dxa"/>
            <w:hideMark/>
          </w:tcPr>
          <w:p w14:paraId="1C0284A6" w14:textId="77777777" w:rsidR="0080194B" w:rsidRPr="007233CA" w:rsidRDefault="0080194B" w:rsidP="00603157">
            <w:pPr>
              <w:spacing w:after="0"/>
              <w:jc w:val="center"/>
              <w:rPr>
                <w:b/>
                <w:bCs/>
                <w:noProof/>
                <w:color w:val="000000"/>
                <w:sz w:val="20"/>
                <w:lang w:eastAsia="it-IT"/>
              </w:rPr>
            </w:pPr>
            <w:r w:rsidRPr="007233CA">
              <w:rPr>
                <w:b/>
                <w:bCs/>
                <w:noProof/>
                <w:sz w:val="20"/>
              </w:rPr>
              <w:t>Reference period</w:t>
            </w:r>
          </w:p>
        </w:tc>
        <w:tc>
          <w:tcPr>
            <w:tcW w:w="1134" w:type="dxa"/>
            <w:hideMark/>
          </w:tcPr>
          <w:p w14:paraId="27A785FC" w14:textId="77777777" w:rsidR="0080194B" w:rsidRPr="007233CA" w:rsidRDefault="0080194B" w:rsidP="00603157">
            <w:pPr>
              <w:spacing w:after="0"/>
              <w:jc w:val="center"/>
              <w:rPr>
                <w:b/>
                <w:bCs/>
                <w:noProof/>
                <w:sz w:val="20"/>
              </w:rPr>
            </w:pPr>
            <w:r w:rsidRPr="007233CA">
              <w:rPr>
                <w:b/>
                <w:bCs/>
                <w:noProof/>
                <w:sz w:val="20"/>
              </w:rPr>
              <w:t xml:space="preserve">Success rate </w:t>
            </w:r>
          </w:p>
          <w:p w14:paraId="60CBD86E" w14:textId="77777777" w:rsidR="0080194B" w:rsidRPr="007233CA" w:rsidRDefault="0080194B" w:rsidP="00603157">
            <w:pPr>
              <w:spacing w:after="0"/>
              <w:jc w:val="center"/>
              <w:rPr>
                <w:b/>
                <w:bCs/>
                <w:noProof/>
                <w:color w:val="000000"/>
                <w:sz w:val="20"/>
                <w:lang w:eastAsia="it-IT"/>
              </w:rPr>
            </w:pPr>
            <w:r w:rsidRPr="007233CA">
              <w:rPr>
                <w:b/>
                <w:bCs/>
                <w:noProof/>
                <w:sz w:val="20"/>
              </w:rPr>
              <w:t>(%)</w:t>
            </w:r>
          </w:p>
        </w:tc>
        <w:tc>
          <w:tcPr>
            <w:tcW w:w="4886" w:type="dxa"/>
          </w:tcPr>
          <w:p w14:paraId="073AE388" w14:textId="77777777" w:rsidR="0080194B" w:rsidRPr="007233CA" w:rsidRDefault="0080194B" w:rsidP="00603157">
            <w:pPr>
              <w:spacing w:after="0"/>
              <w:jc w:val="center"/>
              <w:rPr>
                <w:b/>
                <w:bCs/>
                <w:noProof/>
                <w:sz w:val="20"/>
              </w:rPr>
            </w:pPr>
            <w:r w:rsidRPr="007233CA">
              <w:rPr>
                <w:b/>
                <w:bCs/>
                <w:noProof/>
                <w:sz w:val="20"/>
              </w:rPr>
              <w:t>Source</w:t>
            </w:r>
          </w:p>
        </w:tc>
      </w:tr>
      <w:tr w:rsidR="008231A1" w:rsidRPr="007233CA" w14:paraId="61280D4A" w14:textId="77777777" w:rsidTr="00603157">
        <w:trPr>
          <w:trHeight w:val="290"/>
        </w:trPr>
        <w:tc>
          <w:tcPr>
            <w:tcW w:w="0" w:type="auto"/>
            <w:noWrap/>
            <w:hideMark/>
          </w:tcPr>
          <w:p w14:paraId="65A7701F"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Horizon 2020</w:t>
            </w:r>
          </w:p>
        </w:tc>
        <w:tc>
          <w:tcPr>
            <w:tcW w:w="0" w:type="auto"/>
            <w:noWrap/>
            <w:hideMark/>
          </w:tcPr>
          <w:p w14:paraId="6385437B"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14-20</w:t>
            </w:r>
          </w:p>
        </w:tc>
        <w:tc>
          <w:tcPr>
            <w:tcW w:w="1183" w:type="dxa"/>
            <w:noWrap/>
            <w:hideMark/>
          </w:tcPr>
          <w:p w14:paraId="0A7AA6F2"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Total</w:t>
            </w:r>
          </w:p>
        </w:tc>
        <w:tc>
          <w:tcPr>
            <w:tcW w:w="1134" w:type="dxa"/>
            <w:noWrap/>
            <w:hideMark/>
          </w:tcPr>
          <w:p w14:paraId="1E633C8D"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12</w:t>
            </w:r>
          </w:p>
        </w:tc>
        <w:tc>
          <w:tcPr>
            <w:tcW w:w="4886" w:type="dxa"/>
          </w:tcPr>
          <w:p w14:paraId="6016AE42"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Ex post evaluation of Horizon 2020</w:t>
            </w:r>
          </w:p>
        </w:tc>
      </w:tr>
      <w:tr w:rsidR="008231A1" w:rsidRPr="007233CA" w14:paraId="4DF7DC2C" w14:textId="77777777" w:rsidTr="00603157">
        <w:trPr>
          <w:trHeight w:val="290"/>
        </w:trPr>
        <w:tc>
          <w:tcPr>
            <w:tcW w:w="0" w:type="auto"/>
            <w:noWrap/>
            <w:hideMark/>
          </w:tcPr>
          <w:p w14:paraId="5892BEA0"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Horizon Europe</w:t>
            </w:r>
          </w:p>
        </w:tc>
        <w:tc>
          <w:tcPr>
            <w:tcW w:w="0" w:type="auto"/>
            <w:noWrap/>
            <w:hideMark/>
          </w:tcPr>
          <w:p w14:paraId="10A7EBCD"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21-27</w:t>
            </w:r>
          </w:p>
        </w:tc>
        <w:tc>
          <w:tcPr>
            <w:tcW w:w="1183" w:type="dxa"/>
            <w:noWrap/>
            <w:hideMark/>
          </w:tcPr>
          <w:p w14:paraId="150DCBA0"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Total</w:t>
            </w:r>
          </w:p>
        </w:tc>
        <w:tc>
          <w:tcPr>
            <w:tcW w:w="1134" w:type="dxa"/>
            <w:noWrap/>
            <w:hideMark/>
          </w:tcPr>
          <w:p w14:paraId="4D497CC9"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16</w:t>
            </w:r>
          </w:p>
        </w:tc>
        <w:tc>
          <w:tcPr>
            <w:tcW w:w="4886" w:type="dxa"/>
          </w:tcPr>
          <w:p w14:paraId="174505B0"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 xml:space="preserve">Interim evaluation of Horizon Europe </w:t>
            </w:r>
          </w:p>
        </w:tc>
      </w:tr>
      <w:tr w:rsidR="008231A1" w:rsidRPr="007233CA" w14:paraId="72C5E59B" w14:textId="77777777" w:rsidTr="00603157">
        <w:trPr>
          <w:trHeight w:val="290"/>
        </w:trPr>
        <w:tc>
          <w:tcPr>
            <w:tcW w:w="0" w:type="auto"/>
            <w:noWrap/>
            <w:hideMark/>
          </w:tcPr>
          <w:p w14:paraId="38C65668"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 xml:space="preserve">Digital Europe </w:t>
            </w:r>
          </w:p>
        </w:tc>
        <w:tc>
          <w:tcPr>
            <w:tcW w:w="0" w:type="auto"/>
            <w:noWrap/>
            <w:hideMark/>
          </w:tcPr>
          <w:p w14:paraId="2BEDA621"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21-27</w:t>
            </w:r>
          </w:p>
        </w:tc>
        <w:tc>
          <w:tcPr>
            <w:tcW w:w="1183" w:type="dxa"/>
            <w:noWrap/>
            <w:hideMark/>
          </w:tcPr>
          <w:p w14:paraId="570B0B5D"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2023</w:t>
            </w:r>
          </w:p>
        </w:tc>
        <w:tc>
          <w:tcPr>
            <w:tcW w:w="1134" w:type="dxa"/>
            <w:noWrap/>
            <w:hideMark/>
          </w:tcPr>
          <w:p w14:paraId="5DBFE4A5"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66</w:t>
            </w:r>
          </w:p>
        </w:tc>
        <w:tc>
          <w:tcPr>
            <w:tcW w:w="4886" w:type="dxa"/>
          </w:tcPr>
          <w:p w14:paraId="25B3836E"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HaDEA - Annual Activity Report 2023</w:t>
            </w:r>
          </w:p>
        </w:tc>
      </w:tr>
      <w:tr w:rsidR="008231A1" w:rsidRPr="007233CA" w14:paraId="7988582C" w14:textId="77777777" w:rsidTr="00603157">
        <w:trPr>
          <w:trHeight w:val="290"/>
        </w:trPr>
        <w:tc>
          <w:tcPr>
            <w:tcW w:w="0" w:type="auto"/>
            <w:noWrap/>
            <w:hideMark/>
          </w:tcPr>
          <w:p w14:paraId="2D065290"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Digital Europe</w:t>
            </w:r>
          </w:p>
        </w:tc>
        <w:tc>
          <w:tcPr>
            <w:tcW w:w="0" w:type="auto"/>
            <w:noWrap/>
            <w:hideMark/>
          </w:tcPr>
          <w:p w14:paraId="669A1D7A"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21-27</w:t>
            </w:r>
          </w:p>
        </w:tc>
        <w:tc>
          <w:tcPr>
            <w:tcW w:w="1183" w:type="dxa"/>
            <w:noWrap/>
            <w:hideMark/>
          </w:tcPr>
          <w:p w14:paraId="4169AFE1"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2022</w:t>
            </w:r>
          </w:p>
        </w:tc>
        <w:tc>
          <w:tcPr>
            <w:tcW w:w="1134" w:type="dxa"/>
            <w:noWrap/>
            <w:hideMark/>
          </w:tcPr>
          <w:p w14:paraId="0E8D2D6C"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72</w:t>
            </w:r>
          </w:p>
        </w:tc>
        <w:tc>
          <w:tcPr>
            <w:tcW w:w="4886" w:type="dxa"/>
          </w:tcPr>
          <w:p w14:paraId="5914442D"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HaDEA - Annual Activity Report 2023</w:t>
            </w:r>
          </w:p>
        </w:tc>
      </w:tr>
      <w:tr w:rsidR="008231A1" w:rsidRPr="007233CA" w14:paraId="1A7F9097" w14:textId="77777777" w:rsidTr="00603157">
        <w:trPr>
          <w:trHeight w:val="290"/>
        </w:trPr>
        <w:tc>
          <w:tcPr>
            <w:tcW w:w="0" w:type="auto"/>
            <w:noWrap/>
            <w:hideMark/>
          </w:tcPr>
          <w:p w14:paraId="7EAB8A6A"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CEF</w:t>
            </w:r>
          </w:p>
        </w:tc>
        <w:tc>
          <w:tcPr>
            <w:tcW w:w="0" w:type="auto"/>
            <w:noWrap/>
            <w:hideMark/>
          </w:tcPr>
          <w:p w14:paraId="15E9FD38"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14-20</w:t>
            </w:r>
          </w:p>
        </w:tc>
        <w:tc>
          <w:tcPr>
            <w:tcW w:w="1183" w:type="dxa"/>
            <w:noWrap/>
            <w:hideMark/>
          </w:tcPr>
          <w:p w14:paraId="4CA418CC"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Total</w:t>
            </w:r>
          </w:p>
        </w:tc>
        <w:tc>
          <w:tcPr>
            <w:tcW w:w="1134" w:type="dxa"/>
            <w:noWrap/>
            <w:hideMark/>
          </w:tcPr>
          <w:p w14:paraId="4E582093"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51</w:t>
            </w:r>
          </w:p>
        </w:tc>
        <w:tc>
          <w:tcPr>
            <w:tcW w:w="4886" w:type="dxa"/>
          </w:tcPr>
          <w:p w14:paraId="25E698C5"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Mid-term evaluation of CEF 14-20</w:t>
            </w:r>
          </w:p>
        </w:tc>
      </w:tr>
      <w:tr w:rsidR="008231A1" w:rsidRPr="007233CA" w14:paraId="35F50359" w14:textId="77777777" w:rsidTr="00603157">
        <w:trPr>
          <w:trHeight w:val="290"/>
        </w:trPr>
        <w:tc>
          <w:tcPr>
            <w:tcW w:w="0" w:type="auto"/>
            <w:noWrap/>
            <w:hideMark/>
          </w:tcPr>
          <w:p w14:paraId="2ADAAE39"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CEF-Energy</w:t>
            </w:r>
          </w:p>
        </w:tc>
        <w:tc>
          <w:tcPr>
            <w:tcW w:w="0" w:type="auto"/>
            <w:noWrap/>
            <w:hideMark/>
          </w:tcPr>
          <w:p w14:paraId="225A917B"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14-20</w:t>
            </w:r>
          </w:p>
        </w:tc>
        <w:tc>
          <w:tcPr>
            <w:tcW w:w="1183" w:type="dxa"/>
            <w:noWrap/>
            <w:hideMark/>
          </w:tcPr>
          <w:p w14:paraId="078BEE2F"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Total</w:t>
            </w:r>
          </w:p>
        </w:tc>
        <w:tc>
          <w:tcPr>
            <w:tcW w:w="1134" w:type="dxa"/>
            <w:noWrap/>
            <w:hideMark/>
          </w:tcPr>
          <w:p w14:paraId="1E3D3407"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64</w:t>
            </w:r>
          </w:p>
        </w:tc>
        <w:tc>
          <w:tcPr>
            <w:tcW w:w="4886" w:type="dxa"/>
          </w:tcPr>
          <w:p w14:paraId="2D01B7CD"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Mid-term evaluation of CEF 14-20</w:t>
            </w:r>
          </w:p>
        </w:tc>
      </w:tr>
      <w:tr w:rsidR="008231A1" w:rsidRPr="007233CA" w14:paraId="445A8084" w14:textId="77777777" w:rsidTr="00603157">
        <w:trPr>
          <w:trHeight w:val="290"/>
        </w:trPr>
        <w:tc>
          <w:tcPr>
            <w:tcW w:w="0" w:type="auto"/>
            <w:noWrap/>
            <w:hideMark/>
          </w:tcPr>
          <w:p w14:paraId="138E38F0"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CEF-Digital</w:t>
            </w:r>
          </w:p>
        </w:tc>
        <w:tc>
          <w:tcPr>
            <w:tcW w:w="0" w:type="auto"/>
            <w:noWrap/>
            <w:hideMark/>
          </w:tcPr>
          <w:p w14:paraId="522B0D3A"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21-27</w:t>
            </w:r>
          </w:p>
        </w:tc>
        <w:tc>
          <w:tcPr>
            <w:tcW w:w="1183" w:type="dxa"/>
            <w:noWrap/>
            <w:hideMark/>
          </w:tcPr>
          <w:p w14:paraId="58A75332"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2023</w:t>
            </w:r>
          </w:p>
        </w:tc>
        <w:tc>
          <w:tcPr>
            <w:tcW w:w="1134" w:type="dxa"/>
            <w:noWrap/>
            <w:hideMark/>
          </w:tcPr>
          <w:p w14:paraId="262F78F0"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76</w:t>
            </w:r>
          </w:p>
        </w:tc>
        <w:tc>
          <w:tcPr>
            <w:tcW w:w="4886" w:type="dxa"/>
          </w:tcPr>
          <w:p w14:paraId="063F4584"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HaDEA - Annual Activity Report 2023</w:t>
            </w:r>
          </w:p>
        </w:tc>
      </w:tr>
      <w:tr w:rsidR="008231A1" w:rsidRPr="007233CA" w14:paraId="1606C66F" w14:textId="77777777" w:rsidTr="00603157">
        <w:trPr>
          <w:trHeight w:val="290"/>
        </w:trPr>
        <w:tc>
          <w:tcPr>
            <w:tcW w:w="0" w:type="auto"/>
            <w:noWrap/>
            <w:hideMark/>
          </w:tcPr>
          <w:p w14:paraId="5F011E32"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CEF-Digital</w:t>
            </w:r>
          </w:p>
        </w:tc>
        <w:tc>
          <w:tcPr>
            <w:tcW w:w="0" w:type="auto"/>
            <w:noWrap/>
            <w:hideMark/>
          </w:tcPr>
          <w:p w14:paraId="48F040A0"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21-27</w:t>
            </w:r>
          </w:p>
        </w:tc>
        <w:tc>
          <w:tcPr>
            <w:tcW w:w="1183" w:type="dxa"/>
            <w:noWrap/>
            <w:hideMark/>
          </w:tcPr>
          <w:p w14:paraId="43EC1982"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2022</w:t>
            </w:r>
          </w:p>
        </w:tc>
        <w:tc>
          <w:tcPr>
            <w:tcW w:w="1134" w:type="dxa"/>
            <w:noWrap/>
            <w:hideMark/>
          </w:tcPr>
          <w:p w14:paraId="539B72D5"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78</w:t>
            </w:r>
          </w:p>
        </w:tc>
        <w:tc>
          <w:tcPr>
            <w:tcW w:w="4886" w:type="dxa"/>
          </w:tcPr>
          <w:p w14:paraId="0D9130B8"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HaDEA - Annual Activity Report 2023</w:t>
            </w:r>
          </w:p>
        </w:tc>
      </w:tr>
      <w:tr w:rsidR="008231A1" w:rsidRPr="007233CA" w14:paraId="35A4D776" w14:textId="77777777" w:rsidTr="00603157">
        <w:trPr>
          <w:trHeight w:val="290"/>
        </w:trPr>
        <w:tc>
          <w:tcPr>
            <w:tcW w:w="0" w:type="auto"/>
            <w:noWrap/>
            <w:hideMark/>
          </w:tcPr>
          <w:p w14:paraId="1CF73DA9"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EU4Health</w:t>
            </w:r>
          </w:p>
        </w:tc>
        <w:tc>
          <w:tcPr>
            <w:tcW w:w="0" w:type="auto"/>
            <w:noWrap/>
            <w:hideMark/>
          </w:tcPr>
          <w:p w14:paraId="54052BC0"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21-27</w:t>
            </w:r>
          </w:p>
        </w:tc>
        <w:tc>
          <w:tcPr>
            <w:tcW w:w="1183" w:type="dxa"/>
            <w:noWrap/>
            <w:hideMark/>
          </w:tcPr>
          <w:p w14:paraId="656C36CB"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2023</w:t>
            </w:r>
          </w:p>
        </w:tc>
        <w:tc>
          <w:tcPr>
            <w:tcW w:w="1134" w:type="dxa"/>
            <w:noWrap/>
            <w:hideMark/>
          </w:tcPr>
          <w:p w14:paraId="037F05FB"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57</w:t>
            </w:r>
          </w:p>
        </w:tc>
        <w:tc>
          <w:tcPr>
            <w:tcW w:w="4886" w:type="dxa"/>
          </w:tcPr>
          <w:p w14:paraId="3B1527CE"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HaDEA - Annual Activity Report 2023</w:t>
            </w:r>
          </w:p>
        </w:tc>
      </w:tr>
      <w:tr w:rsidR="008231A1" w:rsidRPr="007233CA" w14:paraId="28947AF7" w14:textId="77777777" w:rsidTr="00603157">
        <w:trPr>
          <w:trHeight w:val="290"/>
        </w:trPr>
        <w:tc>
          <w:tcPr>
            <w:tcW w:w="0" w:type="auto"/>
            <w:noWrap/>
            <w:hideMark/>
          </w:tcPr>
          <w:p w14:paraId="0FEAAA9A"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EU4Health</w:t>
            </w:r>
          </w:p>
        </w:tc>
        <w:tc>
          <w:tcPr>
            <w:tcW w:w="0" w:type="auto"/>
            <w:noWrap/>
            <w:hideMark/>
          </w:tcPr>
          <w:p w14:paraId="389F9C87"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21-27</w:t>
            </w:r>
          </w:p>
        </w:tc>
        <w:tc>
          <w:tcPr>
            <w:tcW w:w="1183" w:type="dxa"/>
            <w:noWrap/>
            <w:hideMark/>
          </w:tcPr>
          <w:p w14:paraId="5E44C4ED"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2022</w:t>
            </w:r>
          </w:p>
        </w:tc>
        <w:tc>
          <w:tcPr>
            <w:tcW w:w="1134" w:type="dxa"/>
            <w:noWrap/>
            <w:hideMark/>
          </w:tcPr>
          <w:p w14:paraId="0F43A8CB" w14:textId="77777777" w:rsidR="0080194B" w:rsidRPr="007233CA" w:rsidRDefault="0080194B" w:rsidP="00603157">
            <w:pPr>
              <w:spacing w:after="0"/>
              <w:jc w:val="center"/>
              <w:rPr>
                <w:noProof/>
                <w:color w:val="000000"/>
                <w:sz w:val="20"/>
                <w:lang w:eastAsia="it-IT"/>
              </w:rPr>
            </w:pPr>
            <w:r w:rsidRPr="007233CA">
              <w:rPr>
                <w:noProof/>
                <w:color w:val="000000"/>
                <w:sz w:val="20"/>
                <w:lang w:eastAsia="it-IT"/>
              </w:rPr>
              <w:t>75</w:t>
            </w:r>
          </w:p>
        </w:tc>
        <w:tc>
          <w:tcPr>
            <w:tcW w:w="4886" w:type="dxa"/>
          </w:tcPr>
          <w:p w14:paraId="31AF2E6B" w14:textId="77777777" w:rsidR="0080194B" w:rsidRPr="007233CA" w:rsidRDefault="0080194B" w:rsidP="00603157">
            <w:pPr>
              <w:spacing w:after="0"/>
              <w:jc w:val="left"/>
              <w:rPr>
                <w:noProof/>
                <w:color w:val="000000"/>
                <w:sz w:val="20"/>
                <w:lang w:eastAsia="it-IT"/>
              </w:rPr>
            </w:pPr>
            <w:r w:rsidRPr="007233CA">
              <w:rPr>
                <w:noProof/>
                <w:color w:val="000000"/>
                <w:sz w:val="20"/>
                <w:lang w:eastAsia="it-IT"/>
              </w:rPr>
              <w:t>HaDEA - Annual Activity Report 2023</w:t>
            </w:r>
          </w:p>
        </w:tc>
      </w:tr>
    </w:tbl>
    <w:p w14:paraId="7C2CCFEB" w14:textId="77777777" w:rsidR="003C722A" w:rsidRPr="00BB184A" w:rsidRDefault="003C722A" w:rsidP="00603157">
      <w:pPr>
        <w:rPr>
          <w:rFonts w:eastAsia="Times New Roman"/>
          <w:noProof/>
          <w:color w:val="000000" w:themeColor="text1"/>
        </w:rPr>
      </w:pPr>
    </w:p>
    <w:sectPr w:rsidR="003C722A" w:rsidRPr="00BB184A" w:rsidSect="00073A3F">
      <w:headerReference w:type="default" r:id="rId53"/>
      <w:footerReference w:type="default" r:id="rId54"/>
      <w:headerReference w:type="first" r:id="rId55"/>
      <w:footerReference w:type="first" r:id="rId56"/>
      <w:pgSz w:w="11906" w:h="16838"/>
      <w:pgMar w:top="1020" w:right="707" w:bottom="1020" w:left="1587" w:header="601" w:footer="10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22F4E" w14:textId="77777777" w:rsidR="003B3338" w:rsidRDefault="003B3338" w:rsidP="000E3086">
      <w:r>
        <w:separator/>
      </w:r>
    </w:p>
  </w:endnote>
  <w:endnote w:type="continuationSeparator" w:id="0">
    <w:p w14:paraId="7D1DF8A2" w14:textId="77777777" w:rsidR="003B3338" w:rsidRDefault="003B3338" w:rsidP="000E3086">
      <w:r>
        <w:continuationSeparator/>
      </w:r>
    </w:p>
  </w:endnote>
  <w:endnote w:type="continuationNotice" w:id="1">
    <w:p w14:paraId="63509E97" w14:textId="77777777" w:rsidR="003B3338" w:rsidRDefault="003B33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59B02" w14:textId="6FF82A1F" w:rsidR="00620872" w:rsidRPr="00620872" w:rsidRDefault="00620872" w:rsidP="00620872">
    <w:pPr>
      <w:pStyle w:val="FooterCoverPage"/>
      <w:rPr>
        <w:rFonts w:ascii="Arial" w:hAnsi="Arial" w:cs="Arial"/>
        <w:b/>
        <w:sz w:val="48"/>
      </w:rPr>
    </w:pPr>
    <w:r w:rsidRPr="00620872">
      <w:rPr>
        <w:rFonts w:ascii="Arial" w:hAnsi="Arial" w:cs="Arial"/>
        <w:b/>
        <w:sz w:val="48"/>
      </w:rPr>
      <w:t>EN</w:t>
    </w:r>
    <w:r w:rsidRPr="00620872">
      <w:rPr>
        <w:rFonts w:ascii="Arial" w:hAnsi="Arial" w:cs="Arial"/>
        <w:b/>
        <w:sz w:val="48"/>
      </w:rPr>
      <w:tab/>
    </w:r>
    <w:r w:rsidRPr="00620872">
      <w:rPr>
        <w:rFonts w:ascii="Arial" w:hAnsi="Arial" w:cs="Arial"/>
        <w:b/>
        <w:sz w:val="48"/>
      </w:rPr>
      <w:tab/>
    </w:r>
    <w:r w:rsidRPr="00620872">
      <w:tab/>
    </w:r>
    <w:proofErr w:type="spellStart"/>
    <w:r w:rsidRPr="00620872">
      <w:rPr>
        <w:rFonts w:ascii="Arial" w:hAnsi="Arial" w:cs="Arial"/>
        <w:b/>
        <w:sz w:val="48"/>
      </w:rPr>
      <w:t>EN</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D5803" w14:textId="2E295099" w:rsidR="00620872" w:rsidRPr="00620872" w:rsidRDefault="00620872" w:rsidP="00620872">
    <w:pPr>
      <w:pStyle w:val="FooterCoverPage"/>
      <w:rPr>
        <w:rFonts w:ascii="Arial" w:hAnsi="Arial" w:cs="Arial"/>
        <w:b/>
        <w:sz w:val="48"/>
      </w:rPr>
    </w:pPr>
    <w:r w:rsidRPr="00620872">
      <w:rPr>
        <w:rFonts w:ascii="Arial" w:hAnsi="Arial" w:cs="Arial"/>
        <w:b/>
        <w:sz w:val="48"/>
      </w:rPr>
      <w:t>EN</w:t>
    </w:r>
    <w:r w:rsidRPr="00620872">
      <w:rPr>
        <w:rFonts w:ascii="Arial" w:hAnsi="Arial" w:cs="Arial"/>
        <w:b/>
        <w:sz w:val="48"/>
      </w:rPr>
      <w:tab/>
    </w:r>
    <w:r w:rsidRPr="00620872">
      <w:rPr>
        <w:rFonts w:ascii="Arial" w:hAnsi="Arial" w:cs="Arial"/>
        <w:b/>
        <w:sz w:val="48"/>
      </w:rPr>
      <w:tab/>
    </w:r>
    <w:r w:rsidRPr="00620872">
      <w:tab/>
    </w:r>
    <w:proofErr w:type="spellStart"/>
    <w:r w:rsidRPr="00620872">
      <w:rPr>
        <w:rFonts w:ascii="Arial" w:hAnsi="Arial" w:cs="Arial"/>
        <w:b/>
        <w:sz w:val="48"/>
      </w:rPr>
      <w:t>EN</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47AD" w14:textId="77777777" w:rsidR="00620872" w:rsidRPr="00620872" w:rsidRDefault="00620872" w:rsidP="00620872">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44CD6" w14:textId="77777777" w:rsidR="00CB14B2" w:rsidRDefault="00CB14B2" w:rsidP="000E308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221197"/>
      <w:docPartObj>
        <w:docPartGallery w:val="Page Numbers (Bottom of Page)"/>
        <w:docPartUnique/>
      </w:docPartObj>
    </w:sdtPr>
    <w:sdtEndPr>
      <w:rPr>
        <w:noProof/>
      </w:rPr>
    </w:sdtEndPr>
    <w:sdtContent>
      <w:p w14:paraId="37515927" w14:textId="12AFF052" w:rsidR="00CB14B2" w:rsidRPr="00CD516A" w:rsidRDefault="008F2068" w:rsidP="00FF392A">
        <w:pPr>
          <w:pStyle w:val="Footer"/>
          <w:spacing w:before="240"/>
          <w:ind w:left="-851" w:right="-851"/>
          <w:jc w:val="center"/>
        </w:pPr>
        <w:r>
          <w:fldChar w:fldCharType="begin"/>
        </w:r>
        <w:r>
          <w:instrText xml:space="preserve"> PAGE   \* MERGEFORMAT </w:instrText>
        </w:r>
        <w:r>
          <w:fldChar w:fldCharType="separate"/>
        </w:r>
        <w:r w:rsidR="005874E4">
          <w:rPr>
            <w:noProof/>
          </w:rPr>
          <w:t>6</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335758"/>
      <w:docPartObj>
        <w:docPartGallery w:val="Page Numbers (Bottom of Page)"/>
        <w:docPartUnique/>
      </w:docPartObj>
    </w:sdtPr>
    <w:sdtEndPr>
      <w:rPr>
        <w:noProof/>
      </w:rPr>
    </w:sdtEndPr>
    <w:sdtContent>
      <w:p w14:paraId="5E604D82" w14:textId="3A62EE90" w:rsidR="00E64564" w:rsidRDefault="00E64564">
        <w:pPr>
          <w:pStyle w:val="Footer"/>
          <w:jc w:val="center"/>
        </w:pPr>
        <w:r>
          <w:fldChar w:fldCharType="begin"/>
        </w:r>
        <w:r>
          <w:instrText xml:space="preserve"> PAGE   \* MERGEFORMAT </w:instrText>
        </w:r>
        <w:r>
          <w:fldChar w:fldCharType="separate"/>
        </w:r>
        <w:r w:rsidR="005874E4">
          <w:rPr>
            <w:noProof/>
          </w:rPr>
          <w:t>1</w:t>
        </w:r>
        <w:r>
          <w:rPr>
            <w:noProof/>
          </w:rPr>
          <w:fldChar w:fldCharType="end"/>
        </w:r>
      </w:p>
    </w:sdtContent>
  </w:sdt>
  <w:p w14:paraId="06C35B24" w14:textId="77777777" w:rsidR="00CB14B2" w:rsidRDefault="00CB14B2" w:rsidP="000E308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90125"/>
      <w:docPartObj>
        <w:docPartGallery w:val="Page Numbers (Bottom of Page)"/>
        <w:docPartUnique/>
      </w:docPartObj>
    </w:sdtPr>
    <w:sdtEndPr>
      <w:rPr>
        <w:noProof/>
      </w:rPr>
    </w:sdtEndPr>
    <w:sdtContent>
      <w:p w14:paraId="183A11B3" w14:textId="77777777" w:rsidR="00E64564" w:rsidRPr="00CD516A" w:rsidRDefault="00E64564" w:rsidP="00FF392A">
        <w:pPr>
          <w:pStyle w:val="Footer"/>
          <w:spacing w:before="240"/>
          <w:ind w:left="-851" w:right="-851"/>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196C" w14:textId="77777777" w:rsidR="00E64564" w:rsidRDefault="00E64564" w:rsidP="000E3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7CEAB" w14:textId="77777777" w:rsidR="003B3338" w:rsidRDefault="003B3338" w:rsidP="00603157">
      <w:pPr>
        <w:spacing w:before="60" w:after="60"/>
      </w:pPr>
      <w:r>
        <w:separator/>
      </w:r>
    </w:p>
  </w:footnote>
  <w:footnote w:type="continuationSeparator" w:id="0">
    <w:p w14:paraId="7FF4537F" w14:textId="77777777" w:rsidR="003B3338" w:rsidRDefault="003B3338" w:rsidP="000E3086">
      <w:r>
        <w:continuationSeparator/>
      </w:r>
    </w:p>
  </w:footnote>
  <w:footnote w:type="continuationNotice" w:id="1">
    <w:p w14:paraId="791AB02E" w14:textId="77777777" w:rsidR="003B3338" w:rsidRDefault="003B3338">
      <w:pPr>
        <w:spacing w:after="0"/>
      </w:pPr>
    </w:p>
  </w:footnote>
  <w:footnote w:id="2">
    <w:p w14:paraId="117E641D" w14:textId="6BB1F55D" w:rsidR="00D5076A" w:rsidRPr="00197223" w:rsidRDefault="00D5076A" w:rsidP="004214F0">
      <w:pPr>
        <w:pStyle w:val="FootnoteText"/>
        <w:spacing w:before="0"/>
        <w:ind w:left="357" w:hanging="357"/>
        <w:rPr>
          <w:lang w:val="en-IE"/>
        </w:rPr>
      </w:pPr>
      <w:r>
        <w:rPr>
          <w:rStyle w:val="FootnoteReference"/>
        </w:rPr>
        <w:footnoteRef/>
      </w:r>
      <w:r w:rsidRPr="00197223">
        <w:rPr>
          <w:lang w:val="en-IE"/>
        </w:rPr>
        <w:t xml:space="preserve"> </w:t>
      </w:r>
      <w:r w:rsidR="00FF392A">
        <w:rPr>
          <w:lang w:val="en-IE"/>
        </w:rPr>
        <w:tab/>
      </w:r>
      <w:r w:rsidRPr="00197223">
        <w:rPr>
          <w:lang w:val="en-IE"/>
        </w:rPr>
        <w:t>See Diukanova, O. et al., RHOMOLO-v2 model</w:t>
      </w:r>
      <w:r>
        <w:rPr>
          <w:lang w:val="en-IE"/>
        </w:rPr>
        <w:t xml:space="preserve"> description – A spatial computable general equilibrium model for EU regions and sectors, Publications Office, 2016. </w:t>
      </w:r>
    </w:p>
  </w:footnote>
  <w:footnote w:id="3">
    <w:p w14:paraId="64422DEE" w14:textId="251EEFCA" w:rsidR="00545912" w:rsidRPr="00B42C70" w:rsidRDefault="00545912" w:rsidP="00650245">
      <w:pPr>
        <w:pStyle w:val="FootnoteText"/>
        <w:spacing w:before="0"/>
        <w:ind w:left="357" w:hanging="357"/>
        <w:rPr>
          <w:szCs w:val="18"/>
          <w:lang w:val="en-IE"/>
        </w:rPr>
      </w:pPr>
      <w:r w:rsidRPr="00B42C70">
        <w:rPr>
          <w:rStyle w:val="FootnoteReference"/>
          <w:szCs w:val="18"/>
          <w:lang w:val="en-IE"/>
        </w:rPr>
        <w:footnoteRef/>
      </w:r>
      <w:r w:rsidRPr="00B42C70">
        <w:rPr>
          <w:szCs w:val="18"/>
          <w:lang w:val="en-IE"/>
        </w:rPr>
        <w:t xml:space="preserve"> </w:t>
      </w:r>
      <w:r w:rsidR="00FF392A">
        <w:rPr>
          <w:szCs w:val="18"/>
          <w:lang w:val="en-IE"/>
        </w:rPr>
        <w:tab/>
      </w:r>
      <w:r w:rsidRPr="00B42C70">
        <w:rPr>
          <w:szCs w:val="18"/>
          <w:lang w:val="en-IE"/>
        </w:rPr>
        <w:t>Draghi, M. (</w:t>
      </w:r>
      <w:hyperlink r:id="rId1" w:history="1">
        <w:r w:rsidRPr="00B42C70">
          <w:rPr>
            <w:rStyle w:val="Hyperlink"/>
            <w:szCs w:val="18"/>
            <w:lang w:val="en-IE"/>
          </w:rPr>
          <w:t>2024</w:t>
        </w:r>
      </w:hyperlink>
      <w:r w:rsidRPr="00B42C70">
        <w:rPr>
          <w:szCs w:val="18"/>
          <w:lang w:val="en-IE"/>
        </w:rPr>
        <w:t xml:space="preserve">). The future of European </w:t>
      </w:r>
      <w:r w:rsidR="00E96C71">
        <w:rPr>
          <w:szCs w:val="18"/>
          <w:lang w:val="en-IE"/>
        </w:rPr>
        <w:t>C</w:t>
      </w:r>
      <w:r w:rsidRPr="00B42C70">
        <w:rPr>
          <w:szCs w:val="18"/>
          <w:lang w:val="en-IE"/>
        </w:rPr>
        <w:t>ompetitiveness. Part A – A competitiveness strategy for Europe.</w:t>
      </w:r>
    </w:p>
  </w:footnote>
  <w:footnote w:id="4">
    <w:p w14:paraId="7F36DCD7" w14:textId="4DDEF1D3" w:rsidR="00A20DE8" w:rsidRPr="003A0BC4" w:rsidRDefault="00A20DE8" w:rsidP="003A0BC4">
      <w:pPr>
        <w:pStyle w:val="FootnoteText"/>
        <w:spacing w:before="0"/>
        <w:ind w:left="357" w:hanging="357"/>
        <w:rPr>
          <w:lang w:val="en-IE"/>
        </w:rPr>
      </w:pPr>
      <w:r>
        <w:rPr>
          <w:rStyle w:val="FootnoteReference"/>
        </w:rPr>
        <w:footnoteRef/>
      </w:r>
      <w:r>
        <w:t xml:space="preserve"> </w:t>
      </w:r>
      <w:r w:rsidR="00935798">
        <w:tab/>
      </w:r>
      <w:r w:rsidRPr="00200828">
        <w:t>COM(2025) 30 final</w:t>
      </w:r>
      <w:r>
        <w:t>,  A Competitiveness Compass for the EU.</w:t>
      </w:r>
    </w:p>
  </w:footnote>
  <w:footnote w:id="5">
    <w:p w14:paraId="59E8DD7C" w14:textId="2EE1EDBA" w:rsidR="00545912" w:rsidRPr="007E33D2" w:rsidRDefault="00545912" w:rsidP="00650245">
      <w:pPr>
        <w:pStyle w:val="FootnoteText"/>
        <w:spacing w:before="0"/>
        <w:ind w:left="357" w:hanging="357"/>
        <w:rPr>
          <w:lang w:val="en-IE"/>
        </w:rPr>
      </w:pPr>
      <w:r>
        <w:rPr>
          <w:rStyle w:val="FootnoteReference"/>
        </w:rPr>
        <w:footnoteRef/>
      </w:r>
      <w:r>
        <w:t xml:space="preserve"> </w:t>
      </w:r>
      <w:r w:rsidR="00FF392A">
        <w:tab/>
      </w:r>
      <w:r w:rsidRPr="00A51FE7">
        <w:rPr>
          <w:szCs w:val="18"/>
        </w:rPr>
        <w:t>Europe’s Choice. Political guidelines for the next European Commission 2024-2029; page 1</w:t>
      </w:r>
      <w:r>
        <w:rPr>
          <w:szCs w:val="18"/>
        </w:rPr>
        <w:t>0</w:t>
      </w:r>
    </w:p>
  </w:footnote>
  <w:footnote w:id="6">
    <w:p w14:paraId="5585D448" w14:textId="2C69CE24" w:rsidR="00545912" w:rsidRPr="009D5135" w:rsidRDefault="00545912" w:rsidP="00650245">
      <w:pPr>
        <w:pStyle w:val="FootnoteText"/>
        <w:spacing w:before="0"/>
        <w:ind w:left="357" w:hanging="357"/>
        <w:rPr>
          <w:szCs w:val="18"/>
          <w:lang w:val="en-IE"/>
        </w:rPr>
      </w:pPr>
      <w:r w:rsidRPr="00A51FE7">
        <w:rPr>
          <w:rStyle w:val="FootnoteReference"/>
          <w:szCs w:val="18"/>
        </w:rPr>
        <w:footnoteRef/>
      </w:r>
      <w:r w:rsidRPr="00A51FE7">
        <w:rPr>
          <w:szCs w:val="18"/>
        </w:rPr>
        <w:t xml:space="preserve"> </w:t>
      </w:r>
      <w:r w:rsidR="00FF392A">
        <w:rPr>
          <w:szCs w:val="18"/>
        </w:rPr>
        <w:tab/>
      </w:r>
      <w:r w:rsidR="0060337E">
        <w:rPr>
          <w:szCs w:val="18"/>
        </w:rPr>
        <w:t>Ibid,</w:t>
      </w:r>
      <w:r w:rsidRPr="00A51FE7">
        <w:rPr>
          <w:szCs w:val="18"/>
        </w:rPr>
        <w:t xml:space="preserve"> </w:t>
      </w:r>
      <w:r w:rsidR="00816B20">
        <w:rPr>
          <w:szCs w:val="18"/>
        </w:rPr>
        <w:t>p.</w:t>
      </w:r>
      <w:r w:rsidRPr="00A51FE7">
        <w:rPr>
          <w:szCs w:val="18"/>
        </w:rPr>
        <w:t>13</w:t>
      </w:r>
    </w:p>
  </w:footnote>
  <w:footnote w:id="7">
    <w:p w14:paraId="481B35C2" w14:textId="7215FF2F" w:rsidR="00776F7C" w:rsidRDefault="00776F7C" w:rsidP="00650245">
      <w:pPr>
        <w:spacing w:before="0" w:after="0"/>
        <w:ind w:left="357" w:hanging="357"/>
      </w:pPr>
      <w:r w:rsidRPr="004214F0">
        <w:rPr>
          <w:rStyle w:val="FootnoteReference"/>
          <w:rFonts w:eastAsiaTheme="minorEastAsia"/>
          <w:sz w:val="20"/>
          <w:szCs w:val="18"/>
        </w:rPr>
        <w:footnoteRef/>
      </w:r>
      <w:r w:rsidRPr="004214F0">
        <w:rPr>
          <w:rStyle w:val="FootnoteReference"/>
        </w:rPr>
        <w:t xml:space="preserve"> </w:t>
      </w:r>
      <w:r w:rsidR="00FF392A">
        <w:rPr>
          <w:rFonts w:eastAsiaTheme="minorEastAsia"/>
          <w:sz w:val="20"/>
          <w:szCs w:val="18"/>
        </w:rPr>
        <w:tab/>
      </w:r>
      <w:r w:rsidRPr="0087036A">
        <w:rPr>
          <w:rFonts w:eastAsiaTheme="minorEastAsia"/>
          <w:sz w:val="20"/>
          <w:szCs w:val="18"/>
        </w:rPr>
        <w:t xml:space="preserve">Draghi, M. </w:t>
      </w:r>
      <w:r w:rsidRPr="00650245">
        <w:rPr>
          <w:rFonts w:eastAsiaTheme="minorEastAsia"/>
          <w:sz w:val="20"/>
          <w:szCs w:val="20"/>
        </w:rPr>
        <w:t>(</w:t>
      </w:r>
      <w:hyperlink r:id="rId2" w:history="1">
        <w:r w:rsidR="004312B0" w:rsidRPr="001549E1">
          <w:rPr>
            <w:rStyle w:val="Hyperlink"/>
            <w:sz w:val="20"/>
            <w:szCs w:val="20"/>
            <w:lang w:val="en-IE"/>
          </w:rPr>
          <w:t>2024</w:t>
        </w:r>
      </w:hyperlink>
      <w:r w:rsidRPr="0087036A">
        <w:rPr>
          <w:rFonts w:eastAsiaTheme="minorEastAsia"/>
          <w:sz w:val="20"/>
          <w:szCs w:val="18"/>
        </w:rPr>
        <w:t>). The Future of European Competitiveness: A Competitiveness Strategy for Europe.</w:t>
      </w:r>
    </w:p>
  </w:footnote>
  <w:footnote w:id="8">
    <w:p w14:paraId="6484D5F5" w14:textId="261357A3" w:rsidR="00363477" w:rsidRPr="00C526DC" w:rsidRDefault="00363477" w:rsidP="00650245">
      <w:pPr>
        <w:pStyle w:val="FootnoteText"/>
        <w:spacing w:before="0"/>
        <w:ind w:left="357" w:hanging="357"/>
        <w:rPr>
          <w:i/>
          <w:iCs/>
          <w:lang w:val="en-IE"/>
        </w:rPr>
      </w:pPr>
      <w:r>
        <w:rPr>
          <w:rStyle w:val="FootnoteReference"/>
        </w:rPr>
        <w:footnoteRef/>
      </w:r>
      <w:r>
        <w:t xml:space="preserve"> </w:t>
      </w:r>
      <w:r w:rsidR="00FF392A">
        <w:tab/>
      </w:r>
      <w:r w:rsidR="002B4EB9" w:rsidRPr="00342394">
        <w:rPr>
          <w:lang w:val="en-IE"/>
        </w:rPr>
        <w:t>COM (</w:t>
      </w:r>
      <w:r w:rsidR="00860B4B" w:rsidRPr="00342394">
        <w:rPr>
          <w:lang w:val="en-IE"/>
        </w:rPr>
        <w:t>2025)124 final</w:t>
      </w:r>
      <w:r w:rsidR="00964B97">
        <w:rPr>
          <w:lang w:val="en-IE"/>
        </w:rPr>
        <w:t xml:space="preserve">. </w:t>
      </w:r>
      <w:r w:rsidR="00C526DC" w:rsidRPr="00C526DC">
        <w:rPr>
          <w:lang w:val="en-IE"/>
        </w:rPr>
        <w:t>Savings and Investments Union. A Strategy to Foster Citizens’ Wealth and Economic Competitiveness in the EU.</w:t>
      </w:r>
    </w:p>
  </w:footnote>
  <w:footnote w:id="9">
    <w:p w14:paraId="22A96C07" w14:textId="253A3577" w:rsidR="33217EDB" w:rsidRPr="009715F2" w:rsidRDefault="33217EDB" w:rsidP="00650245">
      <w:pPr>
        <w:spacing w:before="0" w:after="0"/>
        <w:ind w:left="357" w:hanging="357"/>
        <w:rPr>
          <w:sz w:val="20"/>
          <w:szCs w:val="20"/>
          <w:lang w:val="en-IE"/>
        </w:rPr>
      </w:pPr>
      <w:r w:rsidRPr="00BB184A">
        <w:rPr>
          <w:sz w:val="20"/>
          <w:szCs w:val="20"/>
          <w:vertAlign w:val="superscript"/>
        </w:rPr>
        <w:footnoteRef/>
      </w:r>
      <w:r w:rsidR="2E94BBA7" w:rsidRPr="009715F2">
        <w:rPr>
          <w:sz w:val="20"/>
          <w:szCs w:val="20"/>
          <w:lang w:val="en-IE"/>
        </w:rPr>
        <w:t xml:space="preserve"> </w:t>
      </w:r>
      <w:r w:rsidR="00FF392A">
        <w:rPr>
          <w:sz w:val="20"/>
          <w:szCs w:val="20"/>
          <w:lang w:val="en-IE"/>
        </w:rPr>
        <w:tab/>
      </w:r>
      <w:r w:rsidR="00721527" w:rsidRPr="009715F2">
        <w:rPr>
          <w:sz w:val="20"/>
          <w:szCs w:val="20"/>
          <w:lang w:val="en-IE"/>
        </w:rPr>
        <w:t>IMF blog (</w:t>
      </w:r>
      <w:hyperlink r:id="rId3" w:history="1">
        <w:r w:rsidR="00721527" w:rsidRPr="007E6B8F">
          <w:rPr>
            <w:rStyle w:val="Hyperlink"/>
            <w:sz w:val="20"/>
            <w:szCs w:val="20"/>
            <w:lang w:val="en-IE"/>
          </w:rPr>
          <w:t>2024</w:t>
        </w:r>
      </w:hyperlink>
      <w:r w:rsidR="00721527" w:rsidRPr="009715F2">
        <w:rPr>
          <w:sz w:val="20"/>
          <w:szCs w:val="20"/>
          <w:lang w:val="en-IE"/>
        </w:rPr>
        <w:t>)</w:t>
      </w:r>
      <w:r w:rsidR="00B54AF1">
        <w:rPr>
          <w:sz w:val="20"/>
          <w:szCs w:val="20"/>
          <w:lang w:val="en-IE"/>
        </w:rPr>
        <w:t xml:space="preserve">. Europe can better support </w:t>
      </w:r>
      <w:r w:rsidR="00F478B4">
        <w:rPr>
          <w:sz w:val="20"/>
          <w:szCs w:val="20"/>
          <w:lang w:val="en-IE"/>
        </w:rPr>
        <w:t>venture</w:t>
      </w:r>
      <w:r w:rsidR="00B54AF1">
        <w:rPr>
          <w:sz w:val="20"/>
          <w:szCs w:val="20"/>
          <w:lang w:val="en-IE"/>
        </w:rPr>
        <w:t xml:space="preserve"> capital to boost growth and productivity.</w:t>
      </w:r>
      <w:r w:rsidR="00721527" w:rsidRPr="009715F2">
        <w:rPr>
          <w:sz w:val="20"/>
          <w:szCs w:val="20"/>
          <w:lang w:val="en-IE"/>
        </w:rPr>
        <w:t xml:space="preserve"> </w:t>
      </w:r>
    </w:p>
  </w:footnote>
  <w:footnote w:id="10">
    <w:p w14:paraId="5D4E1C2C" w14:textId="56316163" w:rsidR="006909D9" w:rsidRPr="00B8200A" w:rsidRDefault="006909D9" w:rsidP="00650245">
      <w:pPr>
        <w:pStyle w:val="FootnoteText"/>
        <w:spacing w:before="0"/>
        <w:ind w:left="357" w:hanging="357"/>
        <w:rPr>
          <w:lang w:val="en-IE"/>
        </w:rPr>
      </w:pPr>
      <w:r>
        <w:rPr>
          <w:rStyle w:val="FootnoteReference"/>
        </w:rPr>
        <w:footnoteRef/>
      </w:r>
      <w:r>
        <w:t xml:space="preserve"> </w:t>
      </w:r>
      <w:r w:rsidR="00FF392A">
        <w:tab/>
      </w:r>
      <w:r w:rsidRPr="00A51FE7">
        <w:rPr>
          <w:szCs w:val="18"/>
        </w:rPr>
        <w:t>Europe’s Choice. Political guidelines for the next European Commission 2024-2029</w:t>
      </w:r>
      <w:r>
        <w:rPr>
          <w:szCs w:val="18"/>
        </w:rPr>
        <w:t>, p. 12.</w:t>
      </w:r>
    </w:p>
  </w:footnote>
  <w:footnote w:id="11">
    <w:p w14:paraId="0967CE36" w14:textId="3F71F6B2" w:rsidR="00905AC8" w:rsidRPr="00B8200A" w:rsidRDefault="00905AC8" w:rsidP="00650245">
      <w:pPr>
        <w:pStyle w:val="FootnoteText"/>
        <w:spacing w:before="0"/>
        <w:ind w:left="357" w:hanging="357"/>
        <w:rPr>
          <w:lang w:val="en-IE"/>
        </w:rPr>
      </w:pPr>
      <w:r>
        <w:rPr>
          <w:rStyle w:val="FootnoteReference"/>
        </w:rPr>
        <w:footnoteRef/>
      </w:r>
      <w:r>
        <w:t xml:space="preserve"> </w:t>
      </w:r>
      <w:r w:rsidR="00FF392A">
        <w:tab/>
      </w:r>
      <w:r w:rsidR="00816B20">
        <w:rPr>
          <w:szCs w:val="18"/>
        </w:rPr>
        <w:t>Ibid</w:t>
      </w:r>
      <w:r w:rsidR="0099314F">
        <w:rPr>
          <w:szCs w:val="18"/>
        </w:rPr>
        <w:t>, p.10</w:t>
      </w:r>
      <w:r w:rsidR="004C38FF">
        <w:rPr>
          <w:szCs w:val="18"/>
        </w:rPr>
        <w:t>.</w:t>
      </w:r>
      <w:r w:rsidR="00200828">
        <w:rPr>
          <w:lang w:val="en-IE"/>
        </w:rPr>
        <w:t xml:space="preserve"> </w:t>
      </w:r>
    </w:p>
  </w:footnote>
  <w:footnote w:id="12">
    <w:p w14:paraId="3935D2FC" w14:textId="77777777" w:rsidR="00AF576C" w:rsidRPr="003D3FD9" w:rsidRDefault="00AF576C" w:rsidP="00650245">
      <w:pPr>
        <w:pStyle w:val="FootnoteText"/>
        <w:spacing w:before="0"/>
        <w:ind w:left="357" w:hanging="357"/>
        <w:rPr>
          <w:lang w:val="en-IE"/>
        </w:rPr>
      </w:pPr>
      <w:r>
        <w:rPr>
          <w:rStyle w:val="FootnoteReference"/>
        </w:rPr>
        <w:footnoteRef/>
      </w:r>
      <w:r>
        <w:t xml:space="preserve"> </w:t>
      </w:r>
      <w:r>
        <w:tab/>
      </w:r>
      <w:r w:rsidRPr="00C82C46">
        <w:t>Draghi, M. (</w:t>
      </w:r>
      <w:hyperlink r:id="rId4" w:history="1">
        <w:r w:rsidRPr="00B42C70">
          <w:rPr>
            <w:rStyle w:val="Hyperlink"/>
            <w:szCs w:val="18"/>
            <w:lang w:val="en-IE"/>
          </w:rPr>
          <w:t>2024</w:t>
        </w:r>
      </w:hyperlink>
      <w:r w:rsidRPr="00C82C46">
        <w:t>). The future of European competitiveness. Part A – A competitiveness strategy for Europe.</w:t>
      </w:r>
    </w:p>
  </w:footnote>
  <w:footnote w:id="13">
    <w:p w14:paraId="60EBCE82" w14:textId="751DF13B" w:rsidR="00AF576C" w:rsidRPr="00507F85" w:rsidRDefault="00AF576C" w:rsidP="00650245">
      <w:pPr>
        <w:pStyle w:val="FootnoteText"/>
        <w:spacing w:before="0"/>
        <w:rPr>
          <w:lang w:val="en-US"/>
        </w:rPr>
      </w:pPr>
      <w:r>
        <w:rPr>
          <w:rStyle w:val="FootnoteReference"/>
        </w:rPr>
        <w:footnoteRef/>
      </w:r>
      <w:r w:rsidRPr="00507F85">
        <w:rPr>
          <w:lang w:val="en-US"/>
        </w:rPr>
        <w:t xml:space="preserve"> </w:t>
      </w:r>
      <w:r w:rsidR="00935798">
        <w:rPr>
          <w:lang w:val="en-US"/>
        </w:rPr>
        <w:t xml:space="preserve">    </w:t>
      </w:r>
      <w:r w:rsidRPr="005F34D2">
        <w:t>e.g., Start-up and Scale-up Strategy, 28th Regime, European Innovation Act, Space Act, Digital Network Act, Clean Industrial Deal, New State Aid Framework, Revision of Directives on Public Procurement</w:t>
      </w:r>
      <w:r>
        <w:t xml:space="preserve">. </w:t>
      </w:r>
    </w:p>
  </w:footnote>
  <w:footnote w:id="14">
    <w:p w14:paraId="791F06FA" w14:textId="07608B9D" w:rsidR="00217990" w:rsidRPr="00BB184A" w:rsidRDefault="00217990" w:rsidP="00650245">
      <w:pPr>
        <w:pStyle w:val="FootnoteText"/>
        <w:spacing w:before="0"/>
        <w:ind w:left="357" w:hanging="357"/>
        <w:rPr>
          <w:lang w:val="en-IE"/>
        </w:rPr>
      </w:pPr>
      <w:r>
        <w:rPr>
          <w:rStyle w:val="FootnoteReference"/>
        </w:rPr>
        <w:footnoteRef/>
      </w:r>
      <w:r>
        <w:t xml:space="preserve"> </w:t>
      </w:r>
      <w:r w:rsidR="00FF392A">
        <w:tab/>
      </w:r>
      <w:r w:rsidR="00122008" w:rsidRPr="00200828">
        <w:t>COM(2025) 30 final</w:t>
      </w:r>
      <w:r w:rsidR="00122008">
        <w:t xml:space="preserve">, </w:t>
      </w:r>
      <w:r w:rsidR="00252C53">
        <w:t>p.</w:t>
      </w:r>
      <w:r w:rsidR="00122008">
        <w:t xml:space="preserve"> 24.</w:t>
      </w:r>
      <w:r w:rsidR="00DD71CD">
        <w:t xml:space="preserve"> A Competitiveness Compass for the EU.</w:t>
      </w:r>
    </w:p>
  </w:footnote>
  <w:footnote w:id="15">
    <w:p w14:paraId="76372309" w14:textId="1D8B2664" w:rsidR="001B3855" w:rsidRPr="000927B0" w:rsidRDefault="001B3855" w:rsidP="00650245">
      <w:pPr>
        <w:pStyle w:val="FootnoteText"/>
        <w:spacing w:before="0"/>
        <w:ind w:left="357" w:hanging="357"/>
      </w:pPr>
      <w:r>
        <w:rPr>
          <w:rStyle w:val="FootnoteReference"/>
        </w:rPr>
        <w:footnoteRef/>
      </w:r>
      <w:r>
        <w:t xml:space="preserve"> </w:t>
      </w:r>
      <w:r w:rsidR="00FF392A">
        <w:tab/>
      </w:r>
      <w:r w:rsidR="00252C53">
        <w:t>Ibid</w:t>
      </w:r>
      <w:r>
        <w:t xml:space="preserve">, </w:t>
      </w:r>
      <w:r w:rsidR="00252C53">
        <w:t xml:space="preserve">p. </w:t>
      </w:r>
      <w:r>
        <w:t>21.</w:t>
      </w:r>
    </w:p>
  </w:footnote>
  <w:footnote w:id="16">
    <w:p w14:paraId="12566546" w14:textId="318EFA4D" w:rsidR="0029168E" w:rsidRPr="00CF2A21" w:rsidRDefault="0029168E" w:rsidP="00650245">
      <w:pPr>
        <w:pStyle w:val="FootnoteText"/>
        <w:spacing w:before="0"/>
        <w:ind w:left="357" w:hanging="357"/>
        <w:rPr>
          <w:lang w:val="en-IE"/>
        </w:rPr>
      </w:pPr>
      <w:r>
        <w:rPr>
          <w:rStyle w:val="FootnoteReference"/>
        </w:rPr>
        <w:footnoteRef/>
      </w:r>
      <w:r w:rsidR="00FF392A">
        <w:tab/>
      </w:r>
      <w:r w:rsidRPr="00CF2A21">
        <w:rPr>
          <w:lang w:val="en-IE"/>
        </w:rPr>
        <w:t>COM(2025)8</w:t>
      </w:r>
      <w:r>
        <w:rPr>
          <w:lang w:val="en-IE"/>
        </w:rPr>
        <w:t>5 final</w:t>
      </w:r>
      <w:r w:rsidR="003374AE">
        <w:rPr>
          <w:lang w:val="en-IE"/>
        </w:rPr>
        <w:t xml:space="preserve">. </w:t>
      </w:r>
      <w:r w:rsidR="003374AE" w:rsidRPr="003374AE">
        <w:rPr>
          <w:lang w:val="en-IE"/>
        </w:rPr>
        <w:t>The Clean Industrial Deal: A joint roadmap for competitiveness and decarbonisation</w:t>
      </w:r>
    </w:p>
  </w:footnote>
  <w:footnote w:id="17">
    <w:p w14:paraId="500F572E" w14:textId="14139CE7" w:rsidR="00D47FF7" w:rsidRPr="00074374" w:rsidRDefault="00D47FF7" w:rsidP="00650245">
      <w:pPr>
        <w:pStyle w:val="FootnoteText"/>
        <w:spacing w:before="0"/>
        <w:ind w:left="357" w:hanging="357"/>
        <w:rPr>
          <w:lang w:val="en-IE"/>
        </w:rPr>
      </w:pPr>
      <w:r>
        <w:rPr>
          <w:rStyle w:val="FootnoteReference"/>
        </w:rPr>
        <w:footnoteRef/>
      </w:r>
      <w:r>
        <w:t xml:space="preserve"> </w:t>
      </w:r>
      <w:r w:rsidR="00FF392A">
        <w:tab/>
      </w:r>
      <w:r w:rsidR="00252C53">
        <w:t>Ibid</w:t>
      </w:r>
      <w:r>
        <w:t xml:space="preserve">, </w:t>
      </w:r>
      <w:r w:rsidR="00252C53">
        <w:t xml:space="preserve">p. </w:t>
      </w:r>
      <w:r>
        <w:t>23.</w:t>
      </w:r>
    </w:p>
  </w:footnote>
  <w:footnote w:id="18">
    <w:p w14:paraId="45235C72" w14:textId="5FC6E6FD" w:rsidR="0024746D" w:rsidRPr="0087036A" w:rsidRDefault="0024746D" w:rsidP="00650245">
      <w:pPr>
        <w:pStyle w:val="FootnoteText"/>
        <w:spacing w:before="0"/>
        <w:ind w:left="357" w:hanging="357"/>
        <w:rPr>
          <w:lang w:val="en-IE"/>
        </w:rPr>
      </w:pPr>
      <w:r>
        <w:rPr>
          <w:rStyle w:val="FootnoteReference"/>
        </w:rPr>
        <w:footnoteRef/>
      </w:r>
      <w:r w:rsidR="2A1AD167">
        <w:t xml:space="preserve"> </w:t>
      </w:r>
      <w:r w:rsidR="00FF392A">
        <w:tab/>
      </w:r>
      <w:r w:rsidR="2A1AD167" w:rsidRPr="0087036A">
        <w:rPr>
          <w:lang w:val="en-IE"/>
        </w:rPr>
        <w:t>COM(2025)</w:t>
      </w:r>
      <w:r w:rsidR="00252C53">
        <w:rPr>
          <w:lang w:val="en-IE"/>
        </w:rPr>
        <w:t xml:space="preserve"> </w:t>
      </w:r>
      <w:r w:rsidR="2A1AD167" w:rsidRPr="0087036A">
        <w:rPr>
          <w:lang w:val="en-IE"/>
        </w:rPr>
        <w:t>46</w:t>
      </w:r>
      <w:r w:rsidR="00DC1989">
        <w:rPr>
          <w:lang w:val="en-IE"/>
        </w:rPr>
        <w:t xml:space="preserve">. </w:t>
      </w:r>
      <w:r w:rsidR="00DC1989" w:rsidRPr="00DC1989">
        <w:rPr>
          <w:lang w:val="en-IE"/>
        </w:rPr>
        <w:t>The road to the next multiannual financial framework</w:t>
      </w:r>
    </w:p>
  </w:footnote>
  <w:footnote w:id="19">
    <w:p w14:paraId="761464E9" w14:textId="2E6FDCEA" w:rsidR="008D592A" w:rsidRPr="000927B0" w:rsidRDefault="008D592A" w:rsidP="00650245">
      <w:pPr>
        <w:pStyle w:val="FootnoteText"/>
        <w:spacing w:before="0"/>
        <w:ind w:left="357" w:hanging="357"/>
      </w:pPr>
      <w:r>
        <w:rPr>
          <w:rStyle w:val="FootnoteReference"/>
        </w:rPr>
        <w:footnoteRef/>
      </w:r>
      <w:r>
        <w:t xml:space="preserve"> </w:t>
      </w:r>
      <w:r w:rsidR="00FF392A">
        <w:tab/>
      </w:r>
      <w:r w:rsidR="00252C53" w:rsidRPr="00200828">
        <w:t>COM(2025) 30 final</w:t>
      </w:r>
      <w:r w:rsidR="00252C53">
        <w:t>, p. 21.</w:t>
      </w:r>
      <w:r w:rsidR="00286815" w:rsidRPr="00286815">
        <w:t xml:space="preserve"> A Competitiveness Compass for the EU</w:t>
      </w:r>
      <w:r w:rsidR="00286815">
        <w:t>.</w:t>
      </w:r>
    </w:p>
  </w:footnote>
  <w:footnote w:id="20">
    <w:p w14:paraId="0CAF32D0" w14:textId="76A1546B" w:rsidR="00943560" w:rsidRPr="00943560" w:rsidRDefault="00943560" w:rsidP="00650245">
      <w:pPr>
        <w:pStyle w:val="FootnoteText"/>
        <w:spacing w:before="0"/>
        <w:ind w:left="357" w:hanging="357"/>
        <w:rPr>
          <w:lang w:val="en-IE"/>
        </w:rPr>
      </w:pPr>
      <w:r>
        <w:rPr>
          <w:rStyle w:val="FootnoteReference"/>
        </w:rPr>
        <w:footnoteRef/>
      </w:r>
      <w:r>
        <w:t xml:space="preserve"> </w:t>
      </w:r>
      <w:r w:rsidR="00FF392A">
        <w:tab/>
      </w:r>
      <w:r w:rsidRPr="00943560">
        <w:t>European Commission (2025): Competitiveness Fund: Assessment of costs and benefits and comparison of options</w:t>
      </w:r>
    </w:p>
  </w:footnote>
  <w:footnote w:id="21">
    <w:p w14:paraId="0351C4C5" w14:textId="263088E1" w:rsidR="00B86A4D" w:rsidRPr="00BB184A" w:rsidRDefault="00B86A4D" w:rsidP="00650245">
      <w:pPr>
        <w:pStyle w:val="FootnoteText"/>
        <w:spacing w:before="0"/>
        <w:ind w:left="357" w:hanging="357"/>
        <w:rPr>
          <w:lang w:val="en-IE"/>
        </w:rPr>
      </w:pPr>
      <w:r>
        <w:rPr>
          <w:rStyle w:val="FootnoteReference"/>
        </w:rPr>
        <w:footnoteRef/>
      </w:r>
      <w:r>
        <w:t xml:space="preserve"> </w:t>
      </w:r>
      <w:r w:rsidR="00FF392A">
        <w:tab/>
      </w:r>
      <w:r w:rsidR="00B55DA0">
        <w:rPr>
          <w:lang w:val="en-IE"/>
        </w:rPr>
        <w:t xml:space="preserve">The productivity gap is driven, particularly, by the gap in innovation. See </w:t>
      </w:r>
      <w:r w:rsidRPr="00BB184A">
        <w:rPr>
          <w:lang w:val="en-IE"/>
        </w:rPr>
        <w:t xml:space="preserve"> </w:t>
      </w:r>
      <w:r w:rsidR="00B55DA0" w:rsidRPr="00B42C70">
        <w:rPr>
          <w:szCs w:val="18"/>
          <w:lang w:val="en-IE"/>
        </w:rPr>
        <w:t>Draghi, M. (</w:t>
      </w:r>
      <w:hyperlink r:id="rId5" w:history="1">
        <w:r w:rsidR="00B55DA0" w:rsidRPr="00B42C70">
          <w:rPr>
            <w:rStyle w:val="Hyperlink"/>
            <w:szCs w:val="18"/>
            <w:lang w:val="en-IE"/>
          </w:rPr>
          <w:t>2024</w:t>
        </w:r>
      </w:hyperlink>
      <w:r w:rsidR="00B55DA0" w:rsidRPr="00B42C70">
        <w:rPr>
          <w:szCs w:val="18"/>
          <w:lang w:val="en-IE"/>
        </w:rPr>
        <w:t>). The future of European competitiveness. Part A – A competitiveness strategy for Europe</w:t>
      </w:r>
      <w:r w:rsidR="00D07EF6">
        <w:rPr>
          <w:szCs w:val="18"/>
          <w:lang w:val="en-IE"/>
        </w:rPr>
        <w:t>, p.20</w:t>
      </w:r>
      <w:r w:rsidR="00B55DA0">
        <w:rPr>
          <w:lang w:val="en-IE"/>
        </w:rPr>
        <w:t>.</w:t>
      </w:r>
    </w:p>
  </w:footnote>
  <w:footnote w:id="22">
    <w:p w14:paraId="22DEEA30" w14:textId="2EFFEAE5" w:rsidR="00A56794" w:rsidRPr="00B8200A" w:rsidRDefault="00A56794" w:rsidP="00650245">
      <w:pPr>
        <w:pStyle w:val="FootnoteText"/>
        <w:spacing w:before="0"/>
        <w:ind w:left="357" w:hanging="357"/>
        <w:rPr>
          <w:szCs w:val="18"/>
          <w:lang w:val="en-IE"/>
        </w:rPr>
      </w:pPr>
      <w:r>
        <w:rPr>
          <w:rStyle w:val="FootnoteReference"/>
        </w:rPr>
        <w:footnoteRef/>
      </w:r>
      <w:r>
        <w:t xml:space="preserve"> </w:t>
      </w:r>
      <w:r w:rsidR="00FF392A">
        <w:tab/>
      </w:r>
      <w:r>
        <w:t xml:space="preserve">See </w:t>
      </w:r>
      <w:r w:rsidRPr="00B42C70">
        <w:rPr>
          <w:szCs w:val="18"/>
          <w:lang w:val="en-IE"/>
        </w:rPr>
        <w:t>Draghi, M. (</w:t>
      </w:r>
      <w:hyperlink r:id="rId6" w:history="1">
        <w:r w:rsidRPr="00B42C70">
          <w:rPr>
            <w:rStyle w:val="Hyperlink"/>
            <w:szCs w:val="18"/>
            <w:lang w:val="en-IE"/>
          </w:rPr>
          <w:t>2024</w:t>
        </w:r>
      </w:hyperlink>
      <w:r w:rsidRPr="00B42C70">
        <w:rPr>
          <w:szCs w:val="18"/>
          <w:lang w:val="en-IE"/>
        </w:rPr>
        <w:t>). The future of European competitiveness. Part A – A competitiveness strategy for Europe.</w:t>
      </w:r>
    </w:p>
  </w:footnote>
  <w:footnote w:id="23">
    <w:p w14:paraId="4BE349AB" w14:textId="2AE30DC9" w:rsidR="00AB14A6" w:rsidRPr="007D684A" w:rsidRDefault="00AB14A6" w:rsidP="00650245">
      <w:pPr>
        <w:pStyle w:val="FootnoteText"/>
        <w:spacing w:before="0"/>
        <w:ind w:left="357" w:hanging="357"/>
        <w:rPr>
          <w:lang w:val="en-IE"/>
        </w:rPr>
      </w:pPr>
      <w:r>
        <w:rPr>
          <w:rStyle w:val="FootnoteReference"/>
        </w:rPr>
        <w:footnoteRef/>
      </w:r>
      <w:r>
        <w:t xml:space="preserve">  </w:t>
      </w:r>
      <w:r w:rsidR="00FF392A">
        <w:tab/>
      </w:r>
      <w:r>
        <w:t xml:space="preserve">European Commission (2025): Competitiveness Fund: </w:t>
      </w:r>
      <w:r w:rsidRPr="00764210">
        <w:t>Assessment of costs and benefits and comparison of options</w:t>
      </w:r>
    </w:p>
  </w:footnote>
  <w:footnote w:id="24">
    <w:p w14:paraId="3F6AB136" w14:textId="6394B381" w:rsidR="00A776E1" w:rsidRPr="0009570D" w:rsidRDefault="00A776E1" w:rsidP="00650245">
      <w:pPr>
        <w:pStyle w:val="FootnoteText"/>
        <w:spacing w:before="0"/>
        <w:ind w:left="357" w:hanging="357"/>
        <w:rPr>
          <w:lang w:val="en-US"/>
        </w:rPr>
      </w:pPr>
      <w:r>
        <w:rPr>
          <w:rStyle w:val="FootnoteReference"/>
        </w:rPr>
        <w:footnoteRef/>
      </w:r>
      <w:r>
        <w:t xml:space="preserve"> </w:t>
      </w:r>
      <w:r w:rsidR="00FF392A">
        <w:tab/>
      </w:r>
      <w:r w:rsidRPr="004F5F55">
        <w:t>European Court of Auditors (ECA). (2023). The EU’s financial landscape: A patchwork construction requiring further simplification and accountability.</w:t>
      </w:r>
    </w:p>
  </w:footnote>
  <w:footnote w:id="25">
    <w:p w14:paraId="2B866775" w14:textId="1481694E" w:rsidR="0018209F" w:rsidRPr="00D15E5D" w:rsidRDefault="0018209F" w:rsidP="00650245">
      <w:pPr>
        <w:pStyle w:val="FootnoteText"/>
        <w:spacing w:before="0"/>
        <w:ind w:left="357" w:hanging="357"/>
        <w:rPr>
          <w:lang w:val="en-IE"/>
        </w:rPr>
      </w:pPr>
      <w:r>
        <w:rPr>
          <w:rStyle w:val="FootnoteReference"/>
        </w:rPr>
        <w:footnoteRef/>
      </w:r>
      <w:r>
        <w:t xml:space="preserve"> </w:t>
      </w:r>
      <w:r w:rsidR="00FF392A">
        <w:tab/>
      </w:r>
      <w:r w:rsidR="006B5B73" w:rsidRPr="00D15E5D">
        <w:rPr>
          <w:lang w:val="en-IE"/>
        </w:rPr>
        <w:t xml:space="preserve">See Annex </w:t>
      </w:r>
      <w:r w:rsidR="00D246C7">
        <w:rPr>
          <w:lang w:val="en-IE"/>
        </w:rPr>
        <w:t>8</w:t>
      </w:r>
      <w:r w:rsidR="007E6B8F">
        <w:rPr>
          <w:lang w:val="en-IE"/>
        </w:rPr>
        <w:t>.</w:t>
      </w:r>
    </w:p>
  </w:footnote>
  <w:footnote w:id="26">
    <w:p w14:paraId="19E4D829" w14:textId="4614B834" w:rsidR="00FA381C" w:rsidRPr="00FA381C" w:rsidRDefault="00FA381C" w:rsidP="00650245">
      <w:pPr>
        <w:pStyle w:val="FootnoteText"/>
        <w:spacing w:before="0"/>
        <w:ind w:left="357" w:hanging="357"/>
        <w:rPr>
          <w:lang w:val="en-IE"/>
        </w:rPr>
      </w:pPr>
      <w:r>
        <w:rPr>
          <w:rStyle w:val="FootnoteReference"/>
        </w:rPr>
        <w:footnoteRef/>
      </w:r>
      <w:r>
        <w:t xml:space="preserve"> </w:t>
      </w:r>
      <w:r w:rsidR="00FF392A">
        <w:tab/>
      </w:r>
      <w:r w:rsidRPr="00FA381C">
        <w:rPr>
          <w:lang w:val="en-IE"/>
        </w:rPr>
        <w:t xml:space="preserve">The </w:t>
      </w:r>
      <w:r>
        <w:rPr>
          <w:lang w:val="en-IE"/>
        </w:rPr>
        <w:t xml:space="preserve">open public consultation was opened for 12 weeks and gathered </w:t>
      </w:r>
      <w:r w:rsidR="006F5719">
        <w:rPr>
          <w:lang w:val="en-IE"/>
        </w:rPr>
        <w:t>2 034 responses and 462 position papers</w:t>
      </w:r>
      <w:r>
        <w:rPr>
          <w:lang w:val="en-IE"/>
        </w:rPr>
        <w:t>.</w:t>
      </w:r>
    </w:p>
  </w:footnote>
  <w:footnote w:id="27">
    <w:p w14:paraId="0F09FB3F" w14:textId="09358FD5" w:rsidR="0074349D" w:rsidRPr="00702F59" w:rsidRDefault="0074349D" w:rsidP="00650245">
      <w:pPr>
        <w:pStyle w:val="FootnoteText"/>
        <w:spacing w:before="0"/>
        <w:ind w:left="357" w:hanging="357"/>
        <w:rPr>
          <w:lang w:val="en-IE"/>
        </w:rPr>
      </w:pPr>
      <w:r>
        <w:rPr>
          <w:rStyle w:val="FootnoteReference"/>
        </w:rPr>
        <w:footnoteRef/>
      </w:r>
      <w:r>
        <w:t xml:space="preserve"> </w:t>
      </w:r>
      <w:r w:rsidR="00FF392A">
        <w:tab/>
      </w:r>
      <w:r w:rsidRPr="00702F59">
        <w:rPr>
          <w:lang w:val="en-IE"/>
        </w:rPr>
        <w:t xml:space="preserve">STEP Interim evaluation (forthcoming </w:t>
      </w:r>
      <w:r w:rsidR="00B61878" w:rsidRPr="00702F59">
        <w:rPr>
          <w:lang w:val="en-IE"/>
        </w:rPr>
        <w:t>–</w:t>
      </w:r>
      <w:r w:rsidRPr="00702F59">
        <w:rPr>
          <w:lang w:val="en-IE"/>
        </w:rPr>
        <w:t xml:space="preserve"> </w:t>
      </w:r>
      <w:r w:rsidR="00B61878" w:rsidRPr="00702F59">
        <w:rPr>
          <w:lang w:val="en-IE"/>
        </w:rPr>
        <w:t>July 202</w:t>
      </w:r>
      <w:r w:rsidR="00BB1897" w:rsidRPr="00702F59">
        <w:rPr>
          <w:lang w:val="en-IE"/>
        </w:rPr>
        <w:t>5</w:t>
      </w:r>
      <w:r w:rsidR="00B61878" w:rsidRPr="00702F59">
        <w:rPr>
          <w:lang w:val="en-IE"/>
        </w:rPr>
        <w:t xml:space="preserve"> (tbc)</w:t>
      </w:r>
      <w:r w:rsidR="00130821">
        <w:rPr>
          <w:lang w:val="en-IE"/>
        </w:rPr>
        <w:t>).</w:t>
      </w:r>
    </w:p>
  </w:footnote>
  <w:footnote w:id="28">
    <w:p w14:paraId="629A65A3" w14:textId="277AC571" w:rsidR="003C2BB0" w:rsidRPr="0038438D" w:rsidRDefault="003C2BB0" w:rsidP="0038438D">
      <w:pPr>
        <w:pStyle w:val="FootnoteText"/>
        <w:spacing w:before="0"/>
        <w:rPr>
          <w:lang w:val="en-US"/>
        </w:rPr>
      </w:pPr>
      <w:r>
        <w:rPr>
          <w:rStyle w:val="FootnoteReference"/>
        </w:rPr>
        <w:footnoteRef/>
      </w:r>
      <w:r>
        <w:t xml:space="preserve"> </w:t>
      </w:r>
      <w:r>
        <w:rPr>
          <w:lang w:val="en-US"/>
        </w:rPr>
        <w:t xml:space="preserve">    See </w:t>
      </w:r>
      <w:r w:rsidR="007A54A5">
        <w:rPr>
          <w:lang w:val="en-US"/>
        </w:rPr>
        <w:t>Annex 8.</w:t>
      </w:r>
    </w:p>
  </w:footnote>
  <w:footnote w:id="29">
    <w:p w14:paraId="29CE2B2D" w14:textId="59A5A45D" w:rsidR="00E6391D" w:rsidRPr="0038438D" w:rsidRDefault="00E6391D" w:rsidP="0038438D">
      <w:pPr>
        <w:pStyle w:val="FootnoteText"/>
        <w:spacing w:before="0"/>
        <w:rPr>
          <w:lang w:val="en-US"/>
        </w:rPr>
      </w:pPr>
      <w:r>
        <w:rPr>
          <w:rStyle w:val="FootnoteReference"/>
        </w:rPr>
        <w:footnoteRef/>
      </w:r>
      <w:r>
        <w:t xml:space="preserve"> </w:t>
      </w:r>
      <w:r>
        <w:rPr>
          <w:lang w:val="en-US"/>
        </w:rPr>
        <w:t xml:space="preserve">    </w:t>
      </w:r>
      <w:r w:rsidR="00E673EA">
        <w:rPr>
          <w:lang w:val="en-US"/>
        </w:rPr>
        <w:t xml:space="preserve">Grants.gov. </w:t>
      </w:r>
      <w:hyperlink r:id="rId7" w:history="1">
        <w:r w:rsidR="00666D0A" w:rsidRPr="00666D0A">
          <w:rPr>
            <w:rStyle w:val="Hyperlink"/>
          </w:rPr>
          <w:t>Hydrofluorocarbon Reclaim and Innovative Destruction Grants Notice of Funding Opportunity</w:t>
        </w:r>
      </w:hyperlink>
      <w:r w:rsidR="008E2192">
        <w:rPr>
          <w:lang w:val="en-US"/>
        </w:rPr>
        <w:t xml:space="preserve"> (2024)</w:t>
      </w:r>
      <w:r w:rsidR="00666D0A">
        <w:rPr>
          <w:lang w:val="en-US"/>
        </w:rPr>
        <w:t>.</w:t>
      </w:r>
    </w:p>
  </w:footnote>
  <w:footnote w:id="30">
    <w:p w14:paraId="6B42DE13" w14:textId="1B9B896D" w:rsidR="00504983" w:rsidRPr="00702F59" w:rsidRDefault="00504983" w:rsidP="0038438D">
      <w:pPr>
        <w:pStyle w:val="FootnoteText"/>
        <w:spacing w:before="0"/>
        <w:ind w:left="357" w:hanging="357"/>
        <w:rPr>
          <w:lang w:val="en-IE"/>
        </w:rPr>
      </w:pPr>
      <w:r w:rsidRPr="00702F59">
        <w:rPr>
          <w:rStyle w:val="FootnoteReference"/>
        </w:rPr>
        <w:footnoteRef/>
      </w:r>
      <w:r w:rsidRPr="00702F59">
        <w:t xml:space="preserve"> </w:t>
      </w:r>
      <w:r w:rsidR="00FF392A">
        <w:tab/>
      </w:r>
      <w:r w:rsidR="00854C3E" w:rsidRPr="00702F59">
        <w:rPr>
          <w:szCs w:val="18"/>
          <w:lang w:val="en-IE"/>
        </w:rPr>
        <w:t>Draghi, M. (</w:t>
      </w:r>
      <w:hyperlink r:id="rId8" w:history="1">
        <w:r w:rsidR="00854C3E" w:rsidRPr="00702F59">
          <w:rPr>
            <w:rStyle w:val="Hyperlink"/>
            <w:szCs w:val="18"/>
            <w:lang w:val="en-IE"/>
          </w:rPr>
          <w:t>2024</w:t>
        </w:r>
      </w:hyperlink>
      <w:r w:rsidR="00854C3E" w:rsidRPr="00702F59">
        <w:rPr>
          <w:szCs w:val="18"/>
          <w:lang w:val="en-IE"/>
        </w:rPr>
        <w:t>). The future of European competitiveness. Part A – A competitiveness strategy for Europe</w:t>
      </w:r>
      <w:r w:rsidR="00854C3E" w:rsidRPr="00702F59">
        <w:t>.</w:t>
      </w:r>
    </w:p>
  </w:footnote>
  <w:footnote w:id="31">
    <w:p w14:paraId="708B79D8" w14:textId="38F3ED9E" w:rsidR="00854C3E" w:rsidRPr="00702F59" w:rsidRDefault="00854C3E" w:rsidP="0038438D">
      <w:pPr>
        <w:pStyle w:val="FootnoteText"/>
        <w:spacing w:before="0"/>
        <w:ind w:left="357" w:hanging="357"/>
      </w:pPr>
      <w:r w:rsidRPr="00702F59">
        <w:rPr>
          <w:rStyle w:val="FootnoteReference"/>
        </w:rPr>
        <w:footnoteRef/>
      </w:r>
      <w:r w:rsidRPr="00702F59">
        <w:t xml:space="preserve"> </w:t>
      </w:r>
      <w:r w:rsidR="00FF392A">
        <w:tab/>
      </w:r>
      <w:r w:rsidRPr="00702F59">
        <w:rPr>
          <w:lang w:val="en-IE"/>
        </w:rPr>
        <w:t xml:space="preserve">The relevance of this problem is also highlighted by stakeholders in the PC, as they consider the </w:t>
      </w:r>
      <w:r w:rsidR="00BD4D3F" w:rsidRPr="00702F59">
        <w:rPr>
          <w:lang w:val="en-IE"/>
        </w:rPr>
        <w:t xml:space="preserve">innovation and </w:t>
      </w:r>
      <w:r w:rsidRPr="00702F59">
        <w:rPr>
          <w:lang w:val="en-IE"/>
        </w:rPr>
        <w:t xml:space="preserve">technological gap for the EU in strategic technologies to be the second current biggest challenge to </w:t>
      </w:r>
      <w:r w:rsidR="00375E47" w:rsidRPr="00702F59">
        <w:rPr>
          <w:lang w:val="en-IE"/>
        </w:rPr>
        <w:t>competitiveness (8</w:t>
      </w:r>
      <w:r w:rsidR="00286776" w:rsidRPr="00702F59">
        <w:rPr>
          <w:lang w:val="en-IE"/>
        </w:rPr>
        <w:t>1</w:t>
      </w:r>
      <w:r w:rsidR="00375E47" w:rsidRPr="00702F59">
        <w:rPr>
          <w:lang w:val="en-IE"/>
        </w:rPr>
        <w:t>%, or</w:t>
      </w:r>
      <w:r w:rsidR="00C23AEE" w:rsidRPr="00702F59">
        <w:rPr>
          <w:lang w:val="en-IE"/>
        </w:rPr>
        <w:t xml:space="preserve"> </w:t>
      </w:r>
      <w:r w:rsidR="00881F82" w:rsidRPr="00702F59">
        <w:rPr>
          <w:lang w:val="en-IE"/>
        </w:rPr>
        <w:t xml:space="preserve">1 614 </w:t>
      </w:r>
      <w:r w:rsidR="00C23AEE" w:rsidRPr="00702F59">
        <w:rPr>
          <w:lang w:val="en-IE"/>
        </w:rPr>
        <w:t>respondents), after “underinvestment in research and innovation” (</w:t>
      </w:r>
      <w:r w:rsidR="00F251E5" w:rsidRPr="00702F59">
        <w:rPr>
          <w:lang w:val="en-IE"/>
        </w:rPr>
        <w:t>9</w:t>
      </w:r>
      <w:r w:rsidR="003963F2" w:rsidRPr="00702F59">
        <w:rPr>
          <w:lang w:val="en-IE"/>
        </w:rPr>
        <w:t>1</w:t>
      </w:r>
      <w:r w:rsidR="00F251E5" w:rsidRPr="00702F59">
        <w:rPr>
          <w:lang w:val="en-IE"/>
        </w:rPr>
        <w:t xml:space="preserve">%, or </w:t>
      </w:r>
      <w:r w:rsidR="00302475" w:rsidRPr="00702F59">
        <w:rPr>
          <w:lang w:val="en-IE"/>
        </w:rPr>
        <w:t>1 795</w:t>
      </w:r>
      <w:r w:rsidR="00F251E5" w:rsidRPr="00702F59">
        <w:rPr>
          <w:lang w:val="en-IE"/>
        </w:rPr>
        <w:t>)</w:t>
      </w:r>
      <w:r w:rsidRPr="00702F59">
        <w:rPr>
          <w:lang w:val="en-IE"/>
        </w:rPr>
        <w:t>.</w:t>
      </w:r>
    </w:p>
  </w:footnote>
  <w:footnote w:id="32">
    <w:p w14:paraId="703F3AED" w14:textId="00EFAA22" w:rsidR="0012737B" w:rsidRPr="00702F59" w:rsidRDefault="0012737B" w:rsidP="0038438D">
      <w:pPr>
        <w:pStyle w:val="FootnoteText"/>
        <w:spacing w:before="0"/>
        <w:ind w:left="357" w:hanging="357"/>
      </w:pPr>
      <w:r w:rsidRPr="00702F59">
        <w:rPr>
          <w:rStyle w:val="FootnoteReference"/>
        </w:rPr>
        <w:footnoteRef/>
      </w:r>
      <w:r w:rsidRPr="00702F59">
        <w:t xml:space="preserve"> </w:t>
      </w:r>
      <w:r w:rsidR="00FF392A">
        <w:tab/>
      </w:r>
      <w:r w:rsidRPr="00702F59">
        <w:t xml:space="preserve">The 3% R&amp;D target was formalised through the Lisbon Strategy. A brief overview of the history of the 3% target can be found here: </w:t>
      </w:r>
      <w:hyperlink r:id="rId9" w:history="1">
        <w:r w:rsidRPr="00702F59">
          <w:rPr>
            <w:rStyle w:val="Hyperlink"/>
          </w:rPr>
          <w:t>https://ec.europa.eu/invest-in-research/action/history_en.htm</w:t>
        </w:r>
      </w:hyperlink>
      <w:r w:rsidRPr="00702F59">
        <w:t xml:space="preserve"> </w:t>
      </w:r>
    </w:p>
  </w:footnote>
  <w:footnote w:id="33">
    <w:p w14:paraId="44C47A21" w14:textId="055E84C4" w:rsidR="0012737B" w:rsidRPr="00702F59" w:rsidRDefault="0012737B" w:rsidP="0038438D">
      <w:pPr>
        <w:pStyle w:val="FootnoteText"/>
        <w:spacing w:before="0"/>
        <w:ind w:left="357" w:hanging="357"/>
        <w:rPr>
          <w:lang w:val="en-IE"/>
        </w:rPr>
      </w:pPr>
      <w:r w:rsidRPr="00702F59">
        <w:rPr>
          <w:rStyle w:val="FootnoteReference"/>
        </w:rPr>
        <w:footnoteRef/>
      </w:r>
      <w:r w:rsidRPr="00702F59">
        <w:t xml:space="preserve"> </w:t>
      </w:r>
      <w:r w:rsidR="00FF392A">
        <w:tab/>
      </w:r>
      <w:r w:rsidRPr="00702F59">
        <w:rPr>
          <w:lang w:val="en-IE"/>
        </w:rPr>
        <w:t>DG Research and Innovation, Common R&amp;I Strategy and Foresight Service, Chief Economist Unit, based on Eurostat</w:t>
      </w:r>
    </w:p>
  </w:footnote>
  <w:footnote w:id="34">
    <w:p w14:paraId="33303FCB" w14:textId="1BA80C5D" w:rsidR="00304433" w:rsidRPr="00F0281E" w:rsidRDefault="00304433" w:rsidP="00FF392A">
      <w:pPr>
        <w:pStyle w:val="FootnoteText"/>
        <w:spacing w:before="30" w:after="30"/>
        <w:ind w:left="357" w:hanging="357"/>
      </w:pPr>
      <w:r w:rsidRPr="00702F59">
        <w:rPr>
          <w:rStyle w:val="FootnoteReference"/>
        </w:rPr>
        <w:footnoteRef/>
      </w:r>
      <w:r w:rsidRPr="00702F59">
        <w:t xml:space="preserve"> </w:t>
      </w:r>
      <w:r w:rsidR="00FF392A">
        <w:tab/>
      </w:r>
      <w:r w:rsidRPr="00702F59">
        <w:rPr>
          <w:lang w:val="en-IE"/>
        </w:rPr>
        <w:t xml:space="preserve"> </w:t>
      </w:r>
      <w:r w:rsidR="00F0281E" w:rsidRPr="00F0281E">
        <w:rPr>
          <w:lang w:val="en-IE"/>
        </w:rPr>
        <w:t>European Commission (2024) Steeman, J., Di Girolamo, V., Mitra, A., Peiffer-Smadja, O. et al., Why investing in research and innovation matters for a competitive, green, and fair Europe – A rationale for public and private action</w:t>
      </w:r>
    </w:p>
  </w:footnote>
  <w:footnote w:id="35">
    <w:p w14:paraId="18CE39DC" w14:textId="1836C65F" w:rsidR="0041469A" w:rsidRPr="00E267B2" w:rsidRDefault="0041469A" w:rsidP="0038438D">
      <w:pPr>
        <w:pStyle w:val="FootnoteText"/>
        <w:spacing w:before="0"/>
        <w:ind w:left="357" w:hanging="357"/>
      </w:pPr>
      <w:r w:rsidRPr="00702F59">
        <w:rPr>
          <w:rStyle w:val="FootnoteReference"/>
        </w:rPr>
        <w:footnoteRef/>
      </w:r>
      <w:r w:rsidRPr="00702F59">
        <w:t xml:space="preserve"> </w:t>
      </w:r>
      <w:r w:rsidR="00FF392A">
        <w:tab/>
      </w:r>
      <w:r w:rsidRPr="00702F59">
        <w:t>European Commission (2025: 4): A Competitiveness Compass for the EU. COM (2025) 30.</w:t>
      </w:r>
    </w:p>
  </w:footnote>
  <w:footnote w:id="36">
    <w:p w14:paraId="578E3DA0" w14:textId="0864DEBE" w:rsidR="00917C50" w:rsidRPr="00702F59" w:rsidRDefault="00917C50" w:rsidP="0038438D">
      <w:pPr>
        <w:pStyle w:val="FootnoteText"/>
        <w:spacing w:before="0"/>
        <w:ind w:left="357" w:hanging="357"/>
        <w:rPr>
          <w:lang w:val="en-IE"/>
        </w:rPr>
      </w:pPr>
      <w:r>
        <w:rPr>
          <w:rStyle w:val="FootnoteReference"/>
        </w:rPr>
        <w:footnoteRef/>
      </w:r>
      <w:r>
        <w:t xml:space="preserve"> </w:t>
      </w:r>
      <w:r w:rsidR="00FF392A">
        <w:tab/>
      </w:r>
      <w:r w:rsidRPr="00702F59">
        <w:rPr>
          <w:lang w:val="en-IE"/>
        </w:rPr>
        <w:t xml:space="preserve">Excessive dependence of the EU in foreign countries was considered the third major challenge linked to competitiveness, with </w:t>
      </w:r>
      <w:r w:rsidR="00625FBF" w:rsidRPr="00702F59">
        <w:rPr>
          <w:lang w:val="en-IE"/>
        </w:rPr>
        <w:t>82</w:t>
      </w:r>
      <w:r w:rsidRPr="00702F59">
        <w:rPr>
          <w:lang w:val="en-IE"/>
        </w:rPr>
        <w:t xml:space="preserve">% </w:t>
      </w:r>
      <w:r w:rsidR="00734841" w:rsidRPr="00702F59">
        <w:rPr>
          <w:lang w:val="en-IE"/>
        </w:rPr>
        <w:t>(N=</w:t>
      </w:r>
      <w:r w:rsidR="00023F5A" w:rsidRPr="00702F59">
        <w:rPr>
          <w:lang w:val="en-IE"/>
        </w:rPr>
        <w:t>1 598</w:t>
      </w:r>
      <w:r w:rsidR="00734841" w:rsidRPr="00702F59">
        <w:rPr>
          <w:lang w:val="en-IE"/>
        </w:rPr>
        <w:t xml:space="preserve">) </w:t>
      </w:r>
      <w:r w:rsidRPr="00702F59">
        <w:rPr>
          <w:lang w:val="en-IE"/>
        </w:rPr>
        <w:t xml:space="preserve">of respondents in the PC considering it </w:t>
      </w:r>
      <w:r w:rsidR="00A7655E" w:rsidRPr="00702F59">
        <w:rPr>
          <w:lang w:val="en-IE"/>
        </w:rPr>
        <w:t xml:space="preserve">as an “important” or “very important” problem. </w:t>
      </w:r>
    </w:p>
  </w:footnote>
  <w:footnote w:id="37">
    <w:p w14:paraId="1562756F" w14:textId="20C1C34A" w:rsidR="004B3C83" w:rsidRPr="00702F59" w:rsidRDefault="004B3C83" w:rsidP="0038438D">
      <w:pPr>
        <w:pStyle w:val="FootnoteText"/>
        <w:spacing w:before="0"/>
        <w:ind w:left="357" w:hanging="357"/>
        <w:rPr>
          <w:lang w:val="en-IE"/>
        </w:rPr>
      </w:pPr>
      <w:r w:rsidRPr="00702F59">
        <w:rPr>
          <w:rStyle w:val="FootnoteReference"/>
        </w:rPr>
        <w:footnoteRef/>
      </w:r>
      <w:r w:rsidRPr="00702F59">
        <w:t xml:space="preserve"> </w:t>
      </w:r>
      <w:r w:rsidR="00FF392A">
        <w:tab/>
      </w:r>
      <w:r w:rsidRPr="00702F59">
        <w:t>Draghi, M. (2024). The future of European competitiveness. Part A – A competitiveness strategy for Europe.</w:t>
      </w:r>
    </w:p>
  </w:footnote>
  <w:footnote w:id="38">
    <w:p w14:paraId="48ADAFF0" w14:textId="446DC46D" w:rsidR="00BD063D" w:rsidRPr="00702F59" w:rsidRDefault="00BD063D" w:rsidP="0038438D">
      <w:pPr>
        <w:pStyle w:val="FootnoteText"/>
        <w:spacing w:before="0"/>
        <w:ind w:left="357" w:hanging="357"/>
        <w:rPr>
          <w:lang w:val="en-IE"/>
        </w:rPr>
      </w:pPr>
      <w:r w:rsidRPr="00702F59">
        <w:rPr>
          <w:rStyle w:val="FootnoteReference"/>
        </w:rPr>
        <w:footnoteRef/>
      </w:r>
      <w:r w:rsidRPr="00702F59">
        <w:t xml:space="preserve"> </w:t>
      </w:r>
      <w:r w:rsidR="00FF392A">
        <w:tab/>
      </w:r>
      <w:r w:rsidRPr="00702F59">
        <w:rPr>
          <w:lang w:val="en-IE"/>
        </w:rPr>
        <w:t xml:space="preserve">See </w:t>
      </w:r>
      <w:r w:rsidR="00200BE1" w:rsidRPr="00702F59">
        <w:rPr>
          <w:lang w:val="en-IE"/>
        </w:rPr>
        <w:t>European Commission</w:t>
      </w:r>
      <w:r w:rsidRPr="00702F59">
        <w:rPr>
          <w:lang w:val="en-IE"/>
        </w:rPr>
        <w:t xml:space="preserve"> (2025)</w:t>
      </w:r>
      <w:r w:rsidR="00C85A1D" w:rsidRPr="00702F59">
        <w:rPr>
          <w:lang w:val="en-IE"/>
        </w:rPr>
        <w:t>.</w:t>
      </w:r>
      <w:r w:rsidRPr="00702F59">
        <w:rPr>
          <w:lang w:val="en-IE"/>
        </w:rPr>
        <w:t xml:space="preserve"> </w:t>
      </w:r>
      <w:r w:rsidRPr="00702F59">
        <w:t>White Paper for European Defence – Readiness 2030</w:t>
      </w:r>
      <w:r w:rsidR="00C85A1D" w:rsidRPr="00702F59">
        <w:t xml:space="preserve">. </w:t>
      </w:r>
      <w:r w:rsidRPr="00702F59">
        <w:t xml:space="preserve"> </w:t>
      </w:r>
    </w:p>
  </w:footnote>
  <w:footnote w:id="39">
    <w:p w14:paraId="068C7438" w14:textId="64DE1732" w:rsidR="00A37815" w:rsidRPr="00702F59" w:rsidRDefault="00A37815" w:rsidP="0038438D">
      <w:pPr>
        <w:pStyle w:val="FootnoteText"/>
        <w:spacing w:before="0"/>
        <w:ind w:left="357" w:hanging="357"/>
        <w:rPr>
          <w:lang w:val="en-IE"/>
        </w:rPr>
      </w:pPr>
      <w:r w:rsidRPr="00702F59">
        <w:rPr>
          <w:rStyle w:val="FootnoteReference"/>
        </w:rPr>
        <w:footnoteRef/>
      </w:r>
      <w:r w:rsidRPr="00702F59">
        <w:t xml:space="preserve"> </w:t>
      </w:r>
      <w:r w:rsidR="00FF392A">
        <w:tab/>
      </w:r>
      <w:r w:rsidR="00CE5E6F" w:rsidRPr="00702F59">
        <w:t>COM(2025) 30 final, p.2</w:t>
      </w:r>
      <w:r w:rsidRPr="00702F59">
        <w:rPr>
          <w:lang w:val="en-IE"/>
        </w:rPr>
        <w:t>.</w:t>
      </w:r>
      <w:r w:rsidR="00E410D1">
        <w:rPr>
          <w:lang w:val="en-IE"/>
        </w:rPr>
        <w:t xml:space="preserve"> </w:t>
      </w:r>
      <w:r w:rsidR="00AB57B0" w:rsidRPr="00AB57B0">
        <w:t>A Competitiveness Compass for the EU</w:t>
      </w:r>
      <w:r w:rsidR="00AB57B0">
        <w:t>.</w:t>
      </w:r>
    </w:p>
  </w:footnote>
  <w:footnote w:id="40">
    <w:p w14:paraId="6C171F3F" w14:textId="4866BEF0" w:rsidR="00942C2D" w:rsidRPr="00EC779F" w:rsidRDefault="00942C2D" w:rsidP="0038438D">
      <w:pPr>
        <w:pStyle w:val="FootnoteText"/>
        <w:spacing w:before="0"/>
        <w:ind w:left="357" w:hanging="357"/>
        <w:rPr>
          <w:lang w:val="en-US"/>
        </w:rPr>
      </w:pPr>
      <w:r w:rsidRPr="00702F59">
        <w:rPr>
          <w:rStyle w:val="FootnoteReference"/>
        </w:rPr>
        <w:footnoteRef/>
      </w:r>
      <w:r w:rsidRPr="00702F59">
        <w:t xml:space="preserve"> </w:t>
      </w:r>
      <w:r w:rsidR="00FF392A">
        <w:tab/>
      </w:r>
      <w:r w:rsidR="00BB2A0E" w:rsidRPr="00702F59">
        <w:t>A</w:t>
      </w:r>
      <w:r w:rsidR="00BB2A0E" w:rsidRPr="00702F59">
        <w:rPr>
          <w:lang w:val="en-IE"/>
        </w:rPr>
        <w:t>n investment gap in social infrastructures</w:t>
      </w:r>
      <w:r w:rsidR="00BB2A0E" w:rsidRPr="00BB2A0E">
        <w:rPr>
          <w:lang w:val="en-IE"/>
        </w:rPr>
        <w:t xml:space="preserve"> </w:t>
      </w:r>
      <w:r w:rsidR="00BB2A0E">
        <w:rPr>
          <w:lang w:val="en-IE"/>
        </w:rPr>
        <w:t>i</w:t>
      </w:r>
      <w:r w:rsidR="00BB2A0E" w:rsidRPr="00BB2A0E">
        <w:rPr>
          <w:lang w:val="en-IE"/>
        </w:rPr>
        <w:t xml:space="preserve">s estimated at </w:t>
      </w:r>
      <w:r w:rsidR="00BB2A0E" w:rsidRPr="00BB2A0E">
        <w:t>EUR 100-150 bn</w:t>
      </w:r>
      <w:r w:rsidR="00C85A1D">
        <w:t>. Source:</w:t>
      </w:r>
      <w:r w:rsidR="00BB2A0E" w:rsidRPr="00BB2A0E">
        <w:t xml:space="preserve"> High-Level Task </w:t>
      </w:r>
      <w:r w:rsidR="005A321D" w:rsidRPr="00BB2A0E">
        <w:t>Force on</w:t>
      </w:r>
      <w:r w:rsidR="00BB2A0E" w:rsidRPr="00BB2A0E">
        <w:t xml:space="preserve"> Investing in Social Infrastructure in Europe</w:t>
      </w:r>
      <w:r w:rsidR="00C85A1D">
        <w:t>.</w:t>
      </w:r>
    </w:p>
  </w:footnote>
  <w:footnote w:id="41">
    <w:p w14:paraId="2CE38979" w14:textId="38449AFF" w:rsidR="00D20F3A" w:rsidRPr="00EC779F" w:rsidRDefault="00D20F3A" w:rsidP="0038438D">
      <w:pPr>
        <w:pStyle w:val="FootnoteText"/>
        <w:spacing w:before="0"/>
        <w:ind w:left="357" w:hanging="357"/>
        <w:rPr>
          <w:lang w:val="en-IE"/>
        </w:rPr>
      </w:pPr>
      <w:r>
        <w:rPr>
          <w:rStyle w:val="FootnoteReference"/>
        </w:rPr>
        <w:footnoteRef/>
      </w:r>
      <w:r>
        <w:t xml:space="preserve"> </w:t>
      </w:r>
      <w:r w:rsidR="00FF392A">
        <w:tab/>
      </w:r>
      <w:r w:rsidRPr="00B42C70">
        <w:rPr>
          <w:szCs w:val="18"/>
          <w:lang w:val="en-IE"/>
        </w:rPr>
        <w:t>Draghi, M. (</w:t>
      </w:r>
      <w:hyperlink r:id="rId10" w:history="1">
        <w:r w:rsidRPr="00B42C70">
          <w:rPr>
            <w:rStyle w:val="Hyperlink"/>
            <w:szCs w:val="18"/>
            <w:lang w:val="en-IE"/>
          </w:rPr>
          <w:t>2024</w:t>
        </w:r>
      </w:hyperlink>
      <w:r w:rsidR="003B68FA">
        <w:rPr>
          <w:szCs w:val="18"/>
          <w:lang w:val="en-IE"/>
        </w:rPr>
        <w:t>:</w:t>
      </w:r>
      <w:r w:rsidR="00544028">
        <w:rPr>
          <w:szCs w:val="18"/>
          <w:lang w:val="en-IE"/>
        </w:rPr>
        <w:t xml:space="preserve"> </w:t>
      </w:r>
      <w:r w:rsidR="003B68FA">
        <w:rPr>
          <w:szCs w:val="18"/>
          <w:lang w:val="en-IE"/>
        </w:rPr>
        <w:t>281-282)</w:t>
      </w:r>
      <w:r w:rsidRPr="00B42C70">
        <w:rPr>
          <w:szCs w:val="18"/>
          <w:lang w:val="en-IE"/>
        </w:rPr>
        <w:t>. The future of European competitiveness. Part B – In-depth analysis and recommendations</w:t>
      </w:r>
      <w:r w:rsidR="003860E1">
        <w:rPr>
          <w:szCs w:val="18"/>
          <w:lang w:val="en-IE"/>
        </w:rPr>
        <w:t xml:space="preserve">. </w:t>
      </w:r>
      <w:r w:rsidR="008A2C25">
        <w:rPr>
          <w:szCs w:val="18"/>
          <w:lang w:val="en-IE"/>
        </w:rPr>
        <w:t xml:space="preserve">For the more detailed Commission estimates </w:t>
      </w:r>
      <w:r w:rsidR="00B66589">
        <w:rPr>
          <w:szCs w:val="18"/>
          <w:lang w:val="en-IE"/>
        </w:rPr>
        <w:t>s</w:t>
      </w:r>
      <w:r w:rsidR="003860E1">
        <w:rPr>
          <w:szCs w:val="18"/>
          <w:lang w:val="en-IE"/>
        </w:rPr>
        <w:t>e</w:t>
      </w:r>
      <w:r w:rsidR="00B66589">
        <w:rPr>
          <w:szCs w:val="18"/>
          <w:lang w:val="en-IE"/>
        </w:rPr>
        <w:t>e</w:t>
      </w:r>
      <w:r w:rsidR="003860E1">
        <w:rPr>
          <w:szCs w:val="18"/>
          <w:lang w:val="en-IE"/>
        </w:rPr>
        <w:t xml:space="preserve"> also</w:t>
      </w:r>
      <w:r w:rsidR="00B11D20">
        <w:rPr>
          <w:szCs w:val="18"/>
          <w:lang w:val="en-IE"/>
        </w:rPr>
        <w:t xml:space="preserve"> SWD</w:t>
      </w:r>
      <w:r w:rsidR="00B66589">
        <w:rPr>
          <w:szCs w:val="18"/>
          <w:lang w:val="en-IE"/>
        </w:rPr>
        <w:t>(2023)68 for the period until 2030 and SWD (2024) 63 for the period post 2030.</w:t>
      </w:r>
    </w:p>
  </w:footnote>
  <w:footnote w:id="42">
    <w:p w14:paraId="0A67206A" w14:textId="3A466451" w:rsidR="00394146" w:rsidRPr="00394146" w:rsidRDefault="00394146" w:rsidP="0038438D">
      <w:pPr>
        <w:pStyle w:val="FootnoteText"/>
        <w:spacing w:before="0"/>
        <w:ind w:left="357" w:hanging="357"/>
        <w:rPr>
          <w:lang w:val="en-IE"/>
        </w:rPr>
      </w:pPr>
      <w:r>
        <w:rPr>
          <w:rStyle w:val="FootnoteReference"/>
        </w:rPr>
        <w:footnoteRef/>
      </w:r>
      <w:r>
        <w:t xml:space="preserve"> </w:t>
      </w:r>
      <w:r w:rsidR="00FF392A">
        <w:tab/>
      </w:r>
      <w:r w:rsidRPr="00394146">
        <w:rPr>
          <w:lang w:val="en-IE"/>
        </w:rPr>
        <w:t xml:space="preserve">See Annex </w:t>
      </w:r>
      <w:r>
        <w:rPr>
          <w:lang w:val="en-IE"/>
        </w:rPr>
        <w:t>7</w:t>
      </w:r>
      <w:r w:rsidR="00652878">
        <w:rPr>
          <w:lang w:val="en-IE"/>
        </w:rPr>
        <w:t>.</w:t>
      </w:r>
    </w:p>
  </w:footnote>
  <w:footnote w:id="43">
    <w:p w14:paraId="1603E222" w14:textId="77777777" w:rsidR="00CB015C" w:rsidRPr="00487945" w:rsidRDefault="00CB015C" w:rsidP="0038438D">
      <w:pPr>
        <w:pStyle w:val="FootnoteText"/>
        <w:spacing w:before="0"/>
        <w:ind w:left="357" w:hanging="357"/>
      </w:pPr>
      <w:r>
        <w:rPr>
          <w:rStyle w:val="FootnoteReference"/>
        </w:rPr>
        <w:footnoteRef/>
      </w:r>
      <w:r>
        <w:t xml:space="preserve"> </w:t>
      </w:r>
      <w:r>
        <w:tab/>
        <w:t xml:space="preserve">For example, </w:t>
      </w:r>
      <w:r w:rsidRPr="00EC779F">
        <w:rPr>
          <w:lang w:val="en-IE"/>
        </w:rPr>
        <w:t>pilot production lines for advanced chips</w:t>
      </w:r>
      <w:r>
        <w:rPr>
          <w:lang w:val="en-IE"/>
        </w:rPr>
        <w:t>.</w:t>
      </w:r>
    </w:p>
  </w:footnote>
  <w:footnote w:id="44">
    <w:p w14:paraId="2E06FCE8" w14:textId="77777777" w:rsidR="00CB015C" w:rsidRPr="00BC1A5E" w:rsidRDefault="00CB015C" w:rsidP="0038438D">
      <w:pPr>
        <w:pStyle w:val="FootnoteText"/>
        <w:spacing w:before="0"/>
        <w:ind w:left="357" w:hanging="357"/>
        <w:rPr>
          <w:lang w:val="en-US"/>
        </w:rPr>
      </w:pPr>
      <w:r>
        <w:rPr>
          <w:rStyle w:val="FootnoteReference"/>
        </w:rPr>
        <w:footnoteRef/>
      </w:r>
      <w:r>
        <w:t xml:space="preserve"> </w:t>
      </w:r>
      <w:r>
        <w:tab/>
      </w:r>
      <w:r w:rsidRPr="00E133B8">
        <w:t xml:space="preserve">This is one of the multiple “valleys of death” present throughout the investment journey [see European Commission (2020: 535, 538). </w:t>
      </w:r>
      <w:r w:rsidRPr="00BB184A">
        <w:rPr>
          <w:i/>
        </w:rPr>
        <w:t>Science, Research and Innovation Performance of the EU 2020</w:t>
      </w:r>
      <w:r w:rsidRPr="00E133B8">
        <w:t xml:space="preserve">]. Analytically, </w:t>
      </w:r>
      <w:r>
        <w:t>the concept of “valley of death” refers to “</w:t>
      </w:r>
      <w:r w:rsidRPr="00F35CCF">
        <w:t>a financial or capital gap that exists between initial and later availability of funds for a company</w:t>
      </w:r>
      <w:r>
        <w:t xml:space="preserve">” [see </w:t>
      </w:r>
      <w:r w:rsidRPr="00BC3C9D">
        <w:t>Gbadegeshin</w:t>
      </w:r>
      <w:r>
        <w:t xml:space="preserve"> et al. (2022:3)</w:t>
      </w:r>
      <w:r w:rsidRPr="00F35CCF">
        <w:t>.</w:t>
      </w:r>
      <w:r>
        <w:t xml:space="preserve"> </w:t>
      </w:r>
      <w:r w:rsidRPr="00231B74">
        <w:t>Overcoming the Valley of Death: A New Model for High Technology Startup</w:t>
      </w:r>
      <w:r>
        <w:t xml:space="preserve">s, </w:t>
      </w:r>
      <w:r>
        <w:rPr>
          <w:i/>
          <w:iCs/>
        </w:rPr>
        <w:t xml:space="preserve">Sustainable Futures, </w:t>
      </w:r>
      <w:r>
        <w:t>volume 4, pp.1-15]. In this context, t</w:t>
      </w:r>
      <w:r w:rsidRPr="00A412BE">
        <w:t xml:space="preserve">he valley of death describes the difficulty for a start-up or new innovative technology to economically survive the period of negative cash flow in the early stages, before the new product is bringing in revenue from real customers. </w:t>
      </w:r>
      <w:r>
        <w:t xml:space="preserve">See </w:t>
      </w:r>
      <w:r w:rsidRPr="00B8200A">
        <w:rPr>
          <w:i/>
        </w:rPr>
        <w:t>Delivering a Climate Neutral Europe</w:t>
      </w:r>
      <w:r w:rsidRPr="00362300">
        <w:t>. (n.d.). United Kingdom: Taylor &amp; Francis.</w:t>
      </w:r>
    </w:p>
  </w:footnote>
  <w:footnote w:id="45">
    <w:p w14:paraId="5D211FDB" w14:textId="77777777" w:rsidR="00CB015C" w:rsidRDefault="00CB015C" w:rsidP="0038438D">
      <w:pPr>
        <w:spacing w:before="0" w:after="0"/>
        <w:ind w:left="357" w:hanging="357"/>
        <w:rPr>
          <w:rFonts w:eastAsia="Times New Roman"/>
        </w:rPr>
      </w:pPr>
      <w:r w:rsidRPr="00D858CC">
        <w:rPr>
          <w:rStyle w:val="FootnoteReference"/>
          <w:rFonts w:eastAsiaTheme="minorEastAsia"/>
          <w:sz w:val="20"/>
          <w:szCs w:val="20"/>
        </w:rPr>
        <w:footnoteRef/>
      </w:r>
      <w:r>
        <w:t xml:space="preserve"> </w:t>
      </w:r>
      <w:r>
        <w:tab/>
      </w:r>
      <w:r w:rsidRPr="004754AB">
        <w:rPr>
          <w:rFonts w:eastAsia="Times New Roman"/>
          <w:color w:val="000000" w:themeColor="text1"/>
          <w:sz w:val="20"/>
          <w:szCs w:val="20"/>
        </w:rPr>
        <w:t>The “Valley of Death” is commonly known as a market failure. Here we refer to the “second valley of death” where companies find it hard to obtain the required growth finance. Private investors are deterred by unproven ability to scale-up rapidly and generate cash flow. “First valley of death” is associated to pre-commercial development of a product, with still high technical risks and unproven ability to generate revenue. In both cases investments are seen too risky by private investors, and are, therefore, often not funded.</w:t>
      </w:r>
    </w:p>
  </w:footnote>
  <w:footnote w:id="46">
    <w:p w14:paraId="69D4A272" w14:textId="20790AC8" w:rsidR="00394AD9" w:rsidRPr="00DE77B9" w:rsidRDefault="00394AD9" w:rsidP="00213997">
      <w:pPr>
        <w:pStyle w:val="FootnoteText"/>
        <w:spacing w:before="0"/>
        <w:rPr>
          <w:lang w:val="en-IE"/>
        </w:rPr>
      </w:pPr>
      <w:r>
        <w:rPr>
          <w:rStyle w:val="FootnoteReference"/>
        </w:rPr>
        <w:footnoteRef/>
      </w:r>
      <w:r w:rsidR="00DD044E">
        <w:t xml:space="preserve">    </w:t>
      </w:r>
      <w:r w:rsidRPr="003F21AC">
        <w:t>The EU Startup and Scaleup Strategy Choose Europe to start and scale</w:t>
      </w:r>
      <w:r>
        <w:t xml:space="preserve">, </w:t>
      </w:r>
      <w:r w:rsidRPr="003401E5">
        <w:t>COM(2025) 270 fina</w:t>
      </w:r>
      <w:r>
        <w:t>l.</w:t>
      </w:r>
    </w:p>
  </w:footnote>
  <w:footnote w:id="47">
    <w:p w14:paraId="7AC5493D" w14:textId="5BBCDC94" w:rsidR="00213997" w:rsidRPr="00213997" w:rsidRDefault="00213997" w:rsidP="00213997">
      <w:pPr>
        <w:pStyle w:val="FootnoteText"/>
        <w:spacing w:before="0"/>
        <w:rPr>
          <w:lang w:val="en-IE"/>
        </w:rPr>
      </w:pPr>
      <w:r>
        <w:rPr>
          <w:rStyle w:val="FootnoteReference"/>
        </w:rPr>
        <w:footnoteRef/>
      </w:r>
      <w:r>
        <w:t xml:space="preserve"> </w:t>
      </w:r>
      <w:r w:rsidR="00DD044E">
        <w:t xml:space="preserve">   </w:t>
      </w:r>
      <w:r>
        <w:t>Ibid</w:t>
      </w:r>
    </w:p>
  </w:footnote>
  <w:footnote w:id="48">
    <w:p w14:paraId="5ACFEAA6" w14:textId="6364B46A" w:rsidR="00CB015C" w:rsidRPr="00B03DD3" w:rsidRDefault="00CB015C" w:rsidP="00213997">
      <w:pPr>
        <w:pStyle w:val="FootnoteText"/>
        <w:spacing w:before="0"/>
        <w:ind w:left="357" w:hanging="357"/>
        <w:rPr>
          <w:lang w:val="en-IE"/>
        </w:rPr>
      </w:pPr>
      <w:r>
        <w:rPr>
          <w:rStyle w:val="FootnoteReference"/>
        </w:rPr>
        <w:footnoteRef/>
      </w:r>
      <w:r>
        <w:t xml:space="preserve"> </w:t>
      </w:r>
      <w:r w:rsidR="00DD044E">
        <w:t xml:space="preserve">  </w:t>
      </w:r>
      <w:r w:rsidR="00E00D56">
        <w:t xml:space="preserve"> </w:t>
      </w:r>
      <w:r w:rsidRPr="009F4694">
        <w:t xml:space="preserve">A unicorn is a privately owned start-up company, which has reached a valuation of $1 billion (currently about </w:t>
      </w:r>
      <w:r>
        <w:t>EUR</w:t>
      </w:r>
      <w:r w:rsidRPr="009F4694">
        <w:t>8</w:t>
      </w:r>
      <w:r>
        <w:t>82</w:t>
      </w:r>
      <w:r w:rsidRPr="009F4694">
        <w:t xml:space="preserve"> million) or more</w:t>
      </w:r>
      <w:r>
        <w:t xml:space="preserve">. </w:t>
      </w:r>
    </w:p>
  </w:footnote>
  <w:footnote w:id="49">
    <w:p w14:paraId="7569D731" w14:textId="7545409B" w:rsidR="00CB015C" w:rsidRPr="00A73AD3" w:rsidRDefault="00CB015C" w:rsidP="00213997">
      <w:pPr>
        <w:pStyle w:val="FootnoteText"/>
        <w:spacing w:before="0"/>
        <w:ind w:left="357" w:hanging="357"/>
      </w:pPr>
      <w:r>
        <w:rPr>
          <w:rStyle w:val="FootnoteReference"/>
        </w:rPr>
        <w:footnoteRef/>
      </w:r>
      <w:r>
        <w:t xml:space="preserve"> </w:t>
      </w:r>
      <w:r w:rsidR="00DD044E">
        <w:t xml:space="preserve">  </w:t>
      </w:r>
      <w:r w:rsidRPr="00B42C70">
        <w:rPr>
          <w:szCs w:val="18"/>
          <w:lang w:val="en-IE"/>
        </w:rPr>
        <w:t>Draghi, M. (</w:t>
      </w:r>
      <w:hyperlink r:id="rId11" w:history="1">
        <w:r w:rsidRPr="00B42C70">
          <w:rPr>
            <w:rStyle w:val="Hyperlink"/>
            <w:szCs w:val="18"/>
            <w:lang w:val="en-IE"/>
          </w:rPr>
          <w:t>2024</w:t>
        </w:r>
      </w:hyperlink>
      <w:r w:rsidRPr="00B42C70">
        <w:rPr>
          <w:szCs w:val="18"/>
          <w:lang w:val="en-IE"/>
        </w:rPr>
        <w:t>). The future of European competitiveness. Part A – A competitiveness strategy for Europe.</w:t>
      </w:r>
    </w:p>
  </w:footnote>
  <w:footnote w:id="50">
    <w:p w14:paraId="27E9406F" w14:textId="2735505E" w:rsidR="009D6C16" w:rsidRPr="0032096B" w:rsidRDefault="009D6C16" w:rsidP="003A5A1D">
      <w:pPr>
        <w:pStyle w:val="FootnoteText"/>
        <w:spacing w:before="0"/>
        <w:ind w:left="357" w:hanging="357"/>
      </w:pPr>
      <w:r>
        <w:rPr>
          <w:rStyle w:val="FootnoteReference"/>
        </w:rPr>
        <w:footnoteRef/>
      </w:r>
      <w:r>
        <w:t xml:space="preserve"> DG Research and Innovation – Common R&amp;I Strategy and Foresight Service – Chief Economist Unit based on PitchBook data, as of the 11</w:t>
      </w:r>
      <w:r w:rsidRPr="005C29ED">
        <w:rPr>
          <w:vertAlign w:val="superscript"/>
        </w:rPr>
        <w:t>th</w:t>
      </w:r>
      <w:r>
        <w:t xml:space="preserve"> of February, 2025.</w:t>
      </w:r>
    </w:p>
  </w:footnote>
  <w:footnote w:id="51">
    <w:p w14:paraId="3A599919" w14:textId="4358E816" w:rsidR="009D6C16" w:rsidRPr="0032096B" w:rsidRDefault="009D6C16" w:rsidP="003A5A1D">
      <w:pPr>
        <w:pStyle w:val="FootnoteText"/>
        <w:spacing w:before="0"/>
        <w:ind w:left="357" w:hanging="357"/>
      </w:pPr>
      <w:r>
        <w:rPr>
          <w:rStyle w:val="FootnoteReference"/>
        </w:rPr>
        <w:footnoteRef/>
      </w:r>
      <w:r>
        <w:t xml:space="preserve">  </w:t>
      </w:r>
      <w:r w:rsidR="00733006">
        <w:t>I</w:t>
      </w:r>
      <w:r>
        <w:t>bid.</w:t>
      </w:r>
    </w:p>
  </w:footnote>
  <w:footnote w:id="52">
    <w:p w14:paraId="593E849C" w14:textId="0F409A54" w:rsidR="00075547" w:rsidRPr="007709BA" w:rsidRDefault="00075547" w:rsidP="003A5A1D">
      <w:pPr>
        <w:pStyle w:val="FootnoteText"/>
        <w:spacing w:before="0"/>
        <w:rPr>
          <w:lang w:val="en-IE"/>
        </w:rPr>
      </w:pPr>
      <w:r>
        <w:rPr>
          <w:rStyle w:val="FootnoteReference"/>
        </w:rPr>
        <w:footnoteRef/>
      </w:r>
      <w:r>
        <w:t xml:space="preserve">   </w:t>
      </w:r>
      <w:r w:rsidRPr="00C837CE">
        <w:t>European Commission</w:t>
      </w:r>
      <w:r>
        <w:t xml:space="preserve"> (</w:t>
      </w:r>
      <w:hyperlink r:id="rId12" w:history="1">
        <w:r w:rsidRPr="003A5A1D">
          <w:rPr>
            <w:rStyle w:val="Hyperlink"/>
          </w:rPr>
          <w:t>2025</w:t>
        </w:r>
      </w:hyperlink>
      <w:r>
        <w:t xml:space="preserve">). </w:t>
      </w:r>
      <w:r w:rsidRPr="00C837CE">
        <w:t>Steeman, J.-T., Peiffer-Smadja, O. and Ravet, J., </w:t>
      </w:r>
      <w:r w:rsidRPr="00C837CE">
        <w:rPr>
          <w:i/>
          <w:iCs/>
        </w:rPr>
        <w:t>A comparative analysis of public R&amp;I funding in the EU, US, and China</w:t>
      </w:r>
      <w:r w:rsidRPr="00C837CE">
        <w:t xml:space="preserve">, </w:t>
      </w:r>
    </w:p>
  </w:footnote>
  <w:footnote w:id="53">
    <w:p w14:paraId="3EB2C528" w14:textId="4498A290" w:rsidR="00464D7A" w:rsidRPr="00D75584" w:rsidRDefault="00464D7A" w:rsidP="003A5A1D">
      <w:pPr>
        <w:pStyle w:val="FootnoteText"/>
        <w:spacing w:before="0"/>
      </w:pPr>
      <w:r>
        <w:rPr>
          <w:rStyle w:val="FootnoteReference"/>
        </w:rPr>
        <w:footnoteRef/>
      </w:r>
      <w:r>
        <w:t xml:space="preserve"> </w:t>
      </w:r>
      <w:r>
        <w:rPr>
          <w:lang w:val="en-IE"/>
        </w:rPr>
        <w:t xml:space="preserve">Commission Staff Working Document for the </w:t>
      </w:r>
      <w:r w:rsidRPr="00BD643A">
        <w:t>EU Startup and Scaleup Strategy Choose Europe to start and scale</w:t>
      </w:r>
      <w:r>
        <w:t xml:space="preserve">, </w:t>
      </w:r>
      <w:r w:rsidRPr="00033F9B">
        <w:t>SWD(2025) 138 final</w:t>
      </w:r>
    </w:p>
  </w:footnote>
  <w:footnote w:id="54">
    <w:p w14:paraId="1A532575" w14:textId="44A6952B" w:rsidR="009D6C16" w:rsidRDefault="009D6C16" w:rsidP="003A5A1D">
      <w:pPr>
        <w:spacing w:before="0" w:after="0"/>
        <w:ind w:left="357" w:hanging="357"/>
      </w:pPr>
      <w:r w:rsidRPr="0055761C">
        <w:rPr>
          <w:sz w:val="20"/>
          <w:szCs w:val="20"/>
          <w:vertAlign w:val="superscript"/>
        </w:rPr>
        <w:footnoteRef/>
      </w:r>
      <w:r>
        <w:t xml:space="preserve"> </w:t>
      </w:r>
      <w:r w:rsidR="00E00D56">
        <w:t xml:space="preserve">  </w:t>
      </w:r>
      <w:r w:rsidRPr="00B8200A">
        <w:rPr>
          <w:rFonts w:eastAsiaTheme="minorEastAsia"/>
          <w:sz w:val="20"/>
          <w:szCs w:val="20"/>
        </w:rPr>
        <w:t xml:space="preserve">Staff Working document (SWD) on Horizon Europe mid-term evaluation 2025 </w:t>
      </w:r>
      <w:r>
        <w:rPr>
          <w:rFonts w:eastAsiaTheme="minorEastAsia"/>
          <w:sz w:val="20"/>
          <w:szCs w:val="20"/>
        </w:rPr>
        <w:t>(forthcoming)</w:t>
      </w:r>
      <w:r w:rsidRPr="00B8200A">
        <w:rPr>
          <w:rFonts w:eastAsiaTheme="minorEastAsia"/>
          <w:sz w:val="20"/>
          <w:szCs w:val="20"/>
        </w:rPr>
        <w:t>.</w:t>
      </w:r>
    </w:p>
  </w:footnote>
  <w:footnote w:id="55">
    <w:p w14:paraId="02D0B706" w14:textId="1564D0A5" w:rsidR="009D6C16" w:rsidRDefault="009D6C16" w:rsidP="003A5A1D">
      <w:pPr>
        <w:pStyle w:val="FootnoteText"/>
        <w:spacing w:before="0"/>
        <w:ind w:left="357" w:hanging="357"/>
        <w:rPr>
          <w:rFonts w:eastAsia="Times New Roman"/>
        </w:rPr>
      </w:pPr>
      <w:r>
        <w:rPr>
          <w:rStyle w:val="FootnoteReference"/>
        </w:rPr>
        <w:footnoteRef/>
      </w:r>
      <w:r>
        <w:t xml:space="preserve"> </w:t>
      </w:r>
      <w:r w:rsidR="00E00D56">
        <w:t xml:space="preserve">  </w:t>
      </w:r>
      <w:r>
        <w:t>European Commission (</w:t>
      </w:r>
      <w:hyperlink r:id="rId13" w:history="1">
        <w:r w:rsidRPr="0007536F">
          <w:rPr>
            <w:rStyle w:val="Hyperlink"/>
          </w:rPr>
          <w:t>2025</w:t>
        </w:r>
      </w:hyperlink>
      <w:r>
        <w:t xml:space="preserve">). </w:t>
      </w:r>
      <w:r w:rsidRPr="00B1021C">
        <w:t>The 2025 Annual Single Market and Competitiveness Report</w:t>
      </w:r>
      <w:r>
        <w:t xml:space="preserve">. </w:t>
      </w:r>
    </w:p>
  </w:footnote>
  <w:footnote w:id="56">
    <w:p w14:paraId="1C0A1987" w14:textId="51A88556" w:rsidR="009D6C16" w:rsidRPr="00AD0B08" w:rsidRDefault="009D6C16" w:rsidP="003A5A1D">
      <w:pPr>
        <w:pStyle w:val="FootnoteText"/>
        <w:spacing w:before="0"/>
        <w:ind w:left="357" w:hanging="357"/>
        <w:rPr>
          <w:lang w:val="en-US"/>
        </w:rPr>
      </w:pPr>
      <w:r>
        <w:rPr>
          <w:rStyle w:val="FootnoteReference"/>
        </w:rPr>
        <w:footnoteRef/>
      </w:r>
      <w:r>
        <w:t xml:space="preserve"> </w:t>
      </w:r>
      <w:r w:rsidR="00E00D56">
        <w:t xml:space="preserve">  </w:t>
      </w:r>
      <w:r w:rsidR="00283884">
        <w:t>Ibid</w:t>
      </w:r>
      <w:r w:rsidR="00652878">
        <w:t>.</w:t>
      </w:r>
    </w:p>
  </w:footnote>
  <w:footnote w:id="57">
    <w:p w14:paraId="4A821A4D" w14:textId="3FB472EB" w:rsidR="009D6C16" w:rsidRPr="0005698E" w:rsidRDefault="009D6C16" w:rsidP="003A5A1D">
      <w:pPr>
        <w:pStyle w:val="FootnoteText"/>
        <w:spacing w:before="0"/>
        <w:ind w:left="357" w:hanging="357"/>
        <w:rPr>
          <w:lang w:val="en-IE"/>
        </w:rPr>
      </w:pPr>
      <w:r>
        <w:rPr>
          <w:rStyle w:val="FootnoteReference"/>
        </w:rPr>
        <w:footnoteRef/>
      </w:r>
      <w:r>
        <w:t xml:space="preserve"> </w:t>
      </w:r>
      <w:r w:rsidR="00E00D56">
        <w:t xml:space="preserve">  </w:t>
      </w:r>
      <w:r w:rsidRPr="00F766B4">
        <w:t>European Parliament, Directorate–General for Internal Policies, The Digital Single Market and the digitalisation of the public sector, GovTech and other innovations in public procurement, May 2022</w:t>
      </w:r>
      <w:r w:rsidR="00441A5A">
        <w:t>.</w:t>
      </w:r>
    </w:p>
  </w:footnote>
  <w:footnote w:id="58">
    <w:p w14:paraId="7C37C6AC" w14:textId="7ABE5EA1" w:rsidR="009D6C16" w:rsidRPr="00AD0B08" w:rsidRDefault="009D6C16" w:rsidP="003A5A1D">
      <w:pPr>
        <w:pStyle w:val="FootnoteText"/>
        <w:spacing w:before="0"/>
        <w:ind w:left="357" w:hanging="357"/>
        <w:rPr>
          <w:lang w:val="en-IE"/>
        </w:rPr>
      </w:pPr>
      <w:r>
        <w:rPr>
          <w:rStyle w:val="FootnoteReference"/>
        </w:rPr>
        <w:footnoteRef/>
      </w:r>
      <w:r>
        <w:t xml:space="preserve"> </w:t>
      </w:r>
      <w:r w:rsidR="00FF392A">
        <w:tab/>
      </w:r>
      <w:r w:rsidR="00151377" w:rsidRPr="00B42C70">
        <w:rPr>
          <w:szCs w:val="18"/>
          <w:lang w:val="en-IE"/>
        </w:rPr>
        <w:t>Draghi, M. (</w:t>
      </w:r>
      <w:hyperlink r:id="rId14" w:history="1">
        <w:r w:rsidR="00151377" w:rsidRPr="00B42C70">
          <w:rPr>
            <w:rStyle w:val="Hyperlink"/>
            <w:szCs w:val="18"/>
            <w:lang w:val="en-IE"/>
          </w:rPr>
          <w:t>2024</w:t>
        </w:r>
      </w:hyperlink>
      <w:r w:rsidR="00151377" w:rsidRPr="00B42C70">
        <w:rPr>
          <w:szCs w:val="18"/>
          <w:lang w:val="en-IE"/>
        </w:rPr>
        <w:t>). The future of European competitiveness. Part A – A competitiveness strategy for Europe.</w:t>
      </w:r>
    </w:p>
  </w:footnote>
  <w:footnote w:id="59">
    <w:p w14:paraId="02CDB85D" w14:textId="738F44BD" w:rsidR="009D6C16" w:rsidRPr="00AD0B08" w:rsidRDefault="009D6C16" w:rsidP="003A5A1D">
      <w:pPr>
        <w:pStyle w:val="FootnoteText"/>
        <w:spacing w:before="0"/>
        <w:ind w:left="357" w:hanging="357"/>
        <w:rPr>
          <w:lang w:val="en-IE"/>
        </w:rPr>
      </w:pPr>
      <w:r>
        <w:rPr>
          <w:rStyle w:val="FootnoteReference"/>
        </w:rPr>
        <w:footnoteRef/>
      </w:r>
      <w:r>
        <w:t xml:space="preserve"> </w:t>
      </w:r>
      <w:r w:rsidR="00FF392A">
        <w:tab/>
      </w:r>
      <w:r w:rsidR="006B06B3">
        <w:t xml:space="preserve">EIB (2024) </w:t>
      </w:r>
      <w:r w:rsidR="004B4A70" w:rsidRPr="004B4A70">
        <w:t>A quantum leap in finance: How to boost Europe’s quantum technology industry</w:t>
      </w:r>
      <w:r w:rsidR="00441A5A">
        <w:t>.</w:t>
      </w:r>
      <w:r w:rsidR="004B4A70" w:rsidRPr="004B4A70">
        <w:t xml:space="preserve"> </w:t>
      </w:r>
    </w:p>
  </w:footnote>
  <w:footnote w:id="60">
    <w:p w14:paraId="44AC5E1B" w14:textId="3C6CF0FC" w:rsidR="00DE05BB" w:rsidRPr="009056DE" w:rsidRDefault="00DE05BB" w:rsidP="003A5A1D">
      <w:pPr>
        <w:pStyle w:val="FootnoteText"/>
        <w:spacing w:before="0"/>
        <w:ind w:left="357" w:hanging="357"/>
        <w:rPr>
          <w:lang w:val="en-IE"/>
        </w:rPr>
      </w:pPr>
      <w:r>
        <w:rPr>
          <w:rStyle w:val="FootnoteReference"/>
        </w:rPr>
        <w:footnoteRef/>
      </w:r>
      <w:r>
        <w:t xml:space="preserve"> </w:t>
      </w:r>
      <w:r w:rsidR="00FF392A">
        <w:tab/>
      </w:r>
      <w:r w:rsidRPr="009056DE">
        <w:rPr>
          <w:lang w:val="en-IE"/>
        </w:rPr>
        <w:t>EIB (</w:t>
      </w:r>
      <w:hyperlink r:id="rId15" w:history="1">
        <w:r w:rsidR="005972EF" w:rsidRPr="009603E0">
          <w:rPr>
            <w:rStyle w:val="Hyperlink"/>
            <w:lang w:val="en-IE"/>
          </w:rPr>
          <w:t>2024</w:t>
        </w:r>
      </w:hyperlink>
      <w:r w:rsidR="005972EF">
        <w:rPr>
          <w:lang w:val="en-IE"/>
        </w:rPr>
        <w:t xml:space="preserve">) </w:t>
      </w:r>
      <w:r w:rsidR="009603E0" w:rsidRPr="009603E0">
        <w:rPr>
          <w:lang w:val="en-IE"/>
        </w:rPr>
        <w:t>Financing sustainable liquid fuel</w:t>
      </w:r>
      <w:r w:rsidR="009603E0">
        <w:rPr>
          <w:lang w:val="en-IE"/>
        </w:rPr>
        <w:t xml:space="preserve"> </w:t>
      </w:r>
      <w:r w:rsidR="009603E0" w:rsidRPr="009603E0">
        <w:rPr>
          <w:lang w:val="en-IE"/>
        </w:rPr>
        <w:t>projects in Europe</w:t>
      </w:r>
      <w:r w:rsidR="009603E0">
        <w:rPr>
          <w:lang w:val="en-IE"/>
        </w:rPr>
        <w:t xml:space="preserve">. </w:t>
      </w:r>
      <w:r w:rsidR="009603E0" w:rsidRPr="009603E0">
        <w:rPr>
          <w:lang w:val="en-IE"/>
        </w:rPr>
        <w:t>Identifying barriers and overcoming them</w:t>
      </w:r>
      <w:r w:rsidR="00441A5A">
        <w:rPr>
          <w:lang w:val="en-IE"/>
        </w:rPr>
        <w:t>.</w:t>
      </w:r>
    </w:p>
  </w:footnote>
  <w:footnote w:id="61">
    <w:p w14:paraId="08FEC634" w14:textId="24ED3CAE" w:rsidR="001E0CC9" w:rsidRPr="009056DE" w:rsidRDefault="001E0CC9" w:rsidP="00FF392A">
      <w:pPr>
        <w:pStyle w:val="FootnoteText"/>
        <w:spacing w:before="30" w:after="30"/>
        <w:ind w:left="357" w:hanging="357"/>
        <w:rPr>
          <w:lang w:val="en-IE"/>
        </w:rPr>
      </w:pPr>
      <w:r>
        <w:rPr>
          <w:rStyle w:val="FootnoteReference"/>
        </w:rPr>
        <w:footnoteRef/>
      </w:r>
      <w:r w:rsidR="00FF392A">
        <w:tab/>
      </w:r>
      <w:r w:rsidR="00AE4E38">
        <w:t>WEF(</w:t>
      </w:r>
      <w:hyperlink r:id="rId16" w:history="1">
        <w:r w:rsidR="00AE4E38" w:rsidRPr="00AE4E38">
          <w:rPr>
            <w:rStyle w:val="Hyperlink"/>
          </w:rPr>
          <w:t>2024</w:t>
        </w:r>
      </w:hyperlink>
      <w:r w:rsidR="00AE4E38">
        <w:t xml:space="preserve">) </w:t>
      </w:r>
      <w:r w:rsidR="00AE4E38" w:rsidRPr="00AE4E38">
        <w:t>Funding the future: Sustainable financing models to help the fight against antimicrobial resistance</w:t>
      </w:r>
      <w:r w:rsidR="00441A5A">
        <w:t>.</w:t>
      </w:r>
    </w:p>
  </w:footnote>
  <w:footnote w:id="62">
    <w:p w14:paraId="29266F46" w14:textId="204E22CA" w:rsidR="009D6C16" w:rsidRDefault="009D6C16" w:rsidP="0038438D">
      <w:pPr>
        <w:pStyle w:val="FootnoteText"/>
        <w:spacing w:before="0"/>
        <w:ind w:left="357" w:hanging="357"/>
      </w:pPr>
      <w:r>
        <w:rPr>
          <w:rStyle w:val="FootnoteReference"/>
        </w:rPr>
        <w:footnoteRef/>
      </w:r>
      <w:r>
        <w:t xml:space="preserve"> </w:t>
      </w:r>
      <w:r w:rsidR="00FF392A">
        <w:tab/>
      </w:r>
      <w:r w:rsidR="00651864" w:rsidRPr="00651864">
        <w:t>Forthcoming study by the European Commission. The study analyses the SME financing gap by exploring financial market failures in the EU27 and across each EU Member State in providing credit to financially viable borrowers. The approach uses SME survey data from 2017-2023 to gauge the number of SMEs unsuccessful in obtaining a loan,</w:t>
      </w:r>
    </w:p>
  </w:footnote>
  <w:footnote w:id="63">
    <w:p w14:paraId="60EB0E06" w14:textId="0A96FEF8" w:rsidR="00E04E8B" w:rsidRPr="00B03DD3" w:rsidRDefault="00E04E8B" w:rsidP="0038438D">
      <w:pPr>
        <w:pStyle w:val="FootnoteText"/>
        <w:spacing w:before="0"/>
        <w:ind w:left="357" w:hanging="357"/>
        <w:rPr>
          <w:lang w:val="en-IE"/>
        </w:rPr>
      </w:pPr>
      <w:r>
        <w:rPr>
          <w:rStyle w:val="FootnoteReference"/>
        </w:rPr>
        <w:footnoteRef/>
      </w:r>
      <w:r>
        <w:t xml:space="preserve"> </w:t>
      </w:r>
      <w:r w:rsidR="00FF392A">
        <w:tab/>
      </w:r>
      <w:r w:rsidRPr="00A90154">
        <w:t xml:space="preserve">Draghi, M. (2024: </w:t>
      </w:r>
      <w:r>
        <w:t>289</w:t>
      </w:r>
      <w:r w:rsidRPr="00A90154">
        <w:t xml:space="preserve">). The future of European competitiveness. Part B – In-depth analysis and recommendations. </w:t>
      </w:r>
    </w:p>
  </w:footnote>
  <w:footnote w:id="64">
    <w:p w14:paraId="6A8193C6" w14:textId="722110F8" w:rsidR="0074240F" w:rsidRPr="0074240F" w:rsidRDefault="0074240F" w:rsidP="0038438D">
      <w:pPr>
        <w:pStyle w:val="FootnoteText"/>
        <w:spacing w:before="0"/>
      </w:pPr>
      <w:r>
        <w:rPr>
          <w:rStyle w:val="FootnoteReference"/>
        </w:rPr>
        <w:footnoteRef/>
      </w:r>
      <w:r>
        <w:t xml:space="preserve"> </w:t>
      </w:r>
      <w:r w:rsidR="0019776C">
        <w:t xml:space="preserve">   </w:t>
      </w:r>
      <w:r>
        <w:t xml:space="preserve"> Annex </w:t>
      </w:r>
      <w:r w:rsidR="00D246C7">
        <w:t>8</w:t>
      </w:r>
      <w:r>
        <w:t xml:space="preserve"> provides an overview of the varying </w:t>
      </w:r>
      <w:r w:rsidR="00066590">
        <w:t>el</w:t>
      </w:r>
      <w:r w:rsidR="002B1368">
        <w:t>igibility criteria of the programmes in the scope of this IA.</w:t>
      </w:r>
    </w:p>
  </w:footnote>
  <w:footnote w:id="65">
    <w:p w14:paraId="0E02E8E5" w14:textId="5DC0182E" w:rsidR="00E04E8B" w:rsidRPr="00B03DD3" w:rsidRDefault="00E04E8B" w:rsidP="0038438D">
      <w:pPr>
        <w:pStyle w:val="FootnoteText"/>
        <w:spacing w:before="0"/>
        <w:ind w:left="357" w:hanging="357"/>
        <w:rPr>
          <w:lang w:val="en-IE"/>
        </w:rPr>
      </w:pPr>
      <w:r>
        <w:rPr>
          <w:rStyle w:val="FootnoteReference"/>
        </w:rPr>
        <w:footnoteRef/>
      </w:r>
      <w:r>
        <w:t xml:space="preserve"> </w:t>
      </w:r>
      <w:r w:rsidR="00FF392A">
        <w:tab/>
      </w:r>
      <w:r w:rsidR="00764210">
        <w:t>European Commission (2025</w:t>
      </w:r>
      <w:r w:rsidR="00C530AC">
        <w:t>):</w:t>
      </w:r>
      <w:r w:rsidR="00764210">
        <w:t xml:space="preserve"> </w:t>
      </w:r>
      <w:r w:rsidR="00D65C02">
        <w:t xml:space="preserve">Competitiveness </w:t>
      </w:r>
      <w:r w:rsidR="00283884">
        <w:t>Fund:</w:t>
      </w:r>
      <w:r w:rsidR="00D65C02">
        <w:t xml:space="preserve"> </w:t>
      </w:r>
      <w:r w:rsidR="00764210" w:rsidRPr="00764210">
        <w:t>Assessment of costs and benefits and comparison of options</w:t>
      </w:r>
    </w:p>
  </w:footnote>
  <w:footnote w:id="66">
    <w:p w14:paraId="20AD603A" w14:textId="465724B9" w:rsidR="00E04E8B" w:rsidRPr="00405F5A" w:rsidRDefault="00E04E8B" w:rsidP="0038438D">
      <w:pPr>
        <w:pStyle w:val="FootnoteText"/>
        <w:spacing w:before="0"/>
        <w:ind w:left="357" w:hanging="357"/>
        <w:rPr>
          <w:lang w:val="en-IE"/>
        </w:rPr>
      </w:pPr>
      <w:r>
        <w:rPr>
          <w:rStyle w:val="FootnoteReference"/>
        </w:rPr>
        <w:footnoteRef/>
      </w:r>
      <w:r>
        <w:t xml:space="preserve"> </w:t>
      </w:r>
      <w:r w:rsidR="00FF392A">
        <w:tab/>
      </w:r>
      <w:r w:rsidRPr="0038438D">
        <w:t>Evidence from the health sector shows that health innovation in the EU is hindered by a slow and complex regulatory framework. For medicines, some elements are currently under review (pharmaceutical legislation) or recently changed (clinical trials). Multi-country or EU-wide trials can provide EU developers with sufficient scale to compete with the US and others. Regulatory differences between Member States as well as the slow uptake of digital tools pose a significant challenge in this regard. In addition, approval times for new medicines in the EU/EEA can be longer than in other regions.</w:t>
      </w:r>
      <w:r w:rsidR="00F1385E">
        <w:t xml:space="preserve"> </w:t>
      </w:r>
      <w:r w:rsidR="00242769">
        <w:t xml:space="preserve">Source: </w:t>
      </w:r>
      <w:r w:rsidR="00242769" w:rsidRPr="00734492">
        <w:t>Draghi, M. (</w:t>
      </w:r>
      <w:hyperlink r:id="rId17" w:history="1">
        <w:r w:rsidR="00242769" w:rsidRPr="00B42C70">
          <w:rPr>
            <w:rStyle w:val="Hyperlink"/>
            <w:szCs w:val="18"/>
            <w:lang w:val="en-IE"/>
          </w:rPr>
          <w:t>2024</w:t>
        </w:r>
      </w:hyperlink>
      <w:r w:rsidR="00242769">
        <w:t>)</w:t>
      </w:r>
      <w:r w:rsidR="00242769" w:rsidRPr="00734492">
        <w:t xml:space="preserve">. The future of European competitiveness. Part </w:t>
      </w:r>
      <w:r w:rsidR="00242769">
        <w:t>B: In-depth analysis and recommendations</w:t>
      </w:r>
    </w:p>
  </w:footnote>
  <w:footnote w:id="67">
    <w:p w14:paraId="36514C0A" w14:textId="29CE5724" w:rsidR="00E04E8B" w:rsidRPr="00EC779F" w:rsidRDefault="00E04E8B" w:rsidP="0038438D">
      <w:pPr>
        <w:pStyle w:val="FootnoteText"/>
        <w:spacing w:before="0"/>
        <w:ind w:left="357" w:hanging="357"/>
        <w:rPr>
          <w:lang w:val="en-IE"/>
        </w:rPr>
      </w:pPr>
      <w:r>
        <w:rPr>
          <w:rStyle w:val="FootnoteReference"/>
        </w:rPr>
        <w:footnoteRef/>
      </w:r>
      <w:r>
        <w:t xml:space="preserve"> </w:t>
      </w:r>
      <w:r w:rsidR="00FF392A">
        <w:tab/>
      </w:r>
      <w:r w:rsidRPr="00194666">
        <w:t>Article 63(9) of the Common Provisions Regulation (CPR) allows support to an operation from multiple EU instruments, but at the same time makes costs declared under another EU instrument ineligible under CPR. This has proven to be a difficulty in combining ERDF with directly managed programmes.</w:t>
      </w:r>
    </w:p>
  </w:footnote>
  <w:footnote w:id="68">
    <w:p w14:paraId="67DEF399" w14:textId="436C37CB" w:rsidR="00E04E8B" w:rsidRPr="00B03DD3" w:rsidRDefault="00E04E8B" w:rsidP="0038438D">
      <w:pPr>
        <w:pStyle w:val="FootnoteText"/>
        <w:spacing w:before="0"/>
        <w:ind w:left="357" w:hanging="357"/>
        <w:rPr>
          <w:lang w:val="en-IE"/>
        </w:rPr>
      </w:pPr>
      <w:r>
        <w:rPr>
          <w:rStyle w:val="FootnoteReference"/>
        </w:rPr>
        <w:footnoteRef/>
      </w:r>
      <w:r>
        <w:t xml:space="preserve"> </w:t>
      </w:r>
      <w:r w:rsidR="00FF392A">
        <w:tab/>
      </w:r>
      <w:r w:rsidRPr="00F019DE">
        <w:rPr>
          <w:lang w:val="en-IE"/>
        </w:rPr>
        <w:t>STEP interim evaluation</w:t>
      </w:r>
      <w:r w:rsidR="00B63066" w:rsidRPr="00F019DE">
        <w:rPr>
          <w:lang w:val="en-IE"/>
        </w:rPr>
        <w:t xml:space="preserve"> (</w:t>
      </w:r>
      <w:r w:rsidR="00D41734" w:rsidRPr="00F019DE">
        <w:rPr>
          <w:lang w:val="en-IE"/>
        </w:rPr>
        <w:t>forthcoming</w:t>
      </w:r>
      <w:r w:rsidR="00B63066" w:rsidRPr="00F019DE">
        <w:rPr>
          <w:lang w:val="en-IE"/>
        </w:rPr>
        <w:t>)</w:t>
      </w:r>
      <w:r w:rsidR="00172EEA">
        <w:rPr>
          <w:lang w:val="en-IE"/>
        </w:rPr>
        <w:t>.</w:t>
      </w:r>
    </w:p>
  </w:footnote>
  <w:footnote w:id="69">
    <w:p w14:paraId="2F2BB2C9" w14:textId="5C4B8BCF" w:rsidR="00613E2E" w:rsidRPr="00EC779F" w:rsidRDefault="00613E2E" w:rsidP="0038438D">
      <w:pPr>
        <w:pStyle w:val="FootnoteText"/>
        <w:spacing w:before="0"/>
        <w:ind w:left="357" w:hanging="357"/>
        <w:rPr>
          <w:lang w:val="en-IE"/>
        </w:rPr>
      </w:pPr>
      <w:r w:rsidRPr="001629B7">
        <w:rPr>
          <w:rStyle w:val="FootnoteReference"/>
        </w:rPr>
        <w:footnoteRef/>
      </w:r>
      <w:r w:rsidRPr="001629B7">
        <w:t xml:space="preserve"> </w:t>
      </w:r>
      <w:r w:rsidR="00FF392A">
        <w:tab/>
      </w:r>
      <w:r w:rsidR="001629B7" w:rsidRPr="001629B7">
        <w:t xml:space="preserve">See Annex </w:t>
      </w:r>
      <w:r w:rsidR="00D246C7">
        <w:t>8</w:t>
      </w:r>
      <w:r w:rsidR="003C4D4F">
        <w:t>.</w:t>
      </w:r>
      <w:r w:rsidRPr="001629B7">
        <w:t xml:space="preserve"> </w:t>
      </w:r>
    </w:p>
  </w:footnote>
  <w:footnote w:id="70">
    <w:p w14:paraId="3A768F87" w14:textId="40CF5FC4" w:rsidR="00613E2E" w:rsidRPr="00EB47CE" w:rsidRDefault="00613E2E" w:rsidP="0038438D">
      <w:pPr>
        <w:pStyle w:val="FootnoteText"/>
        <w:spacing w:before="0"/>
        <w:ind w:left="357" w:hanging="357"/>
      </w:pPr>
      <w:r>
        <w:rPr>
          <w:rStyle w:val="FootnoteReference"/>
        </w:rPr>
        <w:footnoteRef/>
      </w:r>
      <w:r>
        <w:t xml:space="preserve"> </w:t>
      </w:r>
      <w:r w:rsidR="00FF392A">
        <w:tab/>
      </w:r>
      <w:r w:rsidR="00D25C50">
        <w:t>European Court of Auditors (</w:t>
      </w:r>
      <w:hyperlink r:id="rId18" w:history="1">
        <w:r w:rsidR="00D25C50" w:rsidRPr="00DB5A2E">
          <w:rPr>
            <w:rStyle w:val="Hyperlink"/>
          </w:rPr>
          <w:t>2023</w:t>
        </w:r>
      </w:hyperlink>
      <w:r w:rsidR="00D25C50">
        <w:t>)</w:t>
      </w:r>
      <w:r w:rsidR="00DB5A2E">
        <w:t>. The EU’s financial landscape</w:t>
      </w:r>
      <w:r w:rsidR="00F35C14">
        <w:t>.</w:t>
      </w:r>
    </w:p>
  </w:footnote>
  <w:footnote w:id="71">
    <w:p w14:paraId="4A2FAB4E" w14:textId="60454BDB" w:rsidR="009A489D" w:rsidRPr="006512CB" w:rsidRDefault="009A489D" w:rsidP="006512CB">
      <w:pPr>
        <w:pStyle w:val="FootnoteText"/>
        <w:spacing w:before="0"/>
        <w:rPr>
          <w:lang w:val="en-IE"/>
        </w:rPr>
      </w:pPr>
      <w:r>
        <w:rPr>
          <w:rStyle w:val="FootnoteReference"/>
        </w:rPr>
        <w:footnoteRef/>
      </w:r>
      <w:r>
        <w:t xml:space="preserve"> </w:t>
      </w:r>
      <w:r w:rsidR="00E00D56">
        <w:t xml:space="preserve">  </w:t>
      </w:r>
      <w:r>
        <w:t xml:space="preserve">ECA (2024) </w:t>
      </w:r>
      <w:r w:rsidRPr="009A489D">
        <w:rPr>
          <w:lang w:val="en-IE"/>
        </w:rPr>
        <w:t>Special report 08/2024: EU Artificial intelligence ambition – Stronger governance and increased, more focused investment essential going forward</w:t>
      </w:r>
    </w:p>
  </w:footnote>
  <w:footnote w:id="72">
    <w:p w14:paraId="4C5335DC" w14:textId="3633AE7F" w:rsidR="00502937" w:rsidRPr="00502937" w:rsidRDefault="00502937" w:rsidP="006512CB">
      <w:pPr>
        <w:pStyle w:val="FootnoteText"/>
        <w:spacing w:before="0"/>
        <w:ind w:left="357" w:hanging="357"/>
      </w:pPr>
      <w:r>
        <w:rPr>
          <w:rStyle w:val="FootnoteReference"/>
        </w:rPr>
        <w:footnoteRef/>
      </w:r>
      <w:r>
        <w:t xml:space="preserve"> </w:t>
      </w:r>
      <w:r w:rsidR="00FF392A">
        <w:tab/>
      </w:r>
      <w:r w:rsidR="00FF5D15">
        <w:t>See Annex 7</w:t>
      </w:r>
      <w:r w:rsidR="00F1385E">
        <w:t>.</w:t>
      </w:r>
    </w:p>
  </w:footnote>
  <w:footnote w:id="73">
    <w:p w14:paraId="716D04F5" w14:textId="786A008C" w:rsidR="00613E2E" w:rsidRPr="00B03DD3" w:rsidRDefault="00613E2E" w:rsidP="006512CB">
      <w:pPr>
        <w:pStyle w:val="FootnoteText"/>
        <w:spacing w:before="0"/>
        <w:ind w:left="357" w:hanging="357"/>
        <w:rPr>
          <w:lang w:val="en-IE"/>
        </w:rPr>
      </w:pPr>
      <w:r>
        <w:rPr>
          <w:rStyle w:val="FootnoteReference"/>
        </w:rPr>
        <w:footnoteRef/>
      </w:r>
      <w:r>
        <w:t xml:space="preserve"> </w:t>
      </w:r>
      <w:r w:rsidR="00FF392A">
        <w:tab/>
      </w:r>
      <w:r w:rsidR="00172EEA">
        <w:t xml:space="preserve">SWD(2025) 110 final. </w:t>
      </w:r>
      <w:r w:rsidR="006E3197" w:rsidRPr="006E3197">
        <w:t>Interim evaluation of Horizon Europ</w:t>
      </w:r>
      <w:r w:rsidR="00172EEA">
        <w:t>e.</w:t>
      </w:r>
    </w:p>
  </w:footnote>
  <w:footnote w:id="74">
    <w:p w14:paraId="7E641FD0" w14:textId="7809EAEF" w:rsidR="00613E2E" w:rsidRPr="006C1DBE" w:rsidRDefault="00613E2E" w:rsidP="006512CB">
      <w:pPr>
        <w:pStyle w:val="FootnoteText"/>
        <w:spacing w:before="0"/>
        <w:ind w:left="357" w:hanging="357"/>
      </w:pPr>
      <w:r>
        <w:rPr>
          <w:rStyle w:val="FootnoteReference"/>
        </w:rPr>
        <w:footnoteRef/>
      </w:r>
      <w:r>
        <w:t xml:space="preserve"> </w:t>
      </w:r>
      <w:r w:rsidR="00FF392A">
        <w:tab/>
      </w:r>
      <w:r w:rsidRPr="0087036A">
        <w:rPr>
          <w:lang w:val="en-IE"/>
        </w:rPr>
        <w:t>COM(2025)</w:t>
      </w:r>
      <w:r>
        <w:rPr>
          <w:lang w:val="en-IE"/>
        </w:rPr>
        <w:t xml:space="preserve"> </w:t>
      </w:r>
      <w:r w:rsidRPr="0087036A">
        <w:rPr>
          <w:lang w:val="en-IE"/>
        </w:rPr>
        <w:t>46</w:t>
      </w:r>
      <w:r w:rsidR="00965045">
        <w:rPr>
          <w:lang w:val="en-IE"/>
        </w:rPr>
        <w:t xml:space="preserve">. </w:t>
      </w:r>
      <w:r w:rsidR="00965045" w:rsidRPr="00965045">
        <w:rPr>
          <w:lang w:val="en-IE"/>
        </w:rPr>
        <w:t>The road to the next multiannual financial framework</w:t>
      </w:r>
      <w:r w:rsidR="00965045">
        <w:rPr>
          <w:lang w:val="en-IE"/>
        </w:rPr>
        <w:t>.</w:t>
      </w:r>
    </w:p>
  </w:footnote>
  <w:footnote w:id="75">
    <w:p w14:paraId="622575A8" w14:textId="6719F2D7" w:rsidR="00613E2E" w:rsidRPr="00B03DD3" w:rsidRDefault="00613E2E" w:rsidP="006512CB">
      <w:pPr>
        <w:pStyle w:val="FootnoteText"/>
        <w:spacing w:before="0"/>
        <w:ind w:left="357" w:hanging="357"/>
        <w:rPr>
          <w:lang w:val="en-IE"/>
        </w:rPr>
      </w:pPr>
      <w:r>
        <w:rPr>
          <w:rStyle w:val="FootnoteReference"/>
        </w:rPr>
        <w:footnoteRef/>
      </w:r>
      <w:r>
        <w:t xml:space="preserve"> </w:t>
      </w:r>
      <w:r w:rsidR="00FF392A">
        <w:tab/>
      </w:r>
      <w:r w:rsidRPr="00B03DD3">
        <w:rPr>
          <w:lang w:val="en-IE"/>
        </w:rPr>
        <w:t>STEP interim evaluation (forthcoming evaluation)</w:t>
      </w:r>
      <w:r w:rsidR="00F35C14">
        <w:rPr>
          <w:lang w:val="en-IE"/>
        </w:rPr>
        <w:t>.</w:t>
      </w:r>
    </w:p>
  </w:footnote>
  <w:footnote w:id="76">
    <w:p w14:paraId="521F9B0D" w14:textId="0A42D835" w:rsidR="00613E2E" w:rsidRPr="00274DC9" w:rsidRDefault="00613E2E" w:rsidP="006512CB">
      <w:pPr>
        <w:pStyle w:val="FootnoteText"/>
        <w:spacing w:before="0"/>
        <w:ind w:left="357" w:hanging="357"/>
      </w:pPr>
      <w:r>
        <w:rPr>
          <w:rStyle w:val="FootnoteReference"/>
        </w:rPr>
        <w:footnoteRef/>
      </w:r>
      <w:r>
        <w:t xml:space="preserve"> </w:t>
      </w:r>
      <w:r w:rsidR="00FF392A">
        <w:tab/>
      </w:r>
      <w:r w:rsidRPr="009F3318">
        <w:t>COM(2023) 401 final</w:t>
      </w:r>
      <w:r w:rsidR="00965045">
        <w:t>.</w:t>
      </w:r>
      <w:r>
        <w:t xml:space="preserve"> </w:t>
      </w:r>
      <w:r w:rsidRPr="009F3318">
        <w:t xml:space="preserve">Annual management and performance report for the EU budget, </w:t>
      </w:r>
      <w:r w:rsidR="00965045" w:rsidRPr="009F3318">
        <w:t>financial</w:t>
      </w:r>
      <w:r w:rsidRPr="009F3318">
        <w:t xml:space="preserve"> year 2022.</w:t>
      </w:r>
    </w:p>
  </w:footnote>
  <w:footnote w:id="77">
    <w:p w14:paraId="015057BA" w14:textId="79BF9925" w:rsidR="009462DF" w:rsidRPr="00C260E1" w:rsidRDefault="009462DF" w:rsidP="006512CB">
      <w:pPr>
        <w:pStyle w:val="FootnoteText"/>
        <w:spacing w:before="0"/>
        <w:ind w:left="357" w:hanging="357"/>
        <w:rPr>
          <w:lang w:val="en-IE"/>
        </w:rPr>
      </w:pPr>
      <w:r>
        <w:rPr>
          <w:rStyle w:val="FootnoteReference"/>
        </w:rPr>
        <w:footnoteRef/>
      </w:r>
      <w:r>
        <w:t xml:space="preserve"> </w:t>
      </w:r>
      <w:r w:rsidR="00FF392A">
        <w:tab/>
      </w:r>
      <w:r w:rsidRPr="00C260E1">
        <w:t xml:space="preserve">Disparities in capacities across Member States were described as an important (or very important) challenge for competitiveness by </w:t>
      </w:r>
      <w:r w:rsidR="007D0E9B" w:rsidRPr="00C260E1">
        <w:t>58</w:t>
      </w:r>
      <w:r w:rsidRPr="00C260E1">
        <w:t>% of stakeholders in the PC (N=</w:t>
      </w:r>
      <w:r w:rsidR="00231246" w:rsidRPr="00C260E1">
        <w:t>1133</w:t>
      </w:r>
      <w:r w:rsidRPr="00C260E1">
        <w:t xml:space="preserve">). </w:t>
      </w:r>
    </w:p>
  </w:footnote>
  <w:footnote w:id="78">
    <w:p w14:paraId="02423159" w14:textId="062CA4EC" w:rsidR="009462DF" w:rsidRPr="00C260E1" w:rsidRDefault="009462DF" w:rsidP="006512CB">
      <w:pPr>
        <w:pStyle w:val="FootnoteText"/>
        <w:spacing w:before="0"/>
        <w:ind w:left="357" w:hanging="357"/>
        <w:rPr>
          <w:lang w:val="en-IE"/>
        </w:rPr>
      </w:pPr>
      <w:r w:rsidRPr="00C260E1">
        <w:rPr>
          <w:rStyle w:val="FootnoteReference"/>
        </w:rPr>
        <w:footnoteRef/>
      </w:r>
      <w:r w:rsidRPr="00C260E1">
        <w:t xml:space="preserve"> </w:t>
      </w:r>
      <w:r w:rsidR="00FF392A">
        <w:tab/>
      </w:r>
      <w:r w:rsidRPr="00C260E1">
        <w:t>Draghi, M. (</w:t>
      </w:r>
      <w:hyperlink r:id="rId19" w:history="1">
        <w:r w:rsidRPr="00C260E1">
          <w:rPr>
            <w:rStyle w:val="Hyperlink"/>
            <w:szCs w:val="18"/>
            <w:lang w:val="en-IE"/>
          </w:rPr>
          <w:t>2024</w:t>
        </w:r>
      </w:hyperlink>
      <w:r w:rsidRPr="00C260E1">
        <w:t>: 25). The future of European competitiveness. Part A – A competitiveness strategy for Europe.</w:t>
      </w:r>
    </w:p>
  </w:footnote>
  <w:footnote w:id="79">
    <w:p w14:paraId="406BCE58" w14:textId="4BCCAD99" w:rsidR="009462DF" w:rsidRPr="00C260E1" w:rsidRDefault="009462DF" w:rsidP="006512CB">
      <w:pPr>
        <w:pStyle w:val="FootnoteText"/>
        <w:spacing w:before="0"/>
        <w:ind w:left="357" w:hanging="357"/>
        <w:jc w:val="left"/>
        <w:rPr>
          <w:lang w:val="en-IE"/>
        </w:rPr>
      </w:pPr>
      <w:r w:rsidRPr="00C260E1">
        <w:rPr>
          <w:rStyle w:val="FootnoteReference"/>
        </w:rPr>
        <w:footnoteRef/>
      </w:r>
      <w:r w:rsidRPr="00C260E1">
        <w:t xml:space="preserve"> </w:t>
      </w:r>
      <w:r w:rsidR="00FF392A">
        <w:tab/>
      </w:r>
      <w:r w:rsidRPr="00C260E1">
        <w:rPr>
          <w:lang w:val="en-IE"/>
        </w:rPr>
        <w:t>45% of SMEs report that skills shortages hinder their ability to adopt or effectively use digital technologies</w:t>
      </w:r>
      <w:r w:rsidRPr="00C260E1">
        <w:t xml:space="preserve">. European Commission (2023). </w:t>
      </w:r>
      <w:hyperlink r:id="rId20" w:history="1">
        <w:r w:rsidRPr="00C260E1">
          <w:rPr>
            <w:rStyle w:val="Hyperlink"/>
          </w:rPr>
          <w:t>Flash Eurobarometer</w:t>
        </w:r>
      </w:hyperlink>
      <w:r w:rsidRPr="00C260E1">
        <w:t xml:space="preserve"> 529. Moreover, the mismatch between skills and labour market demands was seen as a relevant challenge by 6</w:t>
      </w:r>
      <w:r w:rsidR="0036758A" w:rsidRPr="00C260E1">
        <w:t>2</w:t>
      </w:r>
      <w:r w:rsidRPr="00C260E1">
        <w:t>% (N=</w:t>
      </w:r>
      <w:r w:rsidR="0036758A" w:rsidRPr="00C260E1">
        <w:t>1208</w:t>
      </w:r>
      <w:r w:rsidRPr="00C260E1">
        <w:t>) stakeholders in the PC.</w:t>
      </w:r>
    </w:p>
  </w:footnote>
  <w:footnote w:id="80">
    <w:p w14:paraId="02D7CEFD" w14:textId="78BE92A9" w:rsidR="009462DF" w:rsidRPr="00C260E1" w:rsidRDefault="009462DF" w:rsidP="006512CB">
      <w:pPr>
        <w:pStyle w:val="FootnoteText"/>
        <w:spacing w:before="0"/>
        <w:ind w:left="357" w:hanging="357"/>
      </w:pPr>
      <w:r w:rsidRPr="00C260E1">
        <w:rPr>
          <w:rStyle w:val="FootnoteReference"/>
        </w:rPr>
        <w:footnoteRef/>
      </w:r>
      <w:r w:rsidRPr="00C260E1">
        <w:t xml:space="preserve"> </w:t>
      </w:r>
      <w:r w:rsidR="00FF392A">
        <w:tab/>
      </w:r>
      <w:r w:rsidR="003539E9" w:rsidRPr="00C260E1">
        <w:t xml:space="preserve">European Commission. </w:t>
      </w:r>
      <w:r w:rsidRPr="00C260E1">
        <w:t>Report on the state of the Digital Decade 2024</w:t>
      </w:r>
      <w:r w:rsidR="00BD4D62">
        <w:t>.</w:t>
      </w:r>
    </w:p>
  </w:footnote>
  <w:footnote w:id="81">
    <w:p w14:paraId="2C2C6FF1" w14:textId="406F13F1" w:rsidR="009462DF" w:rsidRPr="00E10559" w:rsidRDefault="009462DF" w:rsidP="006512CB">
      <w:pPr>
        <w:pStyle w:val="FootnoteText"/>
        <w:spacing w:before="0"/>
        <w:ind w:left="357" w:hanging="357"/>
      </w:pPr>
      <w:r w:rsidRPr="00C260E1">
        <w:rPr>
          <w:rStyle w:val="FootnoteReference"/>
        </w:rPr>
        <w:footnoteRef/>
      </w:r>
      <w:r w:rsidRPr="00C260E1">
        <w:t xml:space="preserve"> </w:t>
      </w:r>
      <w:r w:rsidR="00FF392A">
        <w:tab/>
      </w:r>
      <w:r w:rsidRPr="00C260E1">
        <w:t xml:space="preserve">Leads GAP Analysis (2023), </w:t>
      </w:r>
      <w:hyperlink r:id="rId21" w:history="1">
        <w:r w:rsidRPr="00C260E1">
          <w:rPr>
            <w:rStyle w:val="Hyperlink"/>
          </w:rPr>
          <w:t>p. 30</w:t>
        </w:r>
      </w:hyperlink>
      <w:r w:rsidR="00BD4D62">
        <w:t>.</w:t>
      </w:r>
    </w:p>
  </w:footnote>
  <w:footnote w:id="82">
    <w:p w14:paraId="1785E382" w14:textId="58646086" w:rsidR="009462DF" w:rsidRPr="00B72C72" w:rsidRDefault="009462DF" w:rsidP="006512CB">
      <w:pPr>
        <w:pStyle w:val="FootnoteText"/>
        <w:spacing w:before="0"/>
        <w:ind w:left="357" w:hanging="357"/>
        <w:rPr>
          <w:lang w:val="en-IE"/>
        </w:rPr>
      </w:pPr>
      <w:r>
        <w:rPr>
          <w:rStyle w:val="FootnoteReference"/>
        </w:rPr>
        <w:footnoteRef/>
      </w:r>
      <w:r>
        <w:t xml:space="preserve"> </w:t>
      </w:r>
      <w:r w:rsidR="00FF392A">
        <w:tab/>
      </w:r>
      <w:r w:rsidRPr="00734492">
        <w:t>Draghi, M. (</w:t>
      </w:r>
      <w:hyperlink r:id="rId22" w:history="1">
        <w:r w:rsidRPr="00B42C70">
          <w:rPr>
            <w:rStyle w:val="Hyperlink"/>
            <w:szCs w:val="18"/>
            <w:lang w:val="en-IE"/>
          </w:rPr>
          <w:t>2024</w:t>
        </w:r>
      </w:hyperlink>
      <w:r w:rsidRPr="00734492">
        <w:t xml:space="preserve">: </w:t>
      </w:r>
      <w:r>
        <w:t>36</w:t>
      </w:r>
      <w:r w:rsidRPr="00734492">
        <w:t>). The future of European competitiveness. Part A – A competitiveness strategy for Europe.</w:t>
      </w:r>
    </w:p>
  </w:footnote>
  <w:footnote w:id="83">
    <w:p w14:paraId="0675A0FC" w14:textId="41BF0660" w:rsidR="009462DF" w:rsidRPr="00B03DD3" w:rsidRDefault="009462DF" w:rsidP="006512CB">
      <w:pPr>
        <w:spacing w:before="0" w:after="0"/>
        <w:ind w:left="357" w:hanging="357"/>
        <w:rPr>
          <w:rFonts w:eastAsiaTheme="minorEastAsia"/>
          <w:sz w:val="20"/>
          <w:szCs w:val="20"/>
          <w:lang w:val="en-IE"/>
        </w:rPr>
      </w:pPr>
      <w:r w:rsidRPr="00B03DD3">
        <w:rPr>
          <w:rStyle w:val="FootnoteReference"/>
          <w:szCs w:val="18"/>
        </w:rPr>
        <w:footnoteRef/>
      </w:r>
      <w:r w:rsidRPr="00B03DD3">
        <w:rPr>
          <w:rStyle w:val="FootnoteReference"/>
          <w:szCs w:val="18"/>
        </w:rPr>
        <w:t xml:space="preserve"> </w:t>
      </w:r>
      <w:r w:rsidR="00FF392A">
        <w:rPr>
          <w:rStyle w:val="FootnoteReference"/>
          <w:szCs w:val="18"/>
        </w:rPr>
        <w:tab/>
      </w:r>
      <w:r w:rsidRPr="00B03DD3">
        <w:rPr>
          <w:rFonts w:eastAsiaTheme="minorEastAsia"/>
          <w:sz w:val="20"/>
          <w:szCs w:val="20"/>
          <w:lang w:val="en-IE"/>
        </w:rPr>
        <w:t>Particularly in the upstream segment (e.g. the majority of workers is in the 49-58 age group).</w:t>
      </w:r>
    </w:p>
  </w:footnote>
  <w:footnote w:id="84">
    <w:p w14:paraId="69ADA435" w14:textId="1828991D" w:rsidR="009462DF" w:rsidRDefault="009462DF" w:rsidP="006512CB">
      <w:pPr>
        <w:spacing w:before="0" w:after="0"/>
        <w:ind w:left="357" w:hanging="357"/>
      </w:pPr>
      <w:r w:rsidRPr="00B03DD3">
        <w:rPr>
          <w:rStyle w:val="FootnoteReference"/>
          <w:szCs w:val="18"/>
        </w:rPr>
        <w:footnoteRef/>
      </w:r>
      <w:r w:rsidRPr="00B03DD3">
        <w:rPr>
          <w:rFonts w:eastAsiaTheme="minorEastAsia"/>
          <w:sz w:val="20"/>
          <w:szCs w:val="20"/>
          <w:lang w:val="en-IE"/>
        </w:rPr>
        <w:t xml:space="preserve"> </w:t>
      </w:r>
      <w:r w:rsidR="00FF392A">
        <w:rPr>
          <w:rFonts w:eastAsiaTheme="minorEastAsia"/>
          <w:sz w:val="20"/>
          <w:szCs w:val="20"/>
          <w:lang w:val="en-IE"/>
        </w:rPr>
        <w:tab/>
      </w:r>
      <w:r w:rsidRPr="00B03DD3">
        <w:rPr>
          <w:rFonts w:eastAsiaTheme="minorEastAsia"/>
          <w:sz w:val="20"/>
          <w:szCs w:val="20"/>
          <w:lang w:val="en-IE"/>
        </w:rPr>
        <w:t>OECD (</w:t>
      </w:r>
      <w:hyperlink r:id="rId23" w:history="1">
        <w:r w:rsidRPr="00B03DD3">
          <w:rPr>
            <w:rStyle w:val="Hyperlink"/>
            <w:rFonts w:eastAsiaTheme="minorEastAsia"/>
            <w:sz w:val="20"/>
            <w:szCs w:val="20"/>
            <w:lang w:val="en-IE"/>
          </w:rPr>
          <w:t>2023</w:t>
        </w:r>
      </w:hyperlink>
      <w:r>
        <w:rPr>
          <w:rFonts w:eastAsiaTheme="minorEastAsia"/>
          <w:sz w:val="20"/>
          <w:szCs w:val="20"/>
          <w:lang w:val="en-IE"/>
        </w:rPr>
        <w:t xml:space="preserve"> : 89</w:t>
      </w:r>
      <w:r w:rsidRPr="00B03DD3">
        <w:rPr>
          <w:rFonts w:eastAsiaTheme="minorEastAsia"/>
          <w:sz w:val="20"/>
          <w:szCs w:val="20"/>
          <w:lang w:val="en-IE"/>
        </w:rPr>
        <w:t>), The Space Economy in Figures: Responding to Global Challenges, OECD Publishing, Paris</w:t>
      </w:r>
      <w:r w:rsidR="00BD4D62">
        <w:rPr>
          <w:rFonts w:eastAsiaTheme="minorEastAsia"/>
          <w:sz w:val="20"/>
          <w:szCs w:val="20"/>
          <w:lang w:val="en-IE"/>
        </w:rPr>
        <w:t>.</w:t>
      </w:r>
    </w:p>
  </w:footnote>
  <w:footnote w:id="85">
    <w:p w14:paraId="45817C17" w14:textId="318CBA70" w:rsidR="009462DF" w:rsidRPr="00B42C70" w:rsidRDefault="009462DF" w:rsidP="006512CB">
      <w:pPr>
        <w:pStyle w:val="FootnoteText"/>
        <w:spacing w:before="0"/>
        <w:ind w:left="357" w:hanging="357"/>
        <w:rPr>
          <w:szCs w:val="18"/>
          <w:lang w:val="en-IE"/>
        </w:rPr>
      </w:pPr>
      <w:r w:rsidRPr="00B42C70">
        <w:rPr>
          <w:rStyle w:val="FootnoteReference"/>
          <w:szCs w:val="18"/>
          <w:lang w:val="en-IE"/>
        </w:rPr>
        <w:footnoteRef/>
      </w:r>
      <w:r w:rsidRPr="00B03DD3">
        <w:t xml:space="preserve"> </w:t>
      </w:r>
      <w:r w:rsidR="00FF392A">
        <w:tab/>
      </w:r>
      <w:r w:rsidRPr="00B03DD3">
        <w:t xml:space="preserve">European Commission (2024). </w:t>
      </w:r>
      <w:r w:rsidRPr="00B42C70">
        <w:rPr>
          <w:i/>
          <w:szCs w:val="18"/>
          <w:lang w:val="en-IE"/>
        </w:rPr>
        <w:t>European Innovation Scoreboard 2024</w:t>
      </w:r>
      <w:r>
        <w:rPr>
          <w:szCs w:val="18"/>
          <w:lang w:val="en-IE"/>
        </w:rPr>
        <w:t>;</w:t>
      </w:r>
      <w:r w:rsidRPr="00290302">
        <w:t xml:space="preserve"> </w:t>
      </w:r>
      <w:r w:rsidRPr="00B03DD3">
        <w:t>European Commission (202</w:t>
      </w:r>
      <w:r>
        <w:t>3</w:t>
      </w:r>
      <w:r w:rsidRPr="00B03DD3">
        <w:t xml:space="preserve">). </w:t>
      </w:r>
      <w:r>
        <w:rPr>
          <w:i/>
          <w:szCs w:val="18"/>
          <w:lang w:val="en-IE"/>
        </w:rPr>
        <w:t>Regional</w:t>
      </w:r>
      <w:r w:rsidRPr="00B42C70">
        <w:rPr>
          <w:i/>
          <w:szCs w:val="18"/>
          <w:lang w:val="en-IE"/>
        </w:rPr>
        <w:t xml:space="preserve"> Innovation Scoreboard 202</w:t>
      </w:r>
      <w:r>
        <w:rPr>
          <w:i/>
          <w:szCs w:val="18"/>
          <w:lang w:val="en-IE"/>
        </w:rPr>
        <w:t>3</w:t>
      </w:r>
      <w:r w:rsidR="00BD4D62">
        <w:rPr>
          <w:i/>
          <w:szCs w:val="18"/>
          <w:lang w:val="en-IE"/>
        </w:rPr>
        <w:t>.</w:t>
      </w:r>
      <w:r>
        <w:rPr>
          <w:szCs w:val="18"/>
          <w:lang w:val="en-IE"/>
        </w:rPr>
        <w:t xml:space="preserve"> </w:t>
      </w:r>
    </w:p>
  </w:footnote>
  <w:footnote w:id="86">
    <w:p w14:paraId="13825B58" w14:textId="7FC764C5" w:rsidR="009462DF" w:rsidRPr="00231844" w:rsidRDefault="009462DF" w:rsidP="006512CB">
      <w:pPr>
        <w:pStyle w:val="FootnoteText"/>
        <w:spacing w:before="0"/>
        <w:ind w:left="357" w:hanging="357"/>
        <w:rPr>
          <w:lang w:val="en-IE"/>
        </w:rPr>
      </w:pPr>
      <w:r>
        <w:rPr>
          <w:rStyle w:val="FootnoteReference"/>
        </w:rPr>
        <w:footnoteRef/>
      </w:r>
      <w:r>
        <w:t xml:space="preserve"> </w:t>
      </w:r>
      <w:r w:rsidR="00FF392A">
        <w:tab/>
      </w:r>
      <w:r w:rsidRPr="001534D4">
        <w:rPr>
          <w:lang w:val="en-IE"/>
        </w:rPr>
        <w:t xml:space="preserve">A stronger focus of resources on specific knowledge hubs could have a direct </w:t>
      </w:r>
      <w:r>
        <w:rPr>
          <w:lang w:val="en-IE"/>
        </w:rPr>
        <w:t>effect</w:t>
      </w:r>
      <w:r w:rsidRPr="001534D4">
        <w:rPr>
          <w:lang w:val="en-IE"/>
        </w:rPr>
        <w:t xml:space="preserve"> on underperforming regions. The use of smart specialization strategies and other cohesion policy tools could diminish this </w:t>
      </w:r>
      <w:r>
        <w:rPr>
          <w:lang w:val="en-IE"/>
        </w:rPr>
        <w:t>impact</w:t>
      </w:r>
      <w:r w:rsidRPr="001534D4">
        <w:rPr>
          <w:lang w:val="en-IE"/>
        </w:rPr>
        <w:t>. For further discussion, see territorial effects analysis on societal impacts in Chapter 6 below. For academic evidence, see Pinheiro, F. L., Balland, P. A., Boschma, R., &amp; Hartmann, D. (2022). The dark side of the geography of innovation: relatedness, complexity and regional inequality in Europe. Regional Studies, 1-16.</w:t>
      </w:r>
    </w:p>
  </w:footnote>
  <w:footnote w:id="87">
    <w:p w14:paraId="0AF70268" w14:textId="6929B310" w:rsidR="009462DF" w:rsidRPr="00231844" w:rsidRDefault="009462DF" w:rsidP="006512CB">
      <w:pPr>
        <w:pStyle w:val="FootnoteText"/>
        <w:spacing w:before="0"/>
        <w:ind w:left="357" w:hanging="357"/>
        <w:rPr>
          <w:lang w:val="en-IE"/>
        </w:rPr>
      </w:pPr>
      <w:r>
        <w:rPr>
          <w:rStyle w:val="FootnoteReference"/>
        </w:rPr>
        <w:footnoteRef/>
      </w:r>
      <w:r>
        <w:t xml:space="preserve"> </w:t>
      </w:r>
      <w:r w:rsidR="00FF392A">
        <w:tab/>
      </w:r>
      <w:r w:rsidRPr="002265F6">
        <w:t xml:space="preserve">European Commission (2024: 193). </w:t>
      </w:r>
      <w:r w:rsidRPr="00231844">
        <w:rPr>
          <w:i/>
          <w:iCs/>
        </w:rPr>
        <w:t>Ninth report on economic, social and territorial cohesion</w:t>
      </w:r>
      <w:r w:rsidRPr="002265F6">
        <w:t>.</w:t>
      </w:r>
    </w:p>
  </w:footnote>
  <w:footnote w:id="88">
    <w:p w14:paraId="5B476945" w14:textId="3FF30593" w:rsidR="00E05AC5" w:rsidRPr="006C2E51" w:rsidDel="0014631E" w:rsidRDefault="00E05AC5" w:rsidP="006512CB">
      <w:pPr>
        <w:pStyle w:val="FootnoteText"/>
        <w:spacing w:before="0"/>
        <w:ind w:left="357" w:hanging="357"/>
        <w:rPr>
          <w:lang w:val="en-IE"/>
        </w:rPr>
      </w:pPr>
      <w:r w:rsidDel="0014631E">
        <w:rPr>
          <w:rStyle w:val="FootnoteReference"/>
        </w:rPr>
        <w:footnoteRef/>
      </w:r>
      <w:r w:rsidDel="0014631E">
        <w:t xml:space="preserve"> </w:t>
      </w:r>
      <w:r w:rsidR="00FF392A">
        <w:tab/>
      </w:r>
      <w:r w:rsidDel="0014631E">
        <w:rPr>
          <w:lang w:val="en-IE"/>
        </w:rPr>
        <w:t xml:space="preserve">See </w:t>
      </w:r>
      <w:r w:rsidRPr="00490B04" w:rsidDel="0014631E">
        <w:rPr>
          <w:lang w:val="en-IE"/>
        </w:rPr>
        <w:t>recent Horizon 2020 ex-post evaluation</w:t>
      </w:r>
      <w:r w:rsidDel="0014631E">
        <w:rPr>
          <w:lang w:val="en-IE"/>
        </w:rPr>
        <w:t xml:space="preserve">, </w:t>
      </w:r>
      <w:r w:rsidRPr="00490B04" w:rsidDel="0014631E">
        <w:rPr>
          <w:lang w:val="en-IE"/>
        </w:rPr>
        <w:t>SWD</w:t>
      </w:r>
      <w:r w:rsidDel="0014631E">
        <w:rPr>
          <w:lang w:val="en-IE"/>
        </w:rPr>
        <w:t xml:space="preserve"> </w:t>
      </w:r>
      <w:r w:rsidRPr="00490B04" w:rsidDel="0014631E">
        <w:rPr>
          <w:lang w:val="en-IE"/>
        </w:rPr>
        <w:t xml:space="preserve">(2024) 29 final. In a similar vein, </w:t>
      </w:r>
      <w:r w:rsidDel="0014631E">
        <w:rPr>
          <w:lang w:val="en-IE"/>
        </w:rPr>
        <w:t>t</w:t>
      </w:r>
      <w:r w:rsidRPr="00490B04" w:rsidDel="0014631E">
        <w:rPr>
          <w:lang w:val="en-IE"/>
        </w:rPr>
        <w:t>his</w:t>
      </w:r>
      <w:r w:rsidDel="0014631E">
        <w:rPr>
          <w:lang w:val="en-IE"/>
        </w:rPr>
        <w:t xml:space="preserve"> challenge</w:t>
      </w:r>
      <w:r w:rsidRPr="00490B04" w:rsidDel="0014631E">
        <w:rPr>
          <w:lang w:val="en-IE"/>
        </w:rPr>
        <w:t xml:space="preserve"> was already pointed out in the Horizon Europe impact assessment, which stated that the EU’s substantial knowledge assets, notably in the field of key enabling technologies, need to be more effectively and quickly turned into innovations. See SWD</w:t>
      </w:r>
      <w:r w:rsidDel="0014631E">
        <w:rPr>
          <w:lang w:val="en-IE"/>
        </w:rPr>
        <w:t xml:space="preserve"> </w:t>
      </w:r>
      <w:r w:rsidRPr="00490B04" w:rsidDel="0014631E">
        <w:rPr>
          <w:lang w:val="en-IE"/>
        </w:rPr>
        <w:t>(2018) 307 final</w:t>
      </w:r>
      <w:r w:rsidDel="0014631E">
        <w:rPr>
          <w:lang w:val="en-IE"/>
        </w:rPr>
        <w:t>.</w:t>
      </w:r>
    </w:p>
  </w:footnote>
  <w:footnote w:id="89">
    <w:p w14:paraId="5D9E5A2D" w14:textId="63EE16F1" w:rsidR="00E05AC5" w:rsidRPr="00B42C70" w:rsidRDefault="00E05AC5" w:rsidP="006512CB">
      <w:pPr>
        <w:pStyle w:val="FootnoteText"/>
        <w:spacing w:before="0"/>
        <w:ind w:left="357" w:hanging="357"/>
        <w:rPr>
          <w:szCs w:val="18"/>
          <w:lang w:val="en-IE"/>
        </w:rPr>
      </w:pPr>
      <w:r w:rsidRPr="00B42C70">
        <w:rPr>
          <w:rStyle w:val="FootnoteReference"/>
          <w:szCs w:val="18"/>
          <w:lang w:val="en-IE"/>
        </w:rPr>
        <w:footnoteRef/>
      </w:r>
      <w:r w:rsidRPr="00B42C70">
        <w:rPr>
          <w:szCs w:val="18"/>
          <w:lang w:val="en-IE"/>
        </w:rPr>
        <w:t xml:space="preserve"> </w:t>
      </w:r>
      <w:r w:rsidR="00FF392A">
        <w:rPr>
          <w:szCs w:val="18"/>
          <w:lang w:val="en-IE"/>
        </w:rPr>
        <w:tab/>
      </w:r>
      <w:r w:rsidRPr="00B42C70">
        <w:rPr>
          <w:szCs w:val="18"/>
          <w:lang w:val="en-IE"/>
        </w:rPr>
        <w:t>European Commission</w:t>
      </w:r>
      <w:r w:rsidR="004C23BA">
        <w:rPr>
          <w:szCs w:val="18"/>
          <w:lang w:val="en-IE"/>
        </w:rPr>
        <w:t xml:space="preserve"> </w:t>
      </w:r>
      <w:r w:rsidRPr="00B42C70">
        <w:rPr>
          <w:szCs w:val="18"/>
          <w:lang w:val="en-IE"/>
        </w:rPr>
        <w:t>(</w:t>
      </w:r>
      <w:hyperlink r:id="rId24" w:history="1">
        <w:r w:rsidRPr="00B42C70">
          <w:rPr>
            <w:rStyle w:val="Hyperlink"/>
            <w:szCs w:val="18"/>
            <w:lang w:val="en-IE"/>
          </w:rPr>
          <w:t>2024</w:t>
        </w:r>
      </w:hyperlink>
      <w:r w:rsidRPr="008C1F81">
        <w:t xml:space="preserve">: </w:t>
      </w:r>
      <w:r>
        <w:t>17</w:t>
      </w:r>
      <w:r w:rsidRPr="00B42C70">
        <w:rPr>
          <w:szCs w:val="18"/>
          <w:lang w:val="en-IE"/>
        </w:rPr>
        <w:t xml:space="preserve">). Science, Research and Innovation Performance of the EU: A Competitive Europe for a Sustainable Future. </w:t>
      </w:r>
    </w:p>
  </w:footnote>
  <w:footnote w:id="90">
    <w:p w14:paraId="59C2814F" w14:textId="7767CB45" w:rsidR="00696A1B" w:rsidRPr="00EC779F" w:rsidRDefault="00696A1B" w:rsidP="006512CB">
      <w:pPr>
        <w:pStyle w:val="FootnoteText"/>
        <w:spacing w:before="0"/>
        <w:ind w:left="357" w:hanging="357"/>
        <w:rPr>
          <w:lang w:val="en-IE"/>
        </w:rPr>
      </w:pPr>
      <w:r>
        <w:rPr>
          <w:rStyle w:val="FootnoteReference"/>
        </w:rPr>
        <w:footnoteRef/>
      </w:r>
      <w:r>
        <w:t xml:space="preserve"> </w:t>
      </w:r>
      <w:r w:rsidR="00FF392A">
        <w:tab/>
      </w:r>
      <w:r w:rsidRPr="00696A1B">
        <w:rPr>
          <w:szCs w:val="18"/>
          <w:lang w:val="en-IE"/>
        </w:rPr>
        <w:t>In this regard, evidence from the health sector shows</w:t>
      </w:r>
      <w:r w:rsidRPr="00EC779F">
        <w:rPr>
          <w:szCs w:val="18"/>
          <w:lang w:val="en-IE"/>
        </w:rPr>
        <w:t xml:space="preserve"> that the EU matches the US in scientific publications but lags in commercializing research, causing innovators to leave Europe. (Source: </w:t>
      </w:r>
      <w:hyperlink r:id="rId25" w:history="1">
        <w:r w:rsidRPr="00EC779F">
          <w:rPr>
            <w:szCs w:val="18"/>
            <w:lang w:val="en-IE"/>
          </w:rPr>
          <w:t>Draghi Report</w:t>
        </w:r>
      </w:hyperlink>
      <w:r w:rsidRPr="00EC779F">
        <w:rPr>
          <w:szCs w:val="18"/>
          <w:lang w:val="en-IE"/>
        </w:rPr>
        <w:t xml:space="preserve">) To valorise the knowledge the Commission supports the development of industry academia collaboration. It is for instance investing EUR 100 million to establish a European Hub for Vaccine </w:t>
      </w:r>
      <w:r w:rsidR="000673EB" w:rsidRPr="00EC779F">
        <w:rPr>
          <w:szCs w:val="18"/>
          <w:lang w:val="en-IE"/>
        </w:rPr>
        <w:t>Development which</w:t>
      </w:r>
      <w:r w:rsidRPr="00EC779F">
        <w:rPr>
          <w:szCs w:val="18"/>
          <w:lang w:val="en-IE"/>
        </w:rPr>
        <w:t xml:space="preserve"> will bring together universities, research institutes and increase links with industry.</w:t>
      </w:r>
    </w:p>
  </w:footnote>
  <w:footnote w:id="91">
    <w:p w14:paraId="79AB8C25" w14:textId="4A59F062" w:rsidR="005110D1" w:rsidRPr="00C260E1" w:rsidRDefault="005110D1" w:rsidP="006512CB">
      <w:pPr>
        <w:pStyle w:val="FootnoteText"/>
        <w:spacing w:before="0"/>
        <w:ind w:left="357" w:hanging="357"/>
        <w:rPr>
          <w:lang w:val="en-IE"/>
        </w:rPr>
      </w:pPr>
      <w:r w:rsidRPr="00C260E1">
        <w:rPr>
          <w:rStyle w:val="FootnoteReference"/>
        </w:rPr>
        <w:footnoteRef/>
      </w:r>
      <w:r w:rsidRPr="00C260E1">
        <w:t xml:space="preserve"> </w:t>
      </w:r>
      <w:r w:rsidR="00FF392A">
        <w:tab/>
      </w:r>
      <w:r w:rsidRPr="00C260E1">
        <w:rPr>
          <w:lang w:val="en-IE"/>
        </w:rPr>
        <w:t xml:space="preserve">This was particularly relevant for businesses, </w:t>
      </w:r>
      <w:r w:rsidR="00E8160D" w:rsidRPr="00C260E1">
        <w:rPr>
          <w:lang w:val="en-IE"/>
        </w:rPr>
        <w:t>with a</w:t>
      </w:r>
      <w:r w:rsidR="004E5689" w:rsidRPr="00C260E1">
        <w:rPr>
          <w:lang w:val="en-IE"/>
        </w:rPr>
        <w:t xml:space="preserve"> </w:t>
      </w:r>
      <w:r w:rsidR="00D4361B" w:rsidRPr="00C260E1">
        <w:rPr>
          <w:lang w:val="en-IE"/>
        </w:rPr>
        <w:t>83</w:t>
      </w:r>
      <w:r w:rsidR="00B10C6E" w:rsidRPr="00C260E1">
        <w:rPr>
          <w:lang w:val="en-IE"/>
        </w:rPr>
        <w:t xml:space="preserve">% </w:t>
      </w:r>
      <w:r w:rsidR="00A274C1" w:rsidRPr="00C260E1">
        <w:rPr>
          <w:lang w:val="en-IE"/>
        </w:rPr>
        <w:t>(N=</w:t>
      </w:r>
      <w:r w:rsidR="00D4361B" w:rsidRPr="00C260E1">
        <w:rPr>
          <w:lang w:val="en-IE"/>
        </w:rPr>
        <w:t>309</w:t>
      </w:r>
      <w:r w:rsidR="00A274C1" w:rsidRPr="00C260E1">
        <w:rPr>
          <w:lang w:val="en-IE"/>
        </w:rPr>
        <w:t xml:space="preserve">) </w:t>
      </w:r>
      <w:r w:rsidR="004E5689" w:rsidRPr="00C260E1">
        <w:rPr>
          <w:lang w:val="en-IE"/>
        </w:rPr>
        <w:t xml:space="preserve">of them </w:t>
      </w:r>
      <w:r w:rsidR="00E8160D" w:rsidRPr="00C260E1">
        <w:rPr>
          <w:lang w:val="en-IE"/>
        </w:rPr>
        <w:t>identifying</w:t>
      </w:r>
      <w:r w:rsidR="004E5689" w:rsidRPr="00C260E1">
        <w:rPr>
          <w:lang w:val="en-IE"/>
        </w:rPr>
        <w:t xml:space="preserve"> </w:t>
      </w:r>
      <w:r w:rsidR="003362E2" w:rsidRPr="00C260E1">
        <w:rPr>
          <w:lang w:val="en-IE"/>
        </w:rPr>
        <w:t xml:space="preserve">it as </w:t>
      </w:r>
      <w:r w:rsidR="00E8160D" w:rsidRPr="00C260E1">
        <w:rPr>
          <w:lang w:val="en-IE"/>
        </w:rPr>
        <w:t>a major</w:t>
      </w:r>
      <w:r w:rsidR="003362E2" w:rsidRPr="00C260E1">
        <w:rPr>
          <w:lang w:val="en-IE"/>
        </w:rPr>
        <w:t xml:space="preserve"> obstacle.</w:t>
      </w:r>
    </w:p>
  </w:footnote>
  <w:footnote w:id="92">
    <w:p w14:paraId="2B1B5A2E" w14:textId="706B8C11" w:rsidR="00E90518" w:rsidRPr="00C260E1" w:rsidRDefault="00E90518" w:rsidP="006512CB">
      <w:pPr>
        <w:pStyle w:val="FootnoteText"/>
        <w:spacing w:before="0"/>
        <w:ind w:left="357" w:hanging="357"/>
        <w:rPr>
          <w:lang w:val="en-IE"/>
        </w:rPr>
      </w:pPr>
      <w:r w:rsidRPr="00C260E1">
        <w:rPr>
          <w:rStyle w:val="FootnoteReference"/>
        </w:rPr>
        <w:footnoteRef/>
      </w:r>
      <w:r w:rsidRPr="00C260E1">
        <w:t xml:space="preserve"> </w:t>
      </w:r>
      <w:r w:rsidR="00FF392A">
        <w:tab/>
      </w:r>
      <w:r w:rsidRPr="00C260E1" w:rsidDel="0014631E">
        <w:rPr>
          <w:lang w:val="en-IE"/>
        </w:rPr>
        <w:t>SWD (2024) 29 final</w:t>
      </w:r>
      <w:r w:rsidRPr="00C260E1">
        <w:rPr>
          <w:lang w:val="en-IE"/>
        </w:rPr>
        <w:t>.</w:t>
      </w:r>
      <w:r w:rsidR="002B6748">
        <w:rPr>
          <w:lang w:val="en-IE"/>
        </w:rPr>
        <w:t xml:space="preserve"> </w:t>
      </w:r>
      <w:r w:rsidR="002B6748" w:rsidRPr="002B6748">
        <w:rPr>
          <w:lang w:val="en-IE"/>
        </w:rPr>
        <w:t>Ex-post evaluation of Horizon 2020, the EU Framework Programme for Research and Innovation</w:t>
      </w:r>
      <w:r w:rsidR="00BD4D62">
        <w:rPr>
          <w:lang w:val="en-IE"/>
        </w:rPr>
        <w:t>.</w:t>
      </w:r>
    </w:p>
  </w:footnote>
  <w:footnote w:id="93">
    <w:p w14:paraId="1EF64F95" w14:textId="0BDFB236" w:rsidR="00E05AC5" w:rsidRPr="003726C3" w:rsidRDefault="00E05AC5" w:rsidP="006512CB">
      <w:pPr>
        <w:pStyle w:val="FootnoteText"/>
        <w:spacing w:before="0"/>
        <w:ind w:left="357" w:hanging="357"/>
        <w:rPr>
          <w:lang w:val="en-US"/>
        </w:rPr>
      </w:pPr>
      <w:r w:rsidRPr="00C260E1">
        <w:rPr>
          <w:rStyle w:val="FootnoteReference"/>
        </w:rPr>
        <w:footnoteRef/>
      </w:r>
      <w:r w:rsidRPr="00C260E1">
        <w:t xml:space="preserve"> </w:t>
      </w:r>
      <w:r w:rsidR="00FF392A">
        <w:tab/>
      </w:r>
      <w:r w:rsidRPr="00C260E1">
        <w:rPr>
          <w:szCs w:val="18"/>
          <w:lang w:val="en-IE"/>
        </w:rPr>
        <w:t>SWD(2017) 220 final, p. 46.</w:t>
      </w:r>
      <w:r w:rsidR="003726C3">
        <w:rPr>
          <w:szCs w:val="18"/>
          <w:lang w:val="en-IE"/>
        </w:rPr>
        <w:t xml:space="preserve"> </w:t>
      </w:r>
      <w:r w:rsidR="003726C3" w:rsidRPr="003726C3">
        <w:rPr>
          <w:szCs w:val="18"/>
          <w:lang w:val="en-US"/>
        </w:rPr>
        <w:t xml:space="preserve">In-depth interim evaluation of Horizon </w:t>
      </w:r>
      <w:r w:rsidR="003726C3">
        <w:rPr>
          <w:szCs w:val="18"/>
          <w:lang w:val="en-US"/>
        </w:rPr>
        <w:t>2020.</w:t>
      </w:r>
    </w:p>
  </w:footnote>
  <w:footnote w:id="94">
    <w:p w14:paraId="1DB87B3C" w14:textId="7416ABF7" w:rsidR="0053721C" w:rsidRPr="00BB184A" w:rsidRDefault="0053721C" w:rsidP="006512CB">
      <w:pPr>
        <w:pStyle w:val="FootnoteText"/>
        <w:spacing w:before="0"/>
        <w:ind w:left="357" w:hanging="357"/>
        <w:rPr>
          <w:lang w:val="en-IE"/>
        </w:rPr>
      </w:pPr>
      <w:r>
        <w:rPr>
          <w:rStyle w:val="FootnoteReference"/>
        </w:rPr>
        <w:footnoteRef/>
      </w:r>
      <w:r w:rsidRPr="007651DC">
        <w:rPr>
          <w:lang w:val="en-IE"/>
        </w:rPr>
        <w:t xml:space="preserve"> </w:t>
      </w:r>
      <w:r w:rsidR="00FF392A" w:rsidRPr="007651DC">
        <w:rPr>
          <w:lang w:val="en-IE"/>
        </w:rPr>
        <w:tab/>
      </w:r>
      <w:r w:rsidRPr="007651DC">
        <w:rPr>
          <w:lang w:val="en-IE"/>
        </w:rPr>
        <w:t xml:space="preserve">Mahroum, S. (2000). </w:t>
      </w:r>
      <w:r w:rsidRPr="0053721C">
        <w:t>Highly skilled globetrotters: mapping the international migration of human capital. </w:t>
      </w:r>
      <w:r w:rsidRPr="0053721C">
        <w:rPr>
          <w:i/>
          <w:iCs/>
        </w:rPr>
        <w:t>R&amp;D Management</w:t>
      </w:r>
      <w:r w:rsidRPr="0053721C">
        <w:t>, </w:t>
      </w:r>
      <w:r w:rsidRPr="0053721C">
        <w:rPr>
          <w:i/>
          <w:iCs/>
        </w:rPr>
        <w:t>30</w:t>
      </w:r>
      <w:r w:rsidRPr="0053721C">
        <w:t>(1), 23-32.</w:t>
      </w:r>
    </w:p>
  </w:footnote>
  <w:footnote w:id="95">
    <w:p w14:paraId="6A57DBCC" w14:textId="380485C1" w:rsidR="00E05AC5" w:rsidRPr="00A960F3" w:rsidRDefault="00E05AC5" w:rsidP="006512CB">
      <w:pPr>
        <w:pStyle w:val="FootnoteText"/>
        <w:spacing w:before="0"/>
        <w:ind w:left="357" w:hanging="357"/>
        <w:rPr>
          <w:lang w:val="en-IE"/>
        </w:rPr>
      </w:pPr>
      <w:r>
        <w:rPr>
          <w:rStyle w:val="FootnoteReference"/>
        </w:rPr>
        <w:footnoteRef/>
      </w:r>
      <w:r>
        <w:t xml:space="preserve"> </w:t>
      </w:r>
      <w:r w:rsidR="00FF392A">
        <w:tab/>
      </w:r>
      <w:r w:rsidRPr="00B30244">
        <w:t>An example is the fact that only between 3-10% of co-patents filed each year involve organisations located in two different European countries.</w:t>
      </w:r>
      <w:r w:rsidR="00D52407">
        <w:t xml:space="preserve"> Source: </w:t>
      </w:r>
      <w:r w:rsidR="00D52407" w:rsidRPr="00B42C70">
        <w:rPr>
          <w:szCs w:val="18"/>
          <w:lang w:val="en-IE"/>
        </w:rPr>
        <w:t>European Commission</w:t>
      </w:r>
      <w:r w:rsidR="00D52407">
        <w:rPr>
          <w:szCs w:val="18"/>
          <w:lang w:val="en-IE"/>
        </w:rPr>
        <w:t xml:space="preserve"> </w:t>
      </w:r>
      <w:r w:rsidR="00D52407" w:rsidRPr="00B42C70">
        <w:rPr>
          <w:szCs w:val="18"/>
          <w:lang w:val="en-IE"/>
        </w:rPr>
        <w:t>(</w:t>
      </w:r>
      <w:hyperlink r:id="rId26" w:history="1">
        <w:r w:rsidR="00D52407" w:rsidRPr="00B42C70">
          <w:rPr>
            <w:rStyle w:val="Hyperlink"/>
            <w:szCs w:val="18"/>
            <w:lang w:val="en-IE"/>
          </w:rPr>
          <w:t>2024</w:t>
        </w:r>
      </w:hyperlink>
      <w:r w:rsidR="00D52407" w:rsidRPr="008C1F81">
        <w:t xml:space="preserve">: </w:t>
      </w:r>
      <w:r w:rsidR="00D52407">
        <w:t>267</w:t>
      </w:r>
      <w:r w:rsidR="00D52407" w:rsidRPr="00B42C70">
        <w:rPr>
          <w:szCs w:val="18"/>
          <w:lang w:val="en-IE"/>
        </w:rPr>
        <w:t>). Science, Research and Innovation Performance of the EU: A Competitive Europe for a Sustainable Future</w:t>
      </w:r>
      <w:r w:rsidR="00BD4D62">
        <w:rPr>
          <w:szCs w:val="18"/>
          <w:lang w:val="en-IE"/>
        </w:rPr>
        <w:t>.</w:t>
      </w:r>
    </w:p>
  </w:footnote>
  <w:footnote w:id="96">
    <w:p w14:paraId="479804B0" w14:textId="5A30A522" w:rsidR="00E05AC5" w:rsidRPr="004E701B" w:rsidRDefault="00E05AC5" w:rsidP="006512CB">
      <w:pPr>
        <w:pStyle w:val="FootnoteText"/>
        <w:spacing w:before="0"/>
        <w:ind w:left="357" w:hanging="357"/>
        <w:rPr>
          <w:lang w:val="en-IE"/>
        </w:rPr>
      </w:pPr>
      <w:r>
        <w:rPr>
          <w:rStyle w:val="FootnoteReference"/>
        </w:rPr>
        <w:footnoteRef/>
      </w:r>
      <w:r>
        <w:t xml:space="preserve"> </w:t>
      </w:r>
      <w:r w:rsidR="00FF392A">
        <w:tab/>
      </w:r>
      <w:r w:rsidRPr="00702337">
        <w:t xml:space="preserve">Fragmentation </w:t>
      </w:r>
      <w:r>
        <w:t>particularly</w:t>
      </w:r>
      <w:r w:rsidRPr="00702337">
        <w:t xml:space="preserve"> hinders Europe’s progress towards more advanced and complex technologies</w:t>
      </w:r>
      <w:r>
        <w:t>.</w:t>
      </w:r>
      <w:r w:rsidRPr="00702337">
        <w:t xml:space="preserve"> </w:t>
      </w:r>
      <w:r w:rsidRPr="00441BAA">
        <w:t xml:space="preserve">Recent </w:t>
      </w:r>
      <w:r>
        <w:t xml:space="preserve">evidence </w:t>
      </w:r>
      <w:r w:rsidRPr="00441BAA">
        <w:t>shows that the EU R&amp;I system is not only more fragmented than in the US, but also that this fragmentation is particularly pronounced for complex technologies, which are key for enhancing competitiveness</w:t>
      </w:r>
      <w:r>
        <w:t xml:space="preserve">. See </w:t>
      </w:r>
      <w:r w:rsidRPr="00441BAA">
        <w:t>Balland et al. (forthcoming). “Divided we fall behind. How R&amp;I Fragmentation kills EU competitiveness in complex technologies.”</w:t>
      </w:r>
      <w:r w:rsidR="00171FC1">
        <w:t xml:space="preserve"> </w:t>
      </w:r>
    </w:p>
  </w:footnote>
  <w:footnote w:id="97">
    <w:p w14:paraId="6EF0E3DF" w14:textId="77194823" w:rsidR="003336C2" w:rsidRPr="001A5D3D" w:rsidRDefault="003336C2" w:rsidP="006512CB">
      <w:pPr>
        <w:pStyle w:val="FootnoteText"/>
        <w:spacing w:before="0"/>
        <w:ind w:left="357" w:hanging="357"/>
        <w:rPr>
          <w:lang w:val="en-IE"/>
        </w:rPr>
      </w:pPr>
      <w:r>
        <w:rPr>
          <w:rStyle w:val="FootnoteReference"/>
        </w:rPr>
        <w:footnoteRef/>
      </w:r>
      <w:r>
        <w:t xml:space="preserve"> </w:t>
      </w:r>
      <w:r w:rsidR="00FF392A">
        <w:tab/>
      </w:r>
      <w:r w:rsidR="001A5D3D" w:rsidRPr="001A5D3D">
        <w:t>Draghi, M. (20242024: 240). The Future of European Competitiveness, Part B: In-depth analysis and recommendations</w:t>
      </w:r>
      <w:r w:rsidR="00BD4D62">
        <w:t>.</w:t>
      </w:r>
    </w:p>
  </w:footnote>
  <w:footnote w:id="98">
    <w:p w14:paraId="183BA8D0" w14:textId="0FDEA1A3" w:rsidR="004E2396" w:rsidRPr="00A42CD1" w:rsidRDefault="004E2396" w:rsidP="006512CB">
      <w:pPr>
        <w:pStyle w:val="FootnoteText"/>
        <w:spacing w:before="0"/>
        <w:ind w:left="450" w:hanging="450"/>
        <w:rPr>
          <w:lang w:val="en-IE"/>
        </w:rPr>
      </w:pPr>
      <w:r>
        <w:rPr>
          <w:rStyle w:val="FootnoteReference"/>
        </w:rPr>
        <w:footnoteRef/>
      </w:r>
      <w:r>
        <w:t xml:space="preserve"> </w:t>
      </w:r>
      <w:r w:rsidRPr="004E2396">
        <w:t>Draghi, M. (2024: 239-241). The future of European competitiveness. Part B – In-depth analysis and recommendations</w:t>
      </w:r>
      <w:r w:rsidR="00BD4D62">
        <w:t>.</w:t>
      </w:r>
    </w:p>
  </w:footnote>
  <w:footnote w:id="99">
    <w:p w14:paraId="5C54876C" w14:textId="441C32E1" w:rsidR="0021334D" w:rsidRPr="00A42CD1" w:rsidRDefault="0021334D" w:rsidP="006512CB">
      <w:pPr>
        <w:pStyle w:val="FootnoteText"/>
        <w:spacing w:before="0"/>
        <w:ind w:left="357" w:hanging="357"/>
        <w:rPr>
          <w:lang w:val="en-IE"/>
        </w:rPr>
      </w:pPr>
      <w:r>
        <w:rPr>
          <w:rStyle w:val="FootnoteReference"/>
        </w:rPr>
        <w:footnoteRef/>
      </w:r>
      <w:r>
        <w:t xml:space="preserve"> </w:t>
      </w:r>
      <w:r w:rsidR="00A42CD1">
        <w:t xml:space="preserve"> </w:t>
      </w:r>
      <w:r w:rsidR="00FF392A">
        <w:tab/>
      </w:r>
      <w:r w:rsidR="00A42CD1" w:rsidRPr="00407A9A">
        <w:t>WIPO: Global rankings of science and technology clusters</w:t>
      </w:r>
      <w:r w:rsidR="00A42CD1">
        <w:t>, 2023</w:t>
      </w:r>
      <w:r w:rsidR="00BD4D62">
        <w:t>.</w:t>
      </w:r>
    </w:p>
  </w:footnote>
  <w:footnote w:id="100">
    <w:p w14:paraId="6B0764C8" w14:textId="4D3806B2" w:rsidR="005D342E" w:rsidRPr="00E81438" w:rsidRDefault="005D342E" w:rsidP="006512CB">
      <w:pPr>
        <w:pStyle w:val="FootnoteText"/>
        <w:spacing w:before="0"/>
        <w:ind w:left="357" w:hanging="357"/>
        <w:rPr>
          <w:lang w:val="en-IE"/>
        </w:rPr>
      </w:pPr>
      <w:r>
        <w:rPr>
          <w:rStyle w:val="FootnoteReference"/>
        </w:rPr>
        <w:footnoteRef/>
      </w:r>
      <w:r>
        <w:t xml:space="preserve"> </w:t>
      </w:r>
      <w:r w:rsidR="00FF392A">
        <w:tab/>
      </w:r>
      <w:r w:rsidR="00E81438">
        <w:rPr>
          <w:rFonts w:eastAsia="Times New Roman"/>
          <w:color w:val="000000" w:themeColor="text1"/>
          <w:lang w:val="en-US"/>
        </w:rPr>
        <w:t xml:space="preserve">In the health sector, </w:t>
      </w:r>
      <w:r w:rsidR="00E81438" w:rsidRPr="00541D1C">
        <w:rPr>
          <w:rFonts w:eastAsia="Times New Roman"/>
          <w:color w:val="000000" w:themeColor="text1"/>
          <w:lang w:val="en-US"/>
        </w:rPr>
        <w:t>the US concentrates health funding on hubs</w:t>
      </w:r>
      <w:r w:rsidR="00E81438">
        <w:rPr>
          <w:rFonts w:eastAsia="Times New Roman"/>
          <w:color w:val="000000" w:themeColor="text1"/>
          <w:lang w:val="en-US"/>
        </w:rPr>
        <w:t xml:space="preserve">, while the EU follows a fragmented approach (Draghi, page 192). </w:t>
      </w:r>
      <w:r w:rsidR="00E81438" w:rsidRPr="00541D1C">
        <w:rPr>
          <w:rFonts w:eastAsia="Times New Roman"/>
          <w:color w:val="000000" w:themeColor="text1"/>
          <w:lang w:val="en-US"/>
        </w:rPr>
        <w:t>The EU's approach limits its ability to develop large clusters, hindered by data issues and complex regulations.</w:t>
      </w:r>
    </w:p>
  </w:footnote>
  <w:footnote w:id="101">
    <w:p w14:paraId="3A7CC274" w14:textId="34E4EBD4" w:rsidR="00E05AC5" w:rsidRPr="004E701B" w:rsidRDefault="00E05AC5" w:rsidP="006512CB">
      <w:pPr>
        <w:pStyle w:val="FootnoteText"/>
        <w:spacing w:before="0"/>
        <w:ind w:left="357" w:hanging="357"/>
        <w:rPr>
          <w:lang w:val="en-IE"/>
        </w:rPr>
      </w:pPr>
      <w:r>
        <w:rPr>
          <w:rStyle w:val="FootnoteReference"/>
        </w:rPr>
        <w:footnoteRef/>
      </w:r>
      <w:r w:rsidR="00FF392A">
        <w:tab/>
      </w:r>
      <w:r w:rsidRPr="00BA5384">
        <w:t>European Commission (2024:</w:t>
      </w:r>
      <w:r>
        <w:t xml:space="preserve"> 11</w:t>
      </w:r>
      <w:r w:rsidRPr="00BA5384">
        <w:t>). Europe’s Choice. Political guidelines for the next European Commission 2024-2029.</w:t>
      </w:r>
    </w:p>
  </w:footnote>
  <w:footnote w:id="102">
    <w:p w14:paraId="5F3CB4B4" w14:textId="47DE4409" w:rsidR="00E05AC5" w:rsidRPr="004E701B" w:rsidRDefault="00E05AC5" w:rsidP="006512CB">
      <w:pPr>
        <w:pStyle w:val="FootnoteText"/>
        <w:spacing w:before="0"/>
        <w:ind w:left="357" w:hanging="357"/>
        <w:rPr>
          <w:lang w:val="en-IE"/>
        </w:rPr>
      </w:pPr>
      <w:r>
        <w:rPr>
          <w:rStyle w:val="FootnoteReference"/>
        </w:rPr>
        <w:footnoteRef/>
      </w:r>
      <w:r>
        <w:t xml:space="preserve"> </w:t>
      </w:r>
      <w:r w:rsidR="00FF392A">
        <w:tab/>
      </w:r>
      <w:r w:rsidRPr="00316064">
        <w:rPr>
          <w:iCs/>
        </w:rPr>
        <w:t>Ibid.</w:t>
      </w:r>
    </w:p>
  </w:footnote>
  <w:footnote w:id="103">
    <w:p w14:paraId="36ED520E" w14:textId="6AEB991E" w:rsidR="00E05AC5" w:rsidRPr="000724D8" w:rsidRDefault="00E05AC5" w:rsidP="006512CB">
      <w:pPr>
        <w:pStyle w:val="FootnoteText"/>
        <w:spacing w:before="0"/>
        <w:ind w:left="357" w:hanging="357"/>
        <w:rPr>
          <w:lang w:val="en-IE"/>
        </w:rPr>
      </w:pPr>
      <w:r>
        <w:rPr>
          <w:rStyle w:val="FootnoteReference"/>
        </w:rPr>
        <w:footnoteRef/>
      </w:r>
      <w:r>
        <w:t xml:space="preserve"> </w:t>
      </w:r>
      <w:r w:rsidR="00FF392A">
        <w:tab/>
      </w:r>
      <w:r>
        <w:rPr>
          <w:lang w:val="en-IE"/>
        </w:rPr>
        <w:t xml:space="preserve">For example, evidence shows that many high-quality R&amp;I projects of Horizon Europe are unfunded due to insufficient financing options. Currently, only </w:t>
      </w:r>
      <w:r w:rsidRPr="0066791A">
        <w:t>33% of the high-quality proposals could be funde</w:t>
      </w:r>
      <w:r>
        <w:t xml:space="preserve">d, see </w:t>
      </w:r>
      <w:r w:rsidRPr="00A15A9C">
        <w:t>European Commission</w:t>
      </w:r>
      <w:r w:rsidR="00CF66FD">
        <w:t xml:space="preserve"> (2024)</w:t>
      </w:r>
      <w:r w:rsidRPr="00A15A9C">
        <w:t>, </w:t>
      </w:r>
      <w:hyperlink r:id="rId27" w:history="1">
        <w:r w:rsidRPr="00CF66FD">
          <w:rPr>
            <w:rStyle w:val="Hyperlink"/>
            <w:i/>
            <w:iCs/>
          </w:rPr>
          <w:t>Horizon Europe implementation – Key figures 2021-2023</w:t>
        </w:r>
      </w:hyperlink>
      <w:r w:rsidRPr="0066791A">
        <w:t>.</w:t>
      </w:r>
    </w:p>
  </w:footnote>
  <w:footnote w:id="104">
    <w:p w14:paraId="4971B5CE" w14:textId="6B5E08DC" w:rsidR="00E05AC5" w:rsidRPr="009D5135" w:rsidRDefault="00E05AC5" w:rsidP="006B7A35">
      <w:pPr>
        <w:pStyle w:val="FootnoteText"/>
        <w:spacing w:before="0"/>
        <w:ind w:left="357" w:hanging="357"/>
        <w:rPr>
          <w:lang w:val="en-IE"/>
        </w:rPr>
      </w:pPr>
      <w:r>
        <w:rPr>
          <w:rStyle w:val="FootnoteReference"/>
        </w:rPr>
        <w:footnoteRef/>
      </w:r>
      <w:r w:rsidRPr="00B8200A">
        <w:rPr>
          <w:lang w:val="de-DE"/>
        </w:rPr>
        <w:t xml:space="preserve"> </w:t>
      </w:r>
      <w:r w:rsidR="00FF392A">
        <w:rPr>
          <w:lang w:val="de-DE"/>
        </w:rPr>
        <w:tab/>
      </w:r>
      <w:r w:rsidRPr="00B8200A">
        <w:rPr>
          <w:rFonts w:eastAsia="Times New Roman"/>
          <w:szCs w:val="18"/>
          <w:lang w:val="de-DE"/>
        </w:rPr>
        <w:t>Mergel, I., Ulrich, P., Kuziemski, M. and Martinez, A. (</w:t>
      </w:r>
      <w:hyperlink r:id="rId28" w:history="1">
        <w:r w:rsidRPr="00B8200A">
          <w:rPr>
            <w:rStyle w:val="Hyperlink"/>
            <w:rFonts w:eastAsia="Times New Roman"/>
            <w:szCs w:val="18"/>
            <w:lang w:val="de-DE"/>
          </w:rPr>
          <w:t>2022</w:t>
        </w:r>
      </w:hyperlink>
      <w:r w:rsidRPr="00B8200A">
        <w:rPr>
          <w:rFonts w:eastAsia="Times New Roman"/>
          <w:szCs w:val="18"/>
          <w:lang w:val="de-DE"/>
        </w:rPr>
        <w:t xml:space="preserve">). </w:t>
      </w:r>
      <w:r w:rsidRPr="00B42C70">
        <w:rPr>
          <w:rFonts w:eastAsia="Times New Roman"/>
          <w:szCs w:val="18"/>
          <w:lang w:val="en-IE"/>
        </w:rPr>
        <w:t>Scoping GovTech dynamics in the EU,</w:t>
      </w:r>
      <w:r w:rsidR="00BD4D62">
        <w:rPr>
          <w:rFonts w:eastAsia="Times New Roman"/>
          <w:szCs w:val="18"/>
          <w:lang w:val="en-IE"/>
        </w:rPr>
        <w:t>.</w:t>
      </w:r>
    </w:p>
  </w:footnote>
  <w:footnote w:id="105">
    <w:p w14:paraId="224E9058" w14:textId="7D7E6D66" w:rsidR="00E05AC5" w:rsidRPr="009D5135" w:rsidRDefault="00E05AC5" w:rsidP="006B7A35">
      <w:pPr>
        <w:pStyle w:val="FootnoteText"/>
        <w:spacing w:before="0"/>
        <w:ind w:left="357" w:hanging="357"/>
        <w:rPr>
          <w:lang w:val="en-IE"/>
        </w:rPr>
      </w:pPr>
      <w:r>
        <w:rPr>
          <w:rStyle w:val="FootnoteReference"/>
        </w:rPr>
        <w:footnoteRef/>
      </w:r>
      <w:r>
        <w:t xml:space="preserve"> </w:t>
      </w:r>
      <w:r w:rsidR="00FF392A">
        <w:tab/>
      </w:r>
      <w:r w:rsidRPr="009D5135">
        <w:rPr>
          <w:lang w:val="en-IE"/>
        </w:rPr>
        <w:t xml:space="preserve">Including </w:t>
      </w:r>
      <w:r>
        <w:rPr>
          <w:lang w:val="en-IE"/>
        </w:rPr>
        <w:t xml:space="preserve">Science, Technology, Engineering and Mathematics (STEM), Social Sciences and Humanities (SSH), and life sciences. </w:t>
      </w:r>
    </w:p>
  </w:footnote>
  <w:footnote w:id="106">
    <w:p w14:paraId="43C2C824" w14:textId="509F52FF" w:rsidR="00E10670" w:rsidRPr="006B7A35" w:rsidRDefault="00E10670" w:rsidP="006B7A35">
      <w:pPr>
        <w:pStyle w:val="FootnoteText"/>
        <w:spacing w:before="0"/>
        <w:rPr>
          <w:lang w:val="en-US"/>
        </w:rPr>
      </w:pPr>
      <w:r>
        <w:rPr>
          <w:rStyle w:val="FootnoteReference"/>
        </w:rPr>
        <w:footnoteRef/>
      </w:r>
      <w:r>
        <w:t xml:space="preserve"> </w:t>
      </w:r>
      <w:r w:rsidRPr="00E10670">
        <w:rPr>
          <w:lang w:val="en-IE"/>
        </w:rPr>
        <w:t>Draghi, M. (</w:t>
      </w:r>
      <w:hyperlink r:id="rId29" w:tgtFrame="_blank" w:history="1">
        <w:r w:rsidRPr="00E10670">
          <w:rPr>
            <w:rStyle w:val="Hyperlink"/>
            <w:lang w:val="en-IE"/>
          </w:rPr>
          <w:t>2024</w:t>
        </w:r>
      </w:hyperlink>
      <w:r w:rsidRPr="00E10670">
        <w:rPr>
          <w:lang w:val="en-IE"/>
        </w:rPr>
        <w:t>). The future of European competitiveness. Part B – In-depth analysis and recommendations, p. 236</w:t>
      </w:r>
      <w:r w:rsidRPr="00E10670">
        <w:t> </w:t>
      </w:r>
    </w:p>
  </w:footnote>
  <w:footnote w:id="107">
    <w:p w14:paraId="418B262E" w14:textId="4F8305B7" w:rsidR="00631DDE" w:rsidRPr="006B7A35" w:rsidRDefault="00631DDE" w:rsidP="006B7A35">
      <w:pPr>
        <w:pStyle w:val="FootnoteText"/>
        <w:spacing w:before="0"/>
        <w:rPr>
          <w:lang w:val="en-US"/>
        </w:rPr>
      </w:pPr>
      <w:r>
        <w:rPr>
          <w:rStyle w:val="FootnoteReference"/>
        </w:rPr>
        <w:footnoteRef/>
      </w:r>
      <w:r>
        <w:t xml:space="preserve"> </w:t>
      </w:r>
      <w:r w:rsidRPr="00631DDE">
        <w:t>Although regional and national smart specialization strategies show that ERDF R&amp;I investments contribute to the twin transition, there is a structural lack of coordinated policies and objectives between EU, Member States and regional levels.</w:t>
      </w:r>
    </w:p>
  </w:footnote>
  <w:footnote w:id="108">
    <w:p w14:paraId="13474F12" w14:textId="77777777" w:rsidR="00EF0BE3" w:rsidRPr="007709BA" w:rsidRDefault="00EF0BE3" w:rsidP="00EF0BE3">
      <w:pPr>
        <w:pStyle w:val="FootnoteText"/>
        <w:spacing w:before="0"/>
        <w:rPr>
          <w:lang w:val="en-IE"/>
        </w:rPr>
      </w:pPr>
      <w:r>
        <w:rPr>
          <w:rStyle w:val="FootnoteReference"/>
        </w:rPr>
        <w:footnoteRef/>
      </w:r>
      <w:r>
        <w:t xml:space="preserve">  </w:t>
      </w:r>
      <w:r w:rsidRPr="00C837CE">
        <w:t>European Commission</w:t>
      </w:r>
      <w:r>
        <w:t xml:space="preserve"> (</w:t>
      </w:r>
      <w:hyperlink r:id="rId30" w:history="1">
        <w:r w:rsidRPr="000809D7">
          <w:rPr>
            <w:rStyle w:val="Hyperlink"/>
          </w:rPr>
          <w:t>2025</w:t>
        </w:r>
      </w:hyperlink>
      <w:r>
        <w:t xml:space="preserve">). </w:t>
      </w:r>
      <w:r w:rsidRPr="00C837CE">
        <w:t>Steeman, J.-T., Peiffer-Smadja, O. and Ravet, J</w:t>
      </w:r>
      <w:r w:rsidRPr="007709BA">
        <w:rPr>
          <w:i/>
          <w:iCs/>
        </w:rPr>
        <w:t>., </w:t>
      </w:r>
      <w:r w:rsidRPr="00CC340C">
        <w:rPr>
          <w:i/>
          <w:iCs/>
        </w:rPr>
        <w:t>A comparative analysis of public R&amp;I funding in the EU, US, and China</w:t>
      </w:r>
      <w:r w:rsidRPr="007709BA">
        <w:rPr>
          <w:i/>
          <w:iCs/>
        </w:rPr>
        <w:t>,</w:t>
      </w:r>
      <w:r>
        <w:t xml:space="preserve">; </w:t>
      </w:r>
      <w:r w:rsidRPr="00485B02">
        <w:t>European Commission</w:t>
      </w:r>
      <w:r>
        <w:t xml:space="preserve"> (</w:t>
      </w:r>
      <w:hyperlink r:id="rId31" w:history="1">
        <w:r w:rsidRPr="000809D7">
          <w:rPr>
            <w:rStyle w:val="Hyperlink"/>
          </w:rPr>
          <w:t>2025</w:t>
        </w:r>
      </w:hyperlink>
      <w:r>
        <w:t xml:space="preserve">) </w:t>
      </w:r>
      <w:r w:rsidRPr="00485B02">
        <w:t xml:space="preserve">Benoit, F., Karvounaraki, A., Stevenson, A. and Ravet, J., </w:t>
      </w:r>
      <w:r w:rsidRPr="007709BA">
        <w:rPr>
          <w:i/>
          <w:iCs/>
        </w:rPr>
        <w:t>Shaping the future – EU R&amp;D investments explained</w:t>
      </w:r>
      <w:r w:rsidRPr="00485B02">
        <w:t xml:space="preserve"> </w:t>
      </w:r>
    </w:p>
  </w:footnote>
  <w:footnote w:id="109">
    <w:p w14:paraId="6E097E82" w14:textId="0C99A5E8" w:rsidR="00801E98" w:rsidRPr="00801E98" w:rsidRDefault="00801E98" w:rsidP="0038438D">
      <w:pPr>
        <w:pStyle w:val="FootnoteText"/>
        <w:spacing w:before="0"/>
        <w:ind w:left="357" w:hanging="357"/>
      </w:pPr>
      <w:r>
        <w:rPr>
          <w:rStyle w:val="FootnoteReference"/>
        </w:rPr>
        <w:footnoteRef/>
      </w:r>
      <w:r>
        <w:t xml:space="preserve"> </w:t>
      </w:r>
      <w:r w:rsidR="00FF392A">
        <w:tab/>
      </w:r>
      <w:r w:rsidRPr="00734492">
        <w:t xml:space="preserve">Draghi, M. (2024: </w:t>
      </w:r>
      <w:r>
        <w:t>23</w:t>
      </w:r>
      <w:r w:rsidRPr="00734492">
        <w:t>). The future of European competitiveness. Part A – A competitiveness strategy for Europe</w:t>
      </w:r>
      <w:r>
        <w:t>.</w:t>
      </w:r>
    </w:p>
  </w:footnote>
  <w:footnote w:id="110">
    <w:p w14:paraId="25D1B3DD" w14:textId="3EFD0AF1" w:rsidR="008549DD" w:rsidRPr="004F7D7D" w:rsidRDefault="008549DD" w:rsidP="0038438D">
      <w:pPr>
        <w:pStyle w:val="FootnoteText"/>
        <w:spacing w:before="0"/>
        <w:ind w:left="357" w:hanging="357"/>
        <w:rPr>
          <w:lang w:val="en-IE"/>
        </w:rPr>
      </w:pPr>
      <w:r>
        <w:rPr>
          <w:rStyle w:val="FootnoteReference"/>
        </w:rPr>
        <w:footnoteRef/>
      </w:r>
      <w:r>
        <w:t xml:space="preserve"> </w:t>
      </w:r>
      <w:r w:rsidR="00FF392A">
        <w:tab/>
      </w:r>
      <w:r w:rsidRPr="00044DC5">
        <w:t>Research and development of innovative health technologies including antibiotics is a complex and expensive process that requires significant investment</w:t>
      </w:r>
      <w:r>
        <w:t xml:space="preserve">, including private R&amp;I investment.  </w:t>
      </w:r>
    </w:p>
  </w:footnote>
  <w:footnote w:id="111">
    <w:p w14:paraId="35B2CE42" w14:textId="3BE59CAE" w:rsidR="003F3477" w:rsidRPr="00BB184A" w:rsidRDefault="003F3477" w:rsidP="0038438D">
      <w:pPr>
        <w:pStyle w:val="FootnoteText"/>
        <w:spacing w:before="0"/>
        <w:ind w:left="357" w:hanging="357"/>
        <w:rPr>
          <w:lang w:val="en-US"/>
        </w:rPr>
      </w:pPr>
      <w:r>
        <w:rPr>
          <w:rStyle w:val="FootnoteReference"/>
        </w:rPr>
        <w:footnoteRef/>
      </w:r>
      <w:r>
        <w:t xml:space="preserve"> </w:t>
      </w:r>
      <w:r w:rsidR="00FF392A">
        <w:tab/>
      </w:r>
      <w:r w:rsidR="00BC6C89" w:rsidRPr="00651864">
        <w:t>Forthcoming study by the European Commission. The study analyses the SME financing gap by exploring financial market failures in the EU27 and across each EU Member State in providing credit to financially viable borrowers. The approach uses SME survey data from 2017-2023 to gauge the number of SMEs unsuccessful in obtaining a loan,</w:t>
      </w:r>
    </w:p>
  </w:footnote>
  <w:footnote w:id="112">
    <w:p w14:paraId="67A54BDE" w14:textId="60F06F32" w:rsidR="00310BF8" w:rsidRPr="00B03DD3" w:rsidRDefault="00310BF8" w:rsidP="0038438D">
      <w:pPr>
        <w:pStyle w:val="FootnoteText"/>
        <w:spacing w:before="0"/>
        <w:ind w:left="357" w:hanging="357"/>
        <w:rPr>
          <w:lang w:val="en-IE"/>
        </w:rPr>
      </w:pPr>
      <w:r>
        <w:rPr>
          <w:rStyle w:val="FootnoteReference"/>
        </w:rPr>
        <w:footnoteRef/>
      </w:r>
      <w:r>
        <w:t xml:space="preserve"> </w:t>
      </w:r>
      <w:r w:rsidR="00FF392A">
        <w:tab/>
      </w:r>
      <w:r w:rsidRPr="00310BF8">
        <w:t>European Commission</w:t>
      </w:r>
      <w:r>
        <w:t xml:space="preserve"> </w:t>
      </w:r>
      <w:r w:rsidRPr="00310BF8">
        <w:t>(</w:t>
      </w:r>
      <w:hyperlink r:id="rId32" w:history="1">
        <w:r w:rsidRPr="00310BF8">
          <w:rPr>
            <w:rStyle w:val="Hyperlink"/>
          </w:rPr>
          <w:t>2024</w:t>
        </w:r>
      </w:hyperlink>
      <w:r w:rsidRPr="00310BF8">
        <w:t>: 38). Science, research and innovation performance of the EU, 2024 – A competitive Europe for a sustainable future</w:t>
      </w:r>
      <w:r w:rsidR="00DC71CC">
        <w:t>.</w:t>
      </w:r>
    </w:p>
  </w:footnote>
  <w:footnote w:id="113">
    <w:p w14:paraId="32CBEA13" w14:textId="594E886D" w:rsidR="00B0583E" w:rsidRPr="0087036A" w:rsidRDefault="00B0583E" w:rsidP="0038438D">
      <w:pPr>
        <w:pStyle w:val="FootnoteText"/>
        <w:spacing w:before="0"/>
        <w:ind w:left="357" w:hanging="357"/>
        <w:rPr>
          <w:lang w:val="en-IE"/>
        </w:rPr>
      </w:pPr>
      <w:r>
        <w:rPr>
          <w:rStyle w:val="FootnoteReference"/>
        </w:rPr>
        <w:footnoteRef/>
      </w:r>
      <w:r>
        <w:t xml:space="preserve"> </w:t>
      </w:r>
      <w:r w:rsidR="00FF392A">
        <w:tab/>
      </w:r>
      <w:r w:rsidR="008053AB">
        <w:rPr>
          <w:lang w:val="en-IE"/>
        </w:rPr>
        <w:t>Budget contribution digital:</w:t>
      </w:r>
      <w:r w:rsidR="00952C6E">
        <w:rPr>
          <w:lang w:val="en-IE"/>
        </w:rPr>
        <w:t xml:space="preserve"> </w:t>
      </w:r>
      <w:hyperlink r:id="rId33" w:history="1">
        <w:r w:rsidR="00952C6E" w:rsidRPr="00952C6E">
          <w:rPr>
            <w:rStyle w:val="Hyperlink"/>
          </w:rPr>
          <w:t>Digital tracking - European Commission</w:t>
        </w:r>
      </w:hyperlink>
      <w:r w:rsidR="00DC71CC">
        <w:t>.</w:t>
      </w:r>
    </w:p>
  </w:footnote>
  <w:footnote w:id="114">
    <w:p w14:paraId="71B7A05F" w14:textId="783467E2" w:rsidR="004B5A92" w:rsidRPr="004B5A92" w:rsidRDefault="004B5A92" w:rsidP="0038438D">
      <w:pPr>
        <w:pStyle w:val="FootnoteText"/>
        <w:spacing w:before="0"/>
        <w:ind w:left="357" w:hanging="357"/>
        <w:rPr>
          <w:lang w:val="en-IE"/>
        </w:rPr>
      </w:pPr>
      <w:r>
        <w:rPr>
          <w:rStyle w:val="FootnoteReference"/>
        </w:rPr>
        <w:footnoteRef/>
      </w:r>
      <w:r>
        <w:t xml:space="preserve"> </w:t>
      </w:r>
      <w:r w:rsidR="00FF392A">
        <w:tab/>
      </w:r>
      <w:r w:rsidR="00243970">
        <w:t>European Commission (</w:t>
      </w:r>
      <w:hyperlink r:id="rId34" w:history="1">
        <w:r w:rsidR="00243970" w:rsidRPr="000459EA">
          <w:rPr>
            <w:rStyle w:val="Hyperlink"/>
          </w:rPr>
          <w:t>2023</w:t>
        </w:r>
      </w:hyperlink>
      <w:r w:rsidR="00243970">
        <w:t xml:space="preserve">). </w:t>
      </w:r>
      <w:r w:rsidR="000459EA">
        <w:t xml:space="preserve">Report on the </w:t>
      </w:r>
      <w:r w:rsidR="00243970">
        <w:t>State of the Digital De</w:t>
      </w:r>
      <w:r w:rsidR="000459EA">
        <w:t>cade</w:t>
      </w:r>
      <w:r w:rsidR="00DC71CC">
        <w:t>.</w:t>
      </w:r>
    </w:p>
  </w:footnote>
  <w:footnote w:id="115">
    <w:p w14:paraId="5D01FDF5" w14:textId="53F6DAF1" w:rsidR="002A0F44" w:rsidRPr="00E2422A" w:rsidRDefault="002A0F44" w:rsidP="0038438D">
      <w:pPr>
        <w:pStyle w:val="FootnoteText"/>
        <w:spacing w:before="0"/>
        <w:ind w:left="357" w:hanging="357"/>
        <w:rPr>
          <w:lang w:val="en-IE"/>
        </w:rPr>
      </w:pPr>
      <w:r>
        <w:rPr>
          <w:rStyle w:val="FootnoteReference"/>
        </w:rPr>
        <w:footnoteRef/>
      </w:r>
      <w:r>
        <w:t xml:space="preserve"> </w:t>
      </w:r>
      <w:r w:rsidR="00FF392A">
        <w:tab/>
      </w:r>
      <w:r w:rsidR="009D686E" w:rsidRPr="00E2422A">
        <w:rPr>
          <w:lang w:val="en-IE"/>
        </w:rPr>
        <w:t xml:space="preserve">European Court of </w:t>
      </w:r>
      <w:r w:rsidR="009D686E">
        <w:rPr>
          <w:lang w:val="en-IE"/>
        </w:rPr>
        <w:t>Auditors (</w:t>
      </w:r>
      <w:hyperlink r:id="rId35" w:history="1">
        <w:r w:rsidR="009E263E" w:rsidRPr="00E2422A">
          <w:rPr>
            <w:rStyle w:val="Hyperlink"/>
            <w:lang w:val="en-IE"/>
          </w:rPr>
          <w:t>2025</w:t>
        </w:r>
      </w:hyperlink>
      <w:r w:rsidR="009E263E">
        <w:rPr>
          <w:lang w:val="en-IE"/>
        </w:rPr>
        <w:t xml:space="preserve">). </w:t>
      </w:r>
      <w:r w:rsidR="009E263E" w:rsidRPr="009E263E">
        <w:rPr>
          <w:lang w:val="en-IE"/>
        </w:rPr>
        <w:t>Special report</w:t>
      </w:r>
      <w:r w:rsidR="0090577D">
        <w:rPr>
          <w:lang w:val="en-IE"/>
        </w:rPr>
        <w:t xml:space="preserve"> “</w:t>
      </w:r>
      <w:r w:rsidR="0090577D" w:rsidRPr="0090577D">
        <w:rPr>
          <w:lang w:val="en-IE"/>
        </w:rPr>
        <w:t>he EU’s strategy for microchips</w:t>
      </w:r>
      <w:r w:rsidR="0090577D">
        <w:rPr>
          <w:lang w:val="en-IE"/>
        </w:rPr>
        <w:t>”</w:t>
      </w:r>
      <w:r w:rsidR="00DC71CC">
        <w:rPr>
          <w:lang w:val="en-IE"/>
        </w:rPr>
        <w:t>.</w:t>
      </w:r>
    </w:p>
  </w:footnote>
  <w:footnote w:id="116">
    <w:p w14:paraId="01A61464" w14:textId="7F553DB8" w:rsidR="008549DD" w:rsidRPr="00B42C70" w:rsidRDefault="008549DD" w:rsidP="0038438D">
      <w:pPr>
        <w:pStyle w:val="FootnoteText"/>
        <w:spacing w:before="0"/>
        <w:ind w:left="357" w:hanging="357"/>
        <w:rPr>
          <w:szCs w:val="18"/>
          <w:lang w:val="en-IE"/>
        </w:rPr>
      </w:pPr>
      <w:r w:rsidRPr="00B42C70">
        <w:rPr>
          <w:rStyle w:val="FootnoteReference"/>
          <w:szCs w:val="18"/>
          <w:lang w:val="en-IE"/>
        </w:rPr>
        <w:footnoteRef/>
      </w:r>
      <w:r w:rsidRPr="00B42C70">
        <w:rPr>
          <w:szCs w:val="18"/>
          <w:lang w:val="en-IE"/>
        </w:rPr>
        <w:t xml:space="preserve"> </w:t>
      </w:r>
      <w:r w:rsidR="00FF392A">
        <w:rPr>
          <w:szCs w:val="18"/>
          <w:lang w:val="en-IE"/>
        </w:rPr>
        <w:tab/>
      </w:r>
      <w:r w:rsidRPr="00B42C70">
        <w:rPr>
          <w:szCs w:val="18"/>
          <w:lang w:val="en-IE"/>
        </w:rPr>
        <w:t>See Draghi, M. (</w:t>
      </w:r>
      <w:hyperlink r:id="rId36" w:history="1">
        <w:r w:rsidRPr="00B42C70">
          <w:rPr>
            <w:rStyle w:val="Hyperlink"/>
            <w:szCs w:val="18"/>
            <w:lang w:val="en-IE"/>
          </w:rPr>
          <w:t>2024</w:t>
        </w:r>
      </w:hyperlink>
      <w:r w:rsidRPr="00B42C70">
        <w:rPr>
          <w:szCs w:val="18"/>
          <w:lang w:val="en-IE"/>
        </w:rPr>
        <w:t xml:space="preserve">: </w:t>
      </w:r>
      <w:r>
        <w:rPr>
          <w:szCs w:val="18"/>
          <w:lang w:val="en-IE"/>
        </w:rPr>
        <w:t>35-36</w:t>
      </w:r>
      <w:r w:rsidRPr="00B42C70">
        <w:rPr>
          <w:szCs w:val="18"/>
          <w:lang w:val="en-IE"/>
        </w:rPr>
        <w:t>). The Future of European Competitiveness, Part A: A competitiveness strategy for Europe.</w:t>
      </w:r>
    </w:p>
  </w:footnote>
  <w:footnote w:id="117">
    <w:p w14:paraId="5B68F7EC" w14:textId="123E58C9" w:rsidR="008549DD" w:rsidRPr="007E33D2" w:rsidRDefault="008549DD" w:rsidP="0038438D">
      <w:pPr>
        <w:pStyle w:val="FootnoteText"/>
        <w:spacing w:before="0"/>
        <w:ind w:left="357" w:hanging="357"/>
        <w:rPr>
          <w:lang w:val="en-IE"/>
        </w:rPr>
      </w:pPr>
      <w:r w:rsidRPr="00B8200A">
        <w:rPr>
          <w:rStyle w:val="FootnoteReference"/>
          <w:sz w:val="22"/>
          <w:szCs w:val="22"/>
        </w:rPr>
        <w:footnoteRef/>
      </w:r>
      <w:r w:rsidRPr="00B8200A">
        <w:rPr>
          <w:sz w:val="22"/>
          <w:szCs w:val="22"/>
        </w:rPr>
        <w:t xml:space="preserve"> </w:t>
      </w:r>
      <w:r w:rsidR="00FF392A">
        <w:rPr>
          <w:sz w:val="22"/>
          <w:szCs w:val="22"/>
        </w:rPr>
        <w:tab/>
      </w:r>
      <w:r w:rsidRPr="0038438D">
        <w:t>In the energy sector, key for the green transition, various challenges hinder investment in the energy system. Energy projects often struggle with low return on invested capital</w:t>
      </w:r>
      <w:r w:rsidR="00A336EC" w:rsidRPr="0038438D">
        <w:t>,</w:t>
      </w:r>
      <w:r w:rsidRPr="0038438D">
        <w:t xml:space="preserve"> due to high operational and capital costs, significant upfront investment needs, and/or uncertain revenue streams, compounded by regulatory risks such as long permitting procedures. European venture capital markets are less developed than US, China and UK, and market fragmentation coupled with limited securitization deter institutional investors. Additionally, weak creditworthiness of SMEs and counterparty risks discourage investment</w:t>
      </w:r>
      <w:r w:rsidR="000C5E39">
        <w:t xml:space="preserve">. </w:t>
      </w:r>
      <w:r w:rsidR="00126FA3" w:rsidRPr="00B42C70">
        <w:rPr>
          <w:szCs w:val="18"/>
          <w:lang w:val="en-IE"/>
        </w:rPr>
        <w:t>S</w:t>
      </w:r>
      <w:r w:rsidR="00126FA3">
        <w:rPr>
          <w:szCs w:val="18"/>
          <w:lang w:val="en-IE"/>
        </w:rPr>
        <w:t>ource:</w:t>
      </w:r>
      <w:r w:rsidR="00126FA3" w:rsidRPr="00B42C70">
        <w:rPr>
          <w:szCs w:val="18"/>
          <w:lang w:val="en-IE"/>
        </w:rPr>
        <w:t xml:space="preserve"> Draghi, M. (</w:t>
      </w:r>
      <w:hyperlink r:id="rId37" w:history="1">
        <w:r w:rsidR="00126FA3" w:rsidRPr="00B42C70">
          <w:rPr>
            <w:rStyle w:val="Hyperlink"/>
            <w:szCs w:val="18"/>
            <w:lang w:val="en-IE"/>
          </w:rPr>
          <w:t>2024</w:t>
        </w:r>
      </w:hyperlink>
      <w:r w:rsidR="00126FA3" w:rsidRPr="00B42C70">
        <w:rPr>
          <w:szCs w:val="18"/>
          <w:lang w:val="en-IE"/>
        </w:rPr>
        <w:t xml:space="preserve">). The Future of European Competitiveness, Part </w:t>
      </w:r>
      <w:r w:rsidR="00126FA3">
        <w:rPr>
          <w:szCs w:val="18"/>
          <w:lang w:val="en-IE"/>
        </w:rPr>
        <w:t>B</w:t>
      </w:r>
      <w:r w:rsidR="00126FA3" w:rsidRPr="00B42C70">
        <w:rPr>
          <w:szCs w:val="18"/>
          <w:lang w:val="en-IE"/>
        </w:rPr>
        <w:t xml:space="preserve">: </w:t>
      </w:r>
      <w:r w:rsidR="00793769">
        <w:rPr>
          <w:szCs w:val="18"/>
          <w:lang w:val="en-IE"/>
        </w:rPr>
        <w:t>In-depth analysis and recommendations</w:t>
      </w:r>
      <w:r w:rsidR="00126FA3" w:rsidRPr="00B42C70">
        <w:rPr>
          <w:szCs w:val="18"/>
          <w:lang w:val="en-IE"/>
        </w:rPr>
        <w:t>.</w:t>
      </w:r>
    </w:p>
  </w:footnote>
  <w:footnote w:id="118">
    <w:p w14:paraId="64FC1065" w14:textId="54BA8CB0" w:rsidR="008549DD" w:rsidRPr="00CC1EEA" w:rsidRDefault="008549DD" w:rsidP="0038438D">
      <w:pPr>
        <w:pStyle w:val="FootnoteText"/>
        <w:spacing w:before="0"/>
        <w:ind w:left="357" w:hanging="357"/>
      </w:pPr>
      <w:r>
        <w:rPr>
          <w:rStyle w:val="FootnoteReference"/>
        </w:rPr>
        <w:footnoteRef/>
      </w:r>
      <w:r>
        <w:t xml:space="preserve"> </w:t>
      </w:r>
      <w:r w:rsidR="00FF392A">
        <w:tab/>
      </w:r>
      <w:r w:rsidRPr="00CC1EEA">
        <w:t>International Energy Agency (2023a), Net Zero Roadmap - A Global Pathway to Keep the 1.5 °C Goal in Reach, 2023 Update.</w:t>
      </w:r>
    </w:p>
  </w:footnote>
  <w:footnote w:id="119">
    <w:p w14:paraId="350DDB11" w14:textId="5C62C8B4" w:rsidR="008549DD" w:rsidRPr="00896D7A" w:rsidRDefault="008549DD" w:rsidP="0038438D">
      <w:pPr>
        <w:pStyle w:val="FootnoteText"/>
        <w:spacing w:before="0"/>
        <w:ind w:left="357" w:hanging="357"/>
        <w:rPr>
          <w:lang w:val="en-IE"/>
        </w:rPr>
      </w:pPr>
      <w:r w:rsidRPr="00E07A41">
        <w:rPr>
          <w:rStyle w:val="FootnoteReference"/>
        </w:rPr>
        <w:footnoteRef/>
      </w:r>
      <w:r>
        <w:t xml:space="preserve"> </w:t>
      </w:r>
      <w:r w:rsidR="00FF392A">
        <w:tab/>
      </w:r>
      <w:r w:rsidRPr="00CC1EEA">
        <w:t>Cervantes, M., Criscuolo, C., Dechezleprêtre, A., and Pilat D. (2023), Driving low-carbon innovations for climate neutrality, OECD Science, Technology and Industry Policy Papers, No. 143, OECD Publishing.</w:t>
      </w:r>
    </w:p>
  </w:footnote>
  <w:footnote w:id="120">
    <w:p w14:paraId="6F99F5FC" w14:textId="42E4C75B" w:rsidR="008549DD" w:rsidRPr="00B8200A" w:rsidRDefault="008549DD" w:rsidP="0038438D">
      <w:pPr>
        <w:pStyle w:val="FootnoteText"/>
        <w:spacing w:before="0"/>
        <w:ind w:left="357" w:hanging="357"/>
        <w:rPr>
          <w:sz w:val="22"/>
          <w:szCs w:val="22"/>
          <w:lang w:val="en-IE"/>
        </w:rPr>
      </w:pPr>
      <w:r w:rsidRPr="00B8200A">
        <w:rPr>
          <w:rStyle w:val="FootnoteReference"/>
          <w:sz w:val="22"/>
          <w:szCs w:val="22"/>
        </w:rPr>
        <w:footnoteRef/>
      </w:r>
      <w:r w:rsidRPr="00B8200A">
        <w:rPr>
          <w:sz w:val="22"/>
          <w:szCs w:val="22"/>
        </w:rPr>
        <w:t xml:space="preserve"> </w:t>
      </w:r>
      <w:r w:rsidR="00FF392A">
        <w:rPr>
          <w:sz w:val="22"/>
          <w:szCs w:val="22"/>
        </w:rPr>
        <w:tab/>
      </w:r>
      <w:r w:rsidRPr="0038438D">
        <w:t>Delivering the EU’s environmental objectives requires mobilising more environmental investments. Up to 2030 the environmental investment gap in the EU, i.e. the environmental investment needs unmet by existing private and public funding, is currently estimated to be at least EUR 122 billion per year. Particularly for R&amp;I, EU´s expenditure is expected to increase further, with a view to catching up to global competitors and to delivering on previous pledges on the R&amp;D intensity. The estimated total needs reach around EUR 27 billion per year (including both direct and indirect contributions to the environment). Given recent baseline expenditure of EUR 20 billion per year, this creates a yearly financing gap of EUR 7 billion.</w:t>
      </w:r>
      <w:r w:rsidR="000C5E39">
        <w:t xml:space="preserve"> </w:t>
      </w:r>
      <w:hyperlink r:id="rId38" w:history="1">
        <w:r w:rsidR="00CB26D6" w:rsidRPr="00C41640">
          <w:rPr>
            <w:rStyle w:val="Hyperlink"/>
          </w:rPr>
          <w:t>Sources:</w:t>
        </w:r>
        <w:r w:rsidR="00AC44E5" w:rsidRPr="00C41640">
          <w:rPr>
            <w:rStyle w:val="Hyperlink"/>
            <w:sz w:val="18"/>
            <w:szCs w:val="18"/>
          </w:rPr>
          <w:t xml:space="preserve"> </w:t>
        </w:r>
        <w:r w:rsidR="00AC44E5" w:rsidRPr="00C41640">
          <w:rPr>
            <w:rStyle w:val="Hyperlink"/>
          </w:rPr>
          <w:t>European Commission (2022</w:t>
        </w:r>
      </w:hyperlink>
      <w:r w:rsidR="00AC44E5" w:rsidRPr="0038438D">
        <w:t xml:space="preserve">), </w:t>
      </w:r>
      <w:r w:rsidR="00A467A1" w:rsidRPr="0038438D">
        <w:t xml:space="preserve">European Court of Auditors (2023), </w:t>
      </w:r>
      <w:hyperlink r:id="rId39" w:history="1">
        <w:r w:rsidR="00A467A1" w:rsidRPr="0038438D">
          <w:rPr>
            <w:rStyle w:val="Hyperlink"/>
          </w:rPr>
          <w:t>Special report 17/2023: Circular economy</w:t>
        </w:r>
      </w:hyperlink>
      <w:r w:rsidR="00A467A1" w:rsidRPr="0038438D">
        <w:rPr>
          <w:rStyle w:val="Hyperlink"/>
        </w:rPr>
        <w:t xml:space="preserve">; </w:t>
      </w:r>
      <w:r w:rsidR="009C42D8" w:rsidRPr="0038438D">
        <w:rPr>
          <w:rStyle w:val="Hyperlink"/>
        </w:rPr>
        <w:t xml:space="preserve">internal Commission analyses. </w:t>
      </w:r>
    </w:p>
  </w:footnote>
  <w:footnote w:id="121">
    <w:p w14:paraId="007ECA73" w14:textId="6BA22D78" w:rsidR="008549DD" w:rsidRPr="00B8200A" w:rsidRDefault="008549DD" w:rsidP="0038438D">
      <w:pPr>
        <w:pStyle w:val="FootnoteText"/>
        <w:spacing w:before="0"/>
        <w:ind w:left="357" w:hanging="357"/>
        <w:rPr>
          <w:sz w:val="22"/>
          <w:szCs w:val="22"/>
          <w:lang w:val="en-IE"/>
        </w:rPr>
      </w:pPr>
      <w:r w:rsidRPr="00B8200A">
        <w:rPr>
          <w:rStyle w:val="FootnoteReference"/>
          <w:sz w:val="22"/>
          <w:szCs w:val="22"/>
        </w:rPr>
        <w:footnoteRef/>
      </w:r>
      <w:r w:rsidRPr="00B8200A">
        <w:rPr>
          <w:sz w:val="22"/>
          <w:szCs w:val="22"/>
        </w:rPr>
        <w:t xml:space="preserve"> </w:t>
      </w:r>
      <w:r w:rsidR="00FF392A">
        <w:rPr>
          <w:sz w:val="22"/>
          <w:szCs w:val="22"/>
        </w:rPr>
        <w:tab/>
      </w:r>
      <w:r w:rsidRPr="00B8200A">
        <w:rPr>
          <w:rFonts w:eastAsia="Times New Roman"/>
        </w:rPr>
        <w:t>International Energy Agency (2023). The World Energy Outlook 2023, IEA, Paris.</w:t>
      </w:r>
    </w:p>
  </w:footnote>
  <w:footnote w:id="122">
    <w:p w14:paraId="1B2941AC" w14:textId="33DE8E46" w:rsidR="008549DD" w:rsidRPr="00A960F3" w:rsidRDefault="008549DD" w:rsidP="0038438D">
      <w:pPr>
        <w:pStyle w:val="FootnoteText"/>
        <w:spacing w:before="0"/>
        <w:ind w:left="357" w:hanging="357"/>
        <w:rPr>
          <w:lang w:val="en-IE"/>
        </w:rPr>
      </w:pPr>
      <w:r>
        <w:rPr>
          <w:rStyle w:val="FootnoteReference"/>
        </w:rPr>
        <w:footnoteRef/>
      </w:r>
      <w:r>
        <w:t xml:space="preserve"> </w:t>
      </w:r>
      <w:r w:rsidR="00FF392A">
        <w:tab/>
      </w:r>
      <w:r w:rsidRPr="000801C8">
        <w:rPr>
          <w:lang w:val="en-IE"/>
        </w:rPr>
        <w:t>European Commission (2024). White Paper on options for enhancing support for research and development involving technologies with dual-use potential, COM (2024) 27</w:t>
      </w:r>
      <w:r w:rsidR="00C450E5">
        <w:rPr>
          <w:lang w:val="en-IE"/>
        </w:rPr>
        <w:t>.</w:t>
      </w:r>
    </w:p>
  </w:footnote>
  <w:footnote w:id="123">
    <w:p w14:paraId="18C91730" w14:textId="2E483F98" w:rsidR="008549DD" w:rsidRPr="00505F72" w:rsidRDefault="008549DD" w:rsidP="0038438D">
      <w:pPr>
        <w:pStyle w:val="FootnoteText"/>
        <w:spacing w:before="0"/>
        <w:ind w:left="357" w:hanging="357"/>
      </w:pPr>
      <w:r>
        <w:rPr>
          <w:rStyle w:val="FootnoteReference"/>
        </w:rPr>
        <w:footnoteRef/>
      </w:r>
      <w:r>
        <w:t xml:space="preserve"> </w:t>
      </w:r>
      <w:r w:rsidR="00FF392A">
        <w:tab/>
      </w:r>
      <w:r w:rsidRPr="009746C3">
        <w:t xml:space="preserve">Draghi, M. (2024: </w:t>
      </w:r>
      <w:r>
        <w:t>163</w:t>
      </w:r>
      <w:r w:rsidRPr="009746C3">
        <w:t xml:space="preserve">). The future of European competitiveness. Part </w:t>
      </w:r>
      <w:r>
        <w:t xml:space="preserve">B – In-depth analysis and recommendations. </w:t>
      </w:r>
      <w:r w:rsidRPr="0096034B">
        <w:t>As referred to in the Draghi Report, a successful scale-up of defence manufacturing capabilities is also closely linked to the resilience of the wider value chain and interaction with related industrial ecosystems</w:t>
      </w:r>
      <w:r>
        <w:t>.</w:t>
      </w:r>
    </w:p>
  </w:footnote>
  <w:footnote w:id="124">
    <w:p w14:paraId="235AA375" w14:textId="4E0EF134" w:rsidR="00665C9E" w:rsidRPr="00B03DD3" w:rsidRDefault="00665C9E" w:rsidP="0038438D">
      <w:pPr>
        <w:pStyle w:val="FootnoteText"/>
        <w:spacing w:before="0"/>
        <w:ind w:left="357" w:hanging="357"/>
        <w:rPr>
          <w:lang w:val="en-IE"/>
        </w:rPr>
      </w:pPr>
      <w:r>
        <w:rPr>
          <w:rStyle w:val="FootnoteReference"/>
        </w:rPr>
        <w:footnoteRef/>
      </w:r>
      <w:r>
        <w:t xml:space="preserve"> </w:t>
      </w:r>
      <w:r w:rsidR="00FF392A">
        <w:tab/>
      </w:r>
      <w:r w:rsidR="00F809FE" w:rsidRPr="0098760A">
        <w:t>European Commission (</w:t>
      </w:r>
      <w:hyperlink r:id="rId40" w:history="1">
        <w:r w:rsidR="00F809FE" w:rsidRPr="0098760A">
          <w:rPr>
            <w:rStyle w:val="Hyperlink"/>
          </w:rPr>
          <w:t>2025</w:t>
        </w:r>
      </w:hyperlink>
      <w:r w:rsidR="00F809FE" w:rsidRPr="0098760A">
        <w:t xml:space="preserve">) </w:t>
      </w:r>
      <w:r w:rsidRPr="009056DE">
        <w:t>Investment needs of European energy infrastructure to enable a decarbonised economy</w:t>
      </w:r>
    </w:p>
  </w:footnote>
  <w:footnote w:id="125">
    <w:p w14:paraId="2287A581" w14:textId="7C04DAFC" w:rsidR="004B5A92" w:rsidRPr="004B5A92" w:rsidRDefault="004B5A92" w:rsidP="0038438D">
      <w:pPr>
        <w:pStyle w:val="FootnoteText"/>
        <w:spacing w:before="0"/>
        <w:ind w:left="357" w:hanging="357"/>
        <w:rPr>
          <w:lang w:val="en-IE"/>
        </w:rPr>
      </w:pPr>
      <w:r>
        <w:rPr>
          <w:rStyle w:val="FootnoteReference"/>
        </w:rPr>
        <w:footnoteRef/>
      </w:r>
      <w:r w:rsidR="4947ADCE">
        <w:t xml:space="preserve"> </w:t>
      </w:r>
      <w:r w:rsidR="4947ADCE" w:rsidRPr="4947ADCE">
        <w:rPr>
          <w:lang w:val="en-IE"/>
        </w:rPr>
        <w:t xml:space="preserve"> </w:t>
      </w:r>
      <w:r w:rsidR="00FF392A">
        <w:rPr>
          <w:lang w:val="en-IE"/>
        </w:rPr>
        <w:tab/>
      </w:r>
      <w:hyperlink r:id="rId41" w:history="1">
        <w:r w:rsidR="4947ADCE" w:rsidRPr="00054B9A">
          <w:rPr>
            <w:rStyle w:val="Hyperlink"/>
            <w:lang w:val="en-IE"/>
          </w:rPr>
          <w:t>Speech</w:t>
        </w:r>
      </w:hyperlink>
      <w:r w:rsidR="4947ADCE" w:rsidRPr="4947ADCE">
        <w:rPr>
          <w:lang w:val="en-IE"/>
        </w:rPr>
        <w:t xml:space="preserve"> by President </w:t>
      </w:r>
      <w:r w:rsidR="00054B9A" w:rsidRPr="0098760A">
        <w:t>von</w:t>
      </w:r>
      <w:r w:rsidR="4947ADCE" w:rsidRPr="4947ADCE">
        <w:rPr>
          <w:lang w:val="en-IE"/>
        </w:rPr>
        <w:t xml:space="preserve"> der Leyen at the Artificial Intelligence Action Summit, 11 February 2025</w:t>
      </w:r>
      <w:r w:rsidR="00C450E5">
        <w:rPr>
          <w:lang w:val="en-IE"/>
        </w:rPr>
        <w:t>.</w:t>
      </w:r>
    </w:p>
  </w:footnote>
  <w:footnote w:id="126">
    <w:p w14:paraId="144EE77D" w14:textId="55A5C8BD" w:rsidR="4947ADCE" w:rsidRDefault="4947ADCE" w:rsidP="0038438D">
      <w:pPr>
        <w:spacing w:before="0" w:after="0"/>
        <w:ind w:left="357" w:hanging="357"/>
        <w:rPr>
          <w:rFonts w:eastAsia="Times New Roman"/>
        </w:rPr>
      </w:pPr>
      <w:r w:rsidRPr="00D15E5D">
        <w:rPr>
          <w:rStyle w:val="FootnoteReference"/>
          <w:rFonts w:eastAsiaTheme="minorEastAsia"/>
          <w:sz w:val="20"/>
          <w:szCs w:val="20"/>
        </w:rPr>
        <w:footnoteRef/>
      </w:r>
      <w:r w:rsidRPr="00D15E5D">
        <w:rPr>
          <w:rStyle w:val="FootnoteReference"/>
          <w:rFonts w:eastAsiaTheme="minorEastAsia"/>
          <w:sz w:val="20"/>
          <w:szCs w:val="20"/>
        </w:rPr>
        <w:t xml:space="preserve"> </w:t>
      </w:r>
      <w:r w:rsidR="00FF392A">
        <w:rPr>
          <w:rStyle w:val="FootnoteReference"/>
          <w:rFonts w:eastAsiaTheme="minorEastAsia"/>
          <w:sz w:val="20"/>
          <w:szCs w:val="20"/>
        </w:rPr>
        <w:tab/>
      </w:r>
      <w:r w:rsidRPr="0038438D">
        <w:rPr>
          <w:rFonts w:eastAsiaTheme="minorEastAsia"/>
          <w:sz w:val="20"/>
          <w:szCs w:val="20"/>
        </w:rPr>
        <w:t>At least EUR 700 million at EU level is needed for the creation and deployment of pan-European and sovereign cross-border interoperability and other digital public infrastructures. This is to be topped up by further co-investments from Member States</w:t>
      </w:r>
      <w:r w:rsidR="00C1043D" w:rsidRPr="0038438D">
        <w:rPr>
          <w:rFonts w:eastAsiaTheme="minorEastAsia"/>
          <w:sz w:val="20"/>
          <w:szCs w:val="20"/>
        </w:rPr>
        <w:t>.</w:t>
      </w:r>
      <w:r w:rsidR="0056794B">
        <w:rPr>
          <w:rFonts w:eastAsiaTheme="minorEastAsia"/>
          <w:sz w:val="20"/>
          <w:szCs w:val="20"/>
        </w:rPr>
        <w:t xml:space="preserve"> </w:t>
      </w:r>
      <w:r w:rsidR="009F6BB9">
        <w:rPr>
          <w:rFonts w:eastAsiaTheme="minorEastAsia"/>
          <w:sz w:val="20"/>
          <w:szCs w:val="20"/>
        </w:rPr>
        <w:t>Source: Internal Commission analysis</w:t>
      </w:r>
      <w:r w:rsidR="009D3387">
        <w:rPr>
          <w:rFonts w:eastAsiaTheme="minorEastAsia"/>
          <w:sz w:val="20"/>
          <w:szCs w:val="20"/>
        </w:rPr>
        <w:t xml:space="preserve">, an estimate based on the current budget and future needs. </w:t>
      </w:r>
    </w:p>
  </w:footnote>
  <w:footnote w:id="127">
    <w:p w14:paraId="344B4E66" w14:textId="1B31251F" w:rsidR="4947ADCE" w:rsidRDefault="4947ADCE" w:rsidP="0038438D">
      <w:pPr>
        <w:pStyle w:val="FootnoteText"/>
        <w:spacing w:before="0"/>
        <w:ind w:left="357" w:hanging="357"/>
        <w:rPr>
          <w:rFonts w:eastAsia="Times New Roman"/>
        </w:rPr>
      </w:pPr>
      <w:r w:rsidRPr="00A9364B">
        <w:rPr>
          <w:rStyle w:val="FootnoteReference"/>
        </w:rPr>
        <w:footnoteRef/>
      </w:r>
      <w:r w:rsidRPr="00D15E5D">
        <w:rPr>
          <w:rStyle w:val="FootnoteReference"/>
        </w:rPr>
        <w:t xml:space="preserve"> </w:t>
      </w:r>
      <w:r w:rsidR="00C450E5">
        <w:t xml:space="preserve">  Letta, E. (2024). Much more than a market, </w:t>
      </w:r>
      <w:r w:rsidRPr="00A9364B">
        <w:t>page 95</w:t>
      </w:r>
      <w:r w:rsidR="00C1043D">
        <w:t>.</w:t>
      </w:r>
    </w:p>
  </w:footnote>
  <w:footnote w:id="128">
    <w:p w14:paraId="44B6DE6C" w14:textId="0862515E" w:rsidR="00E202E6" w:rsidRPr="00B03DD3" w:rsidRDefault="00E202E6" w:rsidP="0038438D">
      <w:pPr>
        <w:pStyle w:val="FootnoteText"/>
        <w:spacing w:before="0"/>
        <w:ind w:left="357" w:hanging="357"/>
        <w:rPr>
          <w:lang w:val="en-IE"/>
        </w:rPr>
      </w:pPr>
      <w:r>
        <w:rPr>
          <w:rStyle w:val="FootnoteReference"/>
        </w:rPr>
        <w:footnoteRef/>
      </w:r>
      <w:r>
        <w:t xml:space="preserve"> </w:t>
      </w:r>
      <w:r w:rsidR="00FF392A">
        <w:tab/>
      </w:r>
      <w:r w:rsidRPr="00E202E6">
        <w:t xml:space="preserve">Details of the legal basis of sectoral policies are provided in Annex </w:t>
      </w:r>
      <w:r w:rsidR="00BC2C63">
        <w:t>8</w:t>
      </w:r>
      <w:r w:rsidRPr="00E202E6">
        <w:t>.</w:t>
      </w:r>
    </w:p>
  </w:footnote>
  <w:footnote w:id="129">
    <w:p w14:paraId="41C28302" w14:textId="4227B548" w:rsidR="00D827BA" w:rsidRPr="008E08A4" w:rsidRDefault="00D827BA" w:rsidP="0038438D">
      <w:pPr>
        <w:pStyle w:val="FootnoteText"/>
        <w:spacing w:before="0"/>
        <w:ind w:left="357" w:hanging="357"/>
        <w:rPr>
          <w:lang w:val="en-IE"/>
        </w:rPr>
      </w:pPr>
      <w:r>
        <w:rPr>
          <w:rStyle w:val="FootnoteReference"/>
        </w:rPr>
        <w:footnoteRef/>
      </w:r>
      <w:r>
        <w:t xml:space="preserve"> </w:t>
      </w:r>
      <w:r w:rsidR="00FF392A">
        <w:tab/>
      </w:r>
      <w:r w:rsidRPr="00B42C70">
        <w:rPr>
          <w:szCs w:val="18"/>
          <w:lang w:val="en-IE"/>
        </w:rPr>
        <w:t>Draghi, M. (</w:t>
      </w:r>
      <w:r w:rsidRPr="006633FE">
        <w:rPr>
          <w:szCs w:val="18"/>
          <w:lang w:val="en-IE"/>
        </w:rPr>
        <w:t>2024</w:t>
      </w:r>
      <w:r w:rsidR="00C0090F">
        <w:rPr>
          <w:szCs w:val="18"/>
          <w:lang w:val="en-IE"/>
        </w:rPr>
        <w:t>:241</w:t>
      </w:r>
      <w:r w:rsidRPr="00B42C70">
        <w:rPr>
          <w:szCs w:val="18"/>
          <w:lang w:val="en-IE"/>
        </w:rPr>
        <w:t>). The future of European competitiveness. Part B – In-depth analysis and recommendations</w:t>
      </w:r>
      <w:r>
        <w:rPr>
          <w:szCs w:val="18"/>
          <w:lang w:val="en-IE"/>
        </w:rPr>
        <w:t>.</w:t>
      </w:r>
    </w:p>
  </w:footnote>
  <w:footnote w:id="130">
    <w:p w14:paraId="74C7AEA9" w14:textId="763AA062" w:rsidR="2C1BFDFF" w:rsidRDefault="2C1BFDFF" w:rsidP="0038438D">
      <w:pPr>
        <w:spacing w:before="0" w:after="0"/>
        <w:ind w:left="357" w:hanging="357"/>
      </w:pPr>
      <w:r w:rsidRPr="00947DA6">
        <w:rPr>
          <w:rStyle w:val="FootnoteReference"/>
          <w:rFonts w:eastAsiaTheme="minorEastAsia"/>
          <w:sz w:val="20"/>
          <w:szCs w:val="20"/>
        </w:rPr>
        <w:footnoteRef/>
      </w:r>
      <w:r>
        <w:t xml:space="preserve"> </w:t>
      </w:r>
      <w:r w:rsidR="00FF392A">
        <w:tab/>
      </w:r>
      <w:r w:rsidR="00D1165A" w:rsidRPr="00947DA6">
        <w:rPr>
          <w:rFonts w:eastAsiaTheme="minorEastAsia"/>
          <w:sz w:val="20"/>
          <w:szCs w:val="18"/>
          <w:lang w:val="en-IE"/>
        </w:rPr>
        <w:t>European Commission (</w:t>
      </w:r>
      <w:r w:rsidRPr="00947DA6">
        <w:rPr>
          <w:rFonts w:eastAsiaTheme="minorEastAsia"/>
          <w:sz w:val="20"/>
          <w:szCs w:val="18"/>
          <w:lang w:val="en-IE"/>
        </w:rPr>
        <w:t>2025</w:t>
      </w:r>
      <w:r w:rsidR="00D1165A" w:rsidRPr="00947DA6">
        <w:rPr>
          <w:rFonts w:eastAsiaTheme="minorEastAsia"/>
          <w:sz w:val="20"/>
          <w:szCs w:val="18"/>
          <w:lang w:val="en-IE"/>
        </w:rPr>
        <w:t>).</w:t>
      </w:r>
      <w:r w:rsidRPr="00947DA6">
        <w:rPr>
          <w:rFonts w:eastAsiaTheme="minorEastAsia"/>
          <w:sz w:val="20"/>
          <w:szCs w:val="18"/>
          <w:lang w:val="en-IE"/>
        </w:rPr>
        <w:t xml:space="preserve"> </w:t>
      </w:r>
      <w:r w:rsidR="00D1165A" w:rsidRPr="00947DA6">
        <w:rPr>
          <w:rFonts w:eastAsiaTheme="minorEastAsia"/>
          <w:sz w:val="20"/>
          <w:szCs w:val="18"/>
          <w:lang w:val="en-IE"/>
        </w:rPr>
        <w:t xml:space="preserve">The 2025 </w:t>
      </w:r>
      <w:r w:rsidRPr="00947DA6">
        <w:rPr>
          <w:rFonts w:eastAsiaTheme="minorEastAsia"/>
          <w:sz w:val="20"/>
          <w:szCs w:val="18"/>
          <w:lang w:val="en-IE"/>
        </w:rPr>
        <w:t>Annual Single Market and Competitiveness Report</w:t>
      </w:r>
    </w:p>
  </w:footnote>
  <w:footnote w:id="131">
    <w:p w14:paraId="09579344" w14:textId="5412F0AC" w:rsidR="61CDF550" w:rsidRDefault="61CDF550" w:rsidP="0038438D">
      <w:pPr>
        <w:pStyle w:val="FootnoteText"/>
        <w:spacing w:before="0"/>
        <w:ind w:left="357" w:hanging="357"/>
      </w:pPr>
      <w:r w:rsidRPr="00947DA6">
        <w:rPr>
          <w:rStyle w:val="FootnoteReference"/>
        </w:rPr>
        <w:footnoteRef/>
      </w:r>
      <w:r w:rsidRPr="00947DA6">
        <w:rPr>
          <w:rStyle w:val="FootnoteReference"/>
        </w:rPr>
        <w:t xml:space="preserve"> </w:t>
      </w:r>
      <w:r w:rsidR="00FF392A">
        <w:rPr>
          <w:rStyle w:val="FootnoteReference"/>
        </w:rPr>
        <w:tab/>
      </w:r>
      <w:r w:rsidR="00D50E32" w:rsidRPr="00342394">
        <w:rPr>
          <w:lang w:val="en-IE"/>
        </w:rPr>
        <w:t>COM(2025)124 final</w:t>
      </w:r>
      <w:r w:rsidR="00D50E32">
        <w:rPr>
          <w:lang w:val="en-IE"/>
        </w:rPr>
        <w:t xml:space="preserve">. </w:t>
      </w:r>
      <w:r w:rsidR="00D50E32" w:rsidRPr="00C526DC">
        <w:rPr>
          <w:lang w:val="en-IE"/>
        </w:rPr>
        <w:t>Savings and Investments Union. A Strategy to Foster Citizens’ Wealth and Economic Competitiveness in the EU.</w:t>
      </w:r>
    </w:p>
  </w:footnote>
  <w:footnote w:id="132">
    <w:p w14:paraId="38D37650" w14:textId="45270602" w:rsidR="002A3028" w:rsidRPr="00BB184A" w:rsidRDefault="002A3028" w:rsidP="0038438D">
      <w:pPr>
        <w:pStyle w:val="FootnoteText"/>
        <w:spacing w:before="0"/>
        <w:ind w:left="357" w:hanging="357"/>
        <w:rPr>
          <w:lang w:val="en-IE"/>
        </w:rPr>
      </w:pPr>
      <w:r>
        <w:rPr>
          <w:rStyle w:val="FootnoteReference"/>
        </w:rPr>
        <w:footnoteRef/>
      </w:r>
      <w:r>
        <w:t xml:space="preserve"> </w:t>
      </w:r>
      <w:r w:rsidR="00FF392A">
        <w:tab/>
      </w:r>
      <w:r>
        <w:rPr>
          <w:lang w:val="en-IE"/>
        </w:rPr>
        <w:t xml:space="preserve">For example, Draghi shows that for public R&amp;D spending </w:t>
      </w:r>
      <w:r>
        <w:t xml:space="preserve">circa </w:t>
      </w:r>
      <w:r w:rsidRPr="0080381A">
        <w:t xml:space="preserve">one-tenth </w:t>
      </w:r>
      <w:r>
        <w:t>comes from EU-level resources.</w:t>
      </w:r>
    </w:p>
  </w:footnote>
  <w:footnote w:id="133">
    <w:p w14:paraId="58EF5886" w14:textId="73595537" w:rsidR="00D827BA" w:rsidRPr="009D5135" w:rsidRDefault="00D827BA" w:rsidP="0038438D">
      <w:pPr>
        <w:pStyle w:val="FootnoteText"/>
        <w:spacing w:before="0"/>
        <w:ind w:left="357" w:hanging="357"/>
        <w:rPr>
          <w:lang w:val="en-IE"/>
        </w:rPr>
      </w:pPr>
      <w:r>
        <w:rPr>
          <w:rStyle w:val="FootnoteReference"/>
        </w:rPr>
        <w:footnoteRef/>
      </w:r>
      <w:r>
        <w:t xml:space="preserve"> </w:t>
      </w:r>
      <w:r w:rsidR="00FF392A">
        <w:tab/>
      </w:r>
      <w:r>
        <w:t>Letta, E. (2024). Much more than a market, page 22.</w:t>
      </w:r>
    </w:p>
  </w:footnote>
  <w:footnote w:id="134">
    <w:p w14:paraId="7123EE75" w14:textId="3CC52CED" w:rsidR="00D827BA" w:rsidRPr="009D5135" w:rsidRDefault="00D827BA" w:rsidP="0038438D">
      <w:pPr>
        <w:pStyle w:val="FootnoteText"/>
        <w:spacing w:before="0"/>
        <w:ind w:left="357" w:hanging="357"/>
        <w:rPr>
          <w:lang w:val="en-IE"/>
        </w:rPr>
      </w:pPr>
      <w:r>
        <w:rPr>
          <w:rStyle w:val="FootnoteReference"/>
        </w:rPr>
        <w:footnoteRef/>
      </w:r>
      <w:r>
        <w:t xml:space="preserve"> </w:t>
      </w:r>
      <w:r w:rsidR="00FF392A">
        <w:tab/>
      </w:r>
      <w:r w:rsidRPr="00E92079">
        <w:t xml:space="preserve">European Commission </w:t>
      </w:r>
      <w:r>
        <w:t>(</w:t>
      </w:r>
      <w:hyperlink r:id="rId42" w:history="1">
        <w:r w:rsidRPr="00E92079">
          <w:rPr>
            <w:rStyle w:val="Hyperlink"/>
          </w:rPr>
          <w:t>2024</w:t>
        </w:r>
      </w:hyperlink>
      <w:r>
        <w:t>).</w:t>
      </w:r>
      <w:r w:rsidRPr="00E92079">
        <w:t xml:space="preserve"> Evaluation study of the European framework programmes for research and innovation for an innovative Europe – Report phase 2 (support study for the interim evaluation of Horizon Europe)</w:t>
      </w:r>
      <w:r>
        <w:t>.</w:t>
      </w:r>
    </w:p>
  </w:footnote>
  <w:footnote w:id="135">
    <w:p w14:paraId="0A800049" w14:textId="5F00CCFF" w:rsidR="00D827BA" w:rsidRPr="00644C74" w:rsidRDefault="00D827BA" w:rsidP="0038438D">
      <w:pPr>
        <w:pStyle w:val="FootnoteText"/>
        <w:spacing w:before="0"/>
        <w:ind w:left="357" w:hanging="357"/>
        <w:rPr>
          <w:lang w:val="en-IE"/>
        </w:rPr>
      </w:pPr>
      <w:r>
        <w:rPr>
          <w:rStyle w:val="FootnoteReference"/>
        </w:rPr>
        <w:footnoteRef/>
      </w:r>
      <w:r>
        <w:t xml:space="preserve"> </w:t>
      </w:r>
      <w:r w:rsidR="00FF392A">
        <w:tab/>
      </w:r>
      <w:r w:rsidRPr="00B42C70">
        <w:rPr>
          <w:szCs w:val="18"/>
          <w:lang w:val="en-IE"/>
        </w:rPr>
        <w:t>Draghi, M. (</w:t>
      </w:r>
      <w:r w:rsidRPr="006633FE">
        <w:rPr>
          <w:szCs w:val="18"/>
          <w:lang w:val="en-IE"/>
        </w:rPr>
        <w:t>2024</w:t>
      </w:r>
      <w:r w:rsidR="00E53A7E">
        <w:rPr>
          <w:szCs w:val="18"/>
          <w:lang w:val="en-IE"/>
        </w:rPr>
        <w:t>:239</w:t>
      </w:r>
      <w:r w:rsidRPr="00B42C70">
        <w:rPr>
          <w:szCs w:val="18"/>
          <w:lang w:val="en-IE"/>
        </w:rPr>
        <w:t>). The future of European competitiveness. Part B – In-depth analysis and recommendations</w:t>
      </w:r>
    </w:p>
  </w:footnote>
  <w:footnote w:id="136">
    <w:p w14:paraId="771DA5F6" w14:textId="1B6078A3" w:rsidR="008A5C2E" w:rsidRPr="002F31B8" w:rsidRDefault="008A5C2E" w:rsidP="0038438D">
      <w:pPr>
        <w:pStyle w:val="FootnoteText"/>
        <w:spacing w:before="0"/>
        <w:ind w:left="357" w:hanging="357"/>
        <w:rPr>
          <w:lang w:val="en-IE"/>
        </w:rPr>
      </w:pPr>
      <w:r>
        <w:rPr>
          <w:rStyle w:val="FootnoteReference"/>
        </w:rPr>
        <w:footnoteRef/>
      </w:r>
      <w:r>
        <w:t xml:space="preserve"> </w:t>
      </w:r>
      <w:r w:rsidR="00FF392A">
        <w:tab/>
      </w:r>
      <w:r w:rsidRPr="00E5534B">
        <w:t>European Commission (2024: 352), Science, research and innovation performance of the EU – A competitive Europe for a sustainable future.</w:t>
      </w:r>
    </w:p>
  </w:footnote>
  <w:footnote w:id="137">
    <w:p w14:paraId="2E6B08DA" w14:textId="13C8DA04" w:rsidR="00B7748C" w:rsidRPr="002F31B8" w:rsidRDefault="00B7748C" w:rsidP="0038438D">
      <w:pPr>
        <w:pStyle w:val="FootnoteText"/>
        <w:spacing w:before="0"/>
        <w:ind w:left="357" w:hanging="357"/>
        <w:rPr>
          <w:lang w:val="en-IE"/>
        </w:rPr>
      </w:pPr>
      <w:r>
        <w:rPr>
          <w:rStyle w:val="FootnoteReference"/>
        </w:rPr>
        <w:footnoteRef/>
      </w:r>
      <w:r>
        <w:t xml:space="preserve"> </w:t>
      </w:r>
      <w:r w:rsidR="00FF392A">
        <w:tab/>
      </w:r>
      <w:r w:rsidRPr="0031324A">
        <w:t>European Commission (2024: 98). Horizon Europe and the Digital &amp; Industrial Transition: Interim evaluation support study Final Report (“Phase 2” study).</w:t>
      </w:r>
    </w:p>
  </w:footnote>
  <w:footnote w:id="138">
    <w:p w14:paraId="5B3F682A" w14:textId="6B82CB94" w:rsidR="00B7748C" w:rsidRPr="00550080" w:rsidRDefault="00B7748C" w:rsidP="0038438D">
      <w:pPr>
        <w:pStyle w:val="FootnoteText"/>
        <w:spacing w:before="0"/>
        <w:ind w:left="357" w:hanging="357"/>
        <w:rPr>
          <w:szCs w:val="18"/>
          <w:lang w:val="en-IE"/>
        </w:rPr>
      </w:pPr>
      <w:r w:rsidRPr="00550080">
        <w:rPr>
          <w:rStyle w:val="FootnoteReference"/>
          <w:szCs w:val="18"/>
          <w:lang w:val="en-IE"/>
        </w:rPr>
        <w:footnoteRef/>
      </w:r>
      <w:r w:rsidRPr="00550080">
        <w:rPr>
          <w:szCs w:val="18"/>
          <w:lang w:val="en-IE"/>
        </w:rPr>
        <w:t xml:space="preserve"> </w:t>
      </w:r>
      <w:r w:rsidR="00FF392A">
        <w:rPr>
          <w:szCs w:val="18"/>
          <w:lang w:val="en-IE"/>
        </w:rPr>
        <w:tab/>
      </w:r>
      <w:r w:rsidRPr="00550080">
        <w:rPr>
          <w:rStyle w:val="ui-provider"/>
          <w:szCs w:val="18"/>
          <w:lang w:val="en-IE"/>
        </w:rPr>
        <w:t>European Commission, Mitra, A., Canton, E., Ravet, J. and Steeman, J. (</w:t>
      </w:r>
      <w:hyperlink r:id="rId43" w:history="1">
        <w:r w:rsidRPr="007E33BD">
          <w:rPr>
            <w:rStyle w:val="Hyperlink"/>
            <w:szCs w:val="18"/>
            <w:lang w:val="en-IE"/>
          </w:rPr>
          <w:t>2024</w:t>
        </w:r>
      </w:hyperlink>
      <w:r w:rsidRPr="00550080">
        <w:rPr>
          <w:rStyle w:val="ui-provider"/>
          <w:szCs w:val="18"/>
          <w:lang w:val="en-IE"/>
        </w:rPr>
        <w:t>: 8)</w:t>
      </w:r>
      <w:r>
        <w:rPr>
          <w:rStyle w:val="ui-provider"/>
          <w:szCs w:val="18"/>
          <w:lang w:val="en-IE"/>
        </w:rPr>
        <w:t>.</w:t>
      </w:r>
      <w:r w:rsidRPr="00550080">
        <w:rPr>
          <w:rStyle w:val="ui-provider"/>
          <w:szCs w:val="18"/>
          <w:lang w:val="en-IE"/>
        </w:rPr>
        <w:t xml:space="preserve"> </w:t>
      </w:r>
      <w:r w:rsidRPr="007E33BD">
        <w:rPr>
          <w:rStyle w:val="ui-provider"/>
          <w:szCs w:val="18"/>
          <w:lang w:val="en-IE"/>
        </w:rPr>
        <w:t>The added value of European investments in research and innovation</w:t>
      </w:r>
      <w:r w:rsidRPr="00550080">
        <w:rPr>
          <w:szCs w:val="18"/>
          <w:lang w:val="en-IE"/>
        </w:rPr>
        <w:t xml:space="preserve">. </w:t>
      </w:r>
    </w:p>
  </w:footnote>
  <w:footnote w:id="139">
    <w:p w14:paraId="56776699" w14:textId="07C4784C" w:rsidR="00FF709E" w:rsidRPr="00FF709E" w:rsidRDefault="00FF709E" w:rsidP="0038438D">
      <w:pPr>
        <w:pStyle w:val="FootnoteText"/>
        <w:spacing w:before="0"/>
        <w:ind w:left="357" w:hanging="357"/>
      </w:pPr>
      <w:r>
        <w:rPr>
          <w:rStyle w:val="FootnoteReference"/>
        </w:rPr>
        <w:footnoteRef/>
      </w:r>
      <w:r>
        <w:t xml:space="preserve"> </w:t>
      </w:r>
      <w:r w:rsidR="00FF392A">
        <w:tab/>
      </w:r>
      <w:r w:rsidR="00093E8C">
        <w:t>European Court of Auditors (</w:t>
      </w:r>
      <w:hyperlink r:id="rId44" w:history="1">
        <w:r w:rsidR="00093E8C" w:rsidRPr="00093E8C">
          <w:rPr>
            <w:rStyle w:val="Hyperlink"/>
          </w:rPr>
          <w:t>2025</w:t>
        </w:r>
      </w:hyperlink>
      <w:r w:rsidR="00093E8C">
        <w:t>). Special report 07/2025: The European Fund for Strategic Investments</w:t>
      </w:r>
      <w:r w:rsidR="001E4AAD">
        <w:t>.</w:t>
      </w:r>
      <w:r w:rsidR="00093E8C">
        <w:t xml:space="preserve">  </w:t>
      </w:r>
    </w:p>
  </w:footnote>
  <w:footnote w:id="140">
    <w:p w14:paraId="0F306E2F" w14:textId="6307A365" w:rsidR="008A5C2E" w:rsidRPr="004E57A4" w:rsidRDefault="008A5C2E" w:rsidP="0038438D">
      <w:pPr>
        <w:pStyle w:val="FootnoteText"/>
        <w:spacing w:before="0"/>
        <w:ind w:left="357" w:hanging="357"/>
        <w:rPr>
          <w:lang w:val="en-IE"/>
        </w:rPr>
      </w:pPr>
      <w:r>
        <w:rPr>
          <w:rStyle w:val="FootnoteReference"/>
        </w:rPr>
        <w:footnoteRef/>
      </w:r>
      <w:r>
        <w:t xml:space="preserve"> </w:t>
      </w:r>
      <w:r w:rsidR="00FF392A">
        <w:tab/>
      </w:r>
      <w:r w:rsidR="009463C1">
        <w:rPr>
          <w:lang w:val="en-IE"/>
        </w:rPr>
        <w:t>European Commission</w:t>
      </w:r>
      <w:r w:rsidR="009463C1" w:rsidRPr="009463C1">
        <w:rPr>
          <w:lang w:val="en-IE"/>
        </w:rPr>
        <w:t xml:space="preserve">, </w:t>
      </w:r>
      <w:r w:rsidR="009463C1" w:rsidRPr="00417B63">
        <w:rPr>
          <w:lang w:val="en-IE"/>
        </w:rPr>
        <w:t>A new horizon for Europe – Impact assessment of the 9th EU framework programme for research and innovation</w:t>
      </w:r>
      <w:r w:rsidR="009463C1" w:rsidRPr="004E57A4">
        <w:rPr>
          <w:lang w:val="en-IE"/>
        </w:rPr>
        <w:t xml:space="preserve"> (2018)</w:t>
      </w:r>
      <w:r w:rsidR="001E4AAD">
        <w:rPr>
          <w:lang w:val="en-IE"/>
        </w:rPr>
        <w:t>.</w:t>
      </w:r>
    </w:p>
  </w:footnote>
  <w:footnote w:id="141">
    <w:p w14:paraId="1DABFCD0" w14:textId="48A1910C" w:rsidR="00B41E07" w:rsidRPr="009D5135" w:rsidRDefault="00B41E07" w:rsidP="0038438D">
      <w:pPr>
        <w:pStyle w:val="FootnoteText"/>
        <w:spacing w:before="0"/>
        <w:ind w:left="357" w:hanging="357"/>
        <w:rPr>
          <w:lang w:val="en-IE"/>
        </w:rPr>
      </w:pPr>
      <w:r>
        <w:rPr>
          <w:rStyle w:val="FootnoteReference"/>
        </w:rPr>
        <w:footnoteRef/>
      </w:r>
      <w:r>
        <w:t xml:space="preserve"> </w:t>
      </w:r>
      <w:r w:rsidR="00FF392A">
        <w:tab/>
      </w:r>
      <w:r>
        <w:rPr>
          <w:lang w:val="en-IE"/>
        </w:rPr>
        <w:t xml:space="preserve">European Commission (2024: 90). </w:t>
      </w:r>
      <w:r w:rsidRPr="002A33A8">
        <w:rPr>
          <w:lang w:val="en-IE"/>
        </w:rPr>
        <w:t>Horizon Europe and the Digital &amp; Industrial Transition: Interim evaluation support study Final Report (“Phase 2” study).</w:t>
      </w:r>
    </w:p>
  </w:footnote>
  <w:footnote w:id="142">
    <w:p w14:paraId="6A0E8C28" w14:textId="030CE364" w:rsidR="00B41E07" w:rsidRPr="009D5135" w:rsidRDefault="00B41E07" w:rsidP="0038438D">
      <w:pPr>
        <w:pStyle w:val="FootnoteText"/>
        <w:spacing w:before="0"/>
        <w:ind w:left="357" w:hanging="357"/>
        <w:rPr>
          <w:lang w:val="en-IE"/>
        </w:rPr>
      </w:pPr>
      <w:r>
        <w:rPr>
          <w:rStyle w:val="FootnoteReference"/>
        </w:rPr>
        <w:footnoteRef/>
      </w:r>
      <w:r>
        <w:t xml:space="preserve"> </w:t>
      </w:r>
      <w:r w:rsidR="00FF392A">
        <w:tab/>
      </w:r>
      <w:r w:rsidR="00B273EE">
        <w:t>Ibid, page 62</w:t>
      </w:r>
      <w:r w:rsidR="003C73B4">
        <w:t>.</w:t>
      </w:r>
    </w:p>
  </w:footnote>
  <w:footnote w:id="143">
    <w:p w14:paraId="3435CD66" w14:textId="4819D4A0" w:rsidR="00B41E07" w:rsidRPr="007E33D2" w:rsidRDefault="00B41E07" w:rsidP="0038438D">
      <w:pPr>
        <w:pStyle w:val="FootnoteText"/>
        <w:spacing w:before="0"/>
        <w:ind w:left="357" w:hanging="357"/>
        <w:rPr>
          <w:lang w:val="en-IE"/>
        </w:rPr>
      </w:pPr>
      <w:r>
        <w:rPr>
          <w:rStyle w:val="FootnoteReference"/>
        </w:rPr>
        <w:footnoteRef/>
      </w:r>
      <w:r w:rsidR="00FF392A">
        <w:tab/>
      </w:r>
      <w:r w:rsidRPr="00360E86">
        <w:rPr>
          <w:lang w:val="en-IE"/>
        </w:rPr>
        <w:t>European Commission</w:t>
      </w:r>
      <w:r w:rsidR="00A547AC">
        <w:rPr>
          <w:lang w:val="en-IE"/>
        </w:rPr>
        <w:t xml:space="preserve"> (</w:t>
      </w:r>
      <w:hyperlink r:id="rId45" w:history="1">
        <w:r w:rsidR="00A547AC" w:rsidRPr="00A547AC">
          <w:rPr>
            <w:rStyle w:val="Hyperlink"/>
            <w:lang w:val="en-IE"/>
          </w:rPr>
          <w:t>2024</w:t>
        </w:r>
      </w:hyperlink>
      <w:r w:rsidR="00A547AC">
        <w:rPr>
          <w:lang w:val="en-IE"/>
        </w:rPr>
        <w:t xml:space="preserve"> : 99) </w:t>
      </w:r>
      <w:r w:rsidRPr="00360E86">
        <w:rPr>
          <w:lang w:val="en-IE"/>
        </w:rPr>
        <w:t xml:space="preserve">Viscido, S., Lotito, A. and Boekholt, P., </w:t>
      </w:r>
      <w:r w:rsidRPr="00360E86">
        <w:rPr>
          <w:i/>
          <w:iCs/>
          <w:lang w:val="en-IE"/>
        </w:rPr>
        <w:t>Horizon Europe and the digital &amp; industrial transition – Interim evaluation support study – Final report (“Phase 2” study)</w:t>
      </w:r>
      <w:r w:rsidRPr="00360E86">
        <w:rPr>
          <w:lang w:val="en-IE"/>
        </w:rPr>
        <w:t>, Viscido, S.(editor), Lotito, A.(editor) and Boekholt, P.(editor</w:t>
      </w:r>
      <w:r w:rsidR="00A547AC">
        <w:rPr>
          <w:lang w:val="en-IE"/>
        </w:rPr>
        <w:t>)</w:t>
      </w:r>
      <w:r w:rsidRPr="00360E86">
        <w:rPr>
          <w:lang w:val="en-IE"/>
        </w:rPr>
        <w:t xml:space="preserve"> </w:t>
      </w:r>
    </w:p>
  </w:footnote>
  <w:footnote w:id="144">
    <w:p w14:paraId="617807F5" w14:textId="14B5EE5D" w:rsidR="40CB619A" w:rsidRPr="00533DB5" w:rsidRDefault="40CB619A" w:rsidP="00E7659A">
      <w:pPr>
        <w:spacing w:before="0" w:after="0"/>
        <w:rPr>
          <w:sz w:val="20"/>
          <w:szCs w:val="20"/>
        </w:rPr>
      </w:pPr>
      <w:r w:rsidRPr="00533DB5">
        <w:rPr>
          <w:sz w:val="20"/>
          <w:szCs w:val="20"/>
          <w:vertAlign w:val="superscript"/>
        </w:rPr>
        <w:footnoteRef/>
      </w:r>
      <w:r w:rsidR="2BDFC405" w:rsidRPr="00533DB5">
        <w:rPr>
          <w:sz w:val="20"/>
          <w:szCs w:val="20"/>
        </w:rPr>
        <w:t xml:space="preserve"> Indicators such </w:t>
      </w:r>
      <w:r w:rsidR="006C28EE" w:rsidRPr="00533DB5">
        <w:rPr>
          <w:sz w:val="20"/>
          <w:szCs w:val="20"/>
        </w:rPr>
        <w:t>as” Time</w:t>
      </w:r>
      <w:r w:rsidR="2BDFC405" w:rsidRPr="00533DB5">
        <w:rPr>
          <w:sz w:val="20"/>
          <w:szCs w:val="20"/>
        </w:rPr>
        <w:t xml:space="preserve"> to prepare a proposal”</w:t>
      </w:r>
      <w:r w:rsidR="0065291F" w:rsidRPr="00533DB5">
        <w:rPr>
          <w:sz w:val="20"/>
          <w:szCs w:val="20"/>
        </w:rPr>
        <w:t>,” Time</w:t>
      </w:r>
      <w:r w:rsidR="2BDFC405" w:rsidRPr="00533DB5">
        <w:rPr>
          <w:sz w:val="20"/>
          <w:szCs w:val="20"/>
        </w:rPr>
        <w:t xml:space="preserve"> to </w:t>
      </w:r>
      <w:r w:rsidR="003B6EC8" w:rsidRPr="00533DB5">
        <w:rPr>
          <w:sz w:val="20"/>
          <w:szCs w:val="20"/>
        </w:rPr>
        <w:t>grant “,” Average</w:t>
      </w:r>
      <w:r w:rsidR="2BDFC405" w:rsidRPr="00533DB5">
        <w:rPr>
          <w:sz w:val="20"/>
          <w:szCs w:val="20"/>
        </w:rPr>
        <w:t xml:space="preserve"> cost of a proposal”, ”Time-to-inform“ are </w:t>
      </w:r>
      <w:r w:rsidR="637782C4" w:rsidRPr="00533DB5">
        <w:rPr>
          <w:sz w:val="20"/>
          <w:szCs w:val="20"/>
        </w:rPr>
        <w:t>consistently used to assess the options across the Impact Assessment</w:t>
      </w:r>
      <w:r w:rsidR="00533DB5">
        <w:rPr>
          <w:sz w:val="20"/>
          <w:szCs w:val="20"/>
        </w:rPr>
        <w:t>.</w:t>
      </w:r>
    </w:p>
  </w:footnote>
  <w:footnote w:id="145">
    <w:p w14:paraId="6D5342DD" w14:textId="65DD3D1E" w:rsidR="00B64121" w:rsidRPr="0023547C" w:rsidRDefault="00B64121" w:rsidP="00B64121">
      <w:pPr>
        <w:pStyle w:val="FootnoteText"/>
        <w:spacing w:before="0"/>
        <w:ind w:left="357" w:hanging="357"/>
        <w:rPr>
          <w:lang w:val="en-IE"/>
        </w:rPr>
      </w:pPr>
      <w:r>
        <w:rPr>
          <w:rStyle w:val="FootnoteReference"/>
        </w:rPr>
        <w:footnoteRef/>
      </w:r>
      <w:r>
        <w:t xml:space="preserve"> </w:t>
      </w:r>
      <w:r>
        <w:tab/>
      </w:r>
      <w:r w:rsidRPr="00307945">
        <w:t>In light of their specific legal basis in the Euratom Treaty, Euratom Research and Training Programme and ITER cannot be merged into a single legislative act</w:t>
      </w:r>
      <w:r>
        <w:t>.</w:t>
      </w:r>
    </w:p>
  </w:footnote>
  <w:footnote w:id="146">
    <w:p w14:paraId="24F319F5" w14:textId="22862FD1" w:rsidR="00AC7CC0" w:rsidRPr="00BB184A" w:rsidRDefault="00AC7CC0" w:rsidP="00A8210F">
      <w:pPr>
        <w:pStyle w:val="FootnoteText"/>
        <w:spacing w:before="0"/>
        <w:ind w:left="357" w:hanging="357"/>
        <w:rPr>
          <w:lang w:val="en-US"/>
        </w:rPr>
      </w:pPr>
      <w:r>
        <w:rPr>
          <w:rStyle w:val="FootnoteReference"/>
        </w:rPr>
        <w:footnoteRef/>
      </w:r>
      <w:r>
        <w:t xml:space="preserve"> </w:t>
      </w:r>
      <w:r w:rsidR="00FF392A">
        <w:tab/>
      </w:r>
      <w:r w:rsidR="00137D06" w:rsidRPr="00137D06">
        <w:t xml:space="preserve">InvestEU interim evaluation </w:t>
      </w:r>
      <w:r w:rsidR="003B6EC8">
        <w:t>(</w:t>
      </w:r>
      <w:r w:rsidR="00137D06" w:rsidRPr="00137D06">
        <w:t>SWD(2024) 229 fina</w:t>
      </w:r>
      <w:r w:rsidR="003B6EC8">
        <w:t>l)</w:t>
      </w:r>
      <w:r w:rsidR="005A4E5E">
        <w:rPr>
          <w:lang w:val="en-US"/>
        </w:rPr>
        <w:t>.</w:t>
      </w:r>
    </w:p>
  </w:footnote>
  <w:footnote w:id="147">
    <w:p w14:paraId="5B06554C" w14:textId="2A35998F" w:rsidR="00DF0C2E" w:rsidRPr="00DF0C2E" w:rsidRDefault="00DF0C2E" w:rsidP="00A8210F">
      <w:pPr>
        <w:spacing w:before="0" w:after="0"/>
        <w:ind w:left="357" w:hanging="357"/>
        <w:rPr>
          <w:sz w:val="20"/>
          <w:szCs w:val="20"/>
        </w:rPr>
      </w:pPr>
      <w:r w:rsidRPr="00DF0C2E">
        <w:rPr>
          <w:sz w:val="20"/>
          <w:szCs w:val="20"/>
          <w:vertAlign w:val="superscript"/>
        </w:rPr>
        <w:footnoteRef/>
      </w:r>
      <w:r w:rsidRPr="00DF0C2E">
        <w:rPr>
          <w:sz w:val="20"/>
          <w:szCs w:val="20"/>
        </w:rPr>
        <w:t xml:space="preserve"> </w:t>
      </w:r>
      <w:r w:rsidR="00FF392A">
        <w:rPr>
          <w:sz w:val="20"/>
          <w:szCs w:val="20"/>
        </w:rPr>
        <w:tab/>
      </w:r>
      <w:r w:rsidRPr="00DF0C2E">
        <w:rPr>
          <w:sz w:val="20"/>
          <w:szCs w:val="20"/>
        </w:rPr>
        <w:t>InvestEU Operational Reports as at 31/12/2024</w:t>
      </w:r>
    </w:p>
  </w:footnote>
  <w:footnote w:id="148">
    <w:p w14:paraId="794DC217" w14:textId="57050D25" w:rsidR="003B497E" w:rsidRPr="003B497E" w:rsidRDefault="003B497E" w:rsidP="00A8210F">
      <w:pPr>
        <w:pStyle w:val="FootnoteText"/>
        <w:spacing w:before="0"/>
        <w:ind w:left="357" w:hanging="357"/>
      </w:pPr>
      <w:r>
        <w:rPr>
          <w:rStyle w:val="FootnoteReference"/>
        </w:rPr>
        <w:footnoteRef/>
      </w:r>
      <w:r>
        <w:t xml:space="preserve"> </w:t>
      </w:r>
      <w:r w:rsidR="00FF392A">
        <w:tab/>
      </w:r>
      <w:r w:rsidR="00FC1FCD">
        <w:t xml:space="preserve">SWD(2025) 110 final. </w:t>
      </w:r>
      <w:r>
        <w:t>H</w:t>
      </w:r>
      <w:r w:rsidR="006A7A24">
        <w:t xml:space="preserve">orizon </w:t>
      </w:r>
      <w:r>
        <w:t>E</w:t>
      </w:r>
      <w:r w:rsidR="006A7A24">
        <w:t>urope</w:t>
      </w:r>
      <w:r>
        <w:t xml:space="preserve"> </w:t>
      </w:r>
      <w:r w:rsidRPr="004A1B2C">
        <w:rPr>
          <w:lang w:val="en-IE"/>
        </w:rPr>
        <w:t>interim evaluation</w:t>
      </w:r>
      <w:r w:rsidR="00FC1FCD">
        <w:rPr>
          <w:lang w:val="en-IE"/>
        </w:rPr>
        <w:t>.</w:t>
      </w:r>
    </w:p>
  </w:footnote>
  <w:footnote w:id="149">
    <w:p w14:paraId="6DB7EAC1" w14:textId="3DD69DFE" w:rsidR="00FC3D58" w:rsidRPr="0028115E" w:rsidRDefault="00FC3D58" w:rsidP="00A8210F">
      <w:pPr>
        <w:pStyle w:val="FootnoteText"/>
        <w:spacing w:before="0"/>
        <w:ind w:left="357" w:hanging="357"/>
        <w:rPr>
          <w:lang w:val="en-US"/>
        </w:rPr>
      </w:pPr>
      <w:r>
        <w:rPr>
          <w:rStyle w:val="FootnoteReference"/>
        </w:rPr>
        <w:footnoteRef/>
      </w:r>
      <w:r>
        <w:t xml:space="preserve"> </w:t>
      </w:r>
      <w:r w:rsidR="00FF392A">
        <w:tab/>
      </w:r>
      <w:r w:rsidR="00CA4464" w:rsidRPr="00CA4464">
        <w:t xml:space="preserve">European Commission (2025): Competitiveness Fund: Assessment of costs and benefits and comparison of options </w:t>
      </w:r>
    </w:p>
  </w:footnote>
  <w:footnote w:id="150">
    <w:p w14:paraId="08F9CD14" w14:textId="2BDB4D6B" w:rsidR="00195B62" w:rsidRPr="009A3DFD" w:rsidRDefault="00195B62" w:rsidP="00A8210F">
      <w:pPr>
        <w:pStyle w:val="FootnoteText"/>
        <w:spacing w:before="0"/>
        <w:ind w:left="357" w:hanging="357"/>
        <w:rPr>
          <w:lang w:val="en-US"/>
        </w:rPr>
      </w:pPr>
      <w:r>
        <w:rPr>
          <w:rStyle w:val="FootnoteReference"/>
        </w:rPr>
        <w:footnoteRef/>
      </w:r>
      <w:r>
        <w:t xml:space="preserve"> </w:t>
      </w:r>
      <w:r w:rsidR="00FF392A">
        <w:tab/>
      </w:r>
      <w:r>
        <w:t xml:space="preserve">TTG reflects the overall efficiency of the process from proposal submission to the formalisation of funding, but also </w:t>
      </w:r>
      <w:r>
        <w:rPr>
          <w:lang w:val="en-US"/>
        </w:rPr>
        <w:t>Time-to-Inform + Time-to-Sign = Time-to-Grant</w:t>
      </w:r>
      <w:r w:rsidR="001E4AAD">
        <w:rPr>
          <w:lang w:val="en-US"/>
        </w:rPr>
        <w:t>.</w:t>
      </w:r>
    </w:p>
  </w:footnote>
  <w:footnote w:id="151">
    <w:p w14:paraId="7C4DDB2D" w14:textId="2A8AE6D6" w:rsidR="001345C6" w:rsidRPr="00E04C0E" w:rsidRDefault="001345C6" w:rsidP="00A8210F">
      <w:pPr>
        <w:pStyle w:val="FootnoteText"/>
        <w:spacing w:before="0"/>
        <w:ind w:left="357" w:hanging="357"/>
      </w:pPr>
      <w:r>
        <w:rPr>
          <w:rStyle w:val="FootnoteReference"/>
        </w:rPr>
        <w:footnoteRef/>
      </w:r>
      <w:r>
        <w:t xml:space="preserve"> </w:t>
      </w:r>
      <w:r w:rsidR="00FF392A">
        <w:tab/>
      </w:r>
      <w:r w:rsidR="00CA4464">
        <w:t>Ibid</w:t>
      </w:r>
      <w:r w:rsidR="000B7FC0">
        <w:t xml:space="preserve"> &amp; DEP Interim Evaluation</w:t>
      </w:r>
      <w:r w:rsidR="00FC1FCD">
        <w:t xml:space="preserve"> (forthcoming)</w:t>
      </w:r>
      <w:r w:rsidR="000B7FC0">
        <w:t>.</w:t>
      </w:r>
    </w:p>
  </w:footnote>
  <w:footnote w:id="152">
    <w:p w14:paraId="7A373BFD" w14:textId="1ADCA721" w:rsidR="00AA7A3D" w:rsidRPr="00AA7A3D" w:rsidRDefault="00AA7A3D" w:rsidP="00A8210F">
      <w:pPr>
        <w:pStyle w:val="FootnoteText"/>
        <w:spacing w:before="0"/>
        <w:ind w:left="357" w:hanging="357"/>
      </w:pPr>
      <w:r>
        <w:rPr>
          <w:rStyle w:val="FootnoteReference"/>
        </w:rPr>
        <w:footnoteRef/>
      </w:r>
      <w:r>
        <w:t xml:space="preserve"> </w:t>
      </w:r>
      <w:r w:rsidR="00FF392A">
        <w:tab/>
      </w:r>
      <w:r w:rsidR="003B7577" w:rsidRPr="00BB184A">
        <w:t>Low success rates indicate higher competition and greater risk, which can be particularly challenging for smaller organisations or newcomers. When the success rate is low, applicants face a high likelihood of investing time and resources in preparing an application that ultimately does not receive funding.</w:t>
      </w:r>
    </w:p>
  </w:footnote>
  <w:footnote w:id="153">
    <w:p w14:paraId="32145D8D" w14:textId="03381DD2" w:rsidR="00304728" w:rsidRPr="009F0C4C" w:rsidRDefault="00FC3D58" w:rsidP="00A8210F">
      <w:pPr>
        <w:pStyle w:val="FootnoteText"/>
        <w:spacing w:before="0"/>
        <w:ind w:left="357" w:hanging="357"/>
        <w:rPr>
          <w:lang w:val="en-IE"/>
        </w:rPr>
      </w:pPr>
      <w:r>
        <w:rPr>
          <w:rStyle w:val="FootnoteReference"/>
        </w:rPr>
        <w:footnoteRef/>
      </w:r>
      <w:r>
        <w:t xml:space="preserve"> </w:t>
      </w:r>
      <w:r w:rsidR="00FF392A">
        <w:tab/>
      </w:r>
      <w:r>
        <w:t xml:space="preserve">As shown by the response to Covid-19, mpox and Ukraine emergencies. </w:t>
      </w:r>
      <w:r w:rsidRPr="009F0C4C">
        <w:rPr>
          <w:lang w:val="en-IE"/>
        </w:rPr>
        <w:t>Horizon Europe inter</w:t>
      </w:r>
      <w:r>
        <w:rPr>
          <w:lang w:val="en-IE"/>
        </w:rPr>
        <w:t xml:space="preserve">im evaluation, </w:t>
      </w:r>
      <w:r w:rsidRPr="009F0C4C">
        <w:rPr>
          <w:i/>
          <w:iCs/>
          <w:lang w:val="en-IE"/>
        </w:rPr>
        <w:t>forthcoming</w:t>
      </w:r>
      <w:r>
        <w:rPr>
          <w:lang w:val="en-IE"/>
        </w:rPr>
        <w:t xml:space="preserve">. </w:t>
      </w:r>
    </w:p>
  </w:footnote>
  <w:footnote w:id="154">
    <w:p w14:paraId="1D87479E" w14:textId="428C5A92" w:rsidR="00D96693" w:rsidRPr="00D96693" w:rsidRDefault="00D96693" w:rsidP="00A8210F">
      <w:pPr>
        <w:pStyle w:val="FootnoteText"/>
        <w:spacing w:before="0"/>
        <w:ind w:left="357" w:hanging="357"/>
      </w:pPr>
      <w:r>
        <w:rPr>
          <w:rStyle w:val="FootnoteReference"/>
        </w:rPr>
        <w:footnoteRef/>
      </w:r>
      <w:r>
        <w:t xml:space="preserve"> </w:t>
      </w:r>
      <w:r w:rsidR="00FF392A">
        <w:tab/>
      </w:r>
      <w:r w:rsidR="00FD4F73" w:rsidRPr="001417B0">
        <w:t>COM (2018) 447 final</w:t>
      </w:r>
      <w:r w:rsidR="00FD4F73">
        <w:t xml:space="preserve">. </w:t>
      </w:r>
      <w:r w:rsidR="00FD4F73" w:rsidRPr="008F635A">
        <w:t>Proposal for a REGULATION OF THE EUROPEAN PARLIAMENT AND OF THE COUNCIL establishing the space programme of the Union and the European Union Agency for the Space Programme</w:t>
      </w:r>
    </w:p>
  </w:footnote>
  <w:footnote w:id="155">
    <w:p w14:paraId="54652ADD" w14:textId="732EA0D0" w:rsidR="49EC672F" w:rsidRDefault="49EC672F" w:rsidP="00A8210F">
      <w:pPr>
        <w:pStyle w:val="FootnoteText"/>
        <w:spacing w:before="0"/>
        <w:ind w:left="357" w:hanging="357"/>
      </w:pPr>
      <w:r w:rsidRPr="49EC672F">
        <w:rPr>
          <w:rStyle w:val="FootnoteReference"/>
        </w:rPr>
        <w:footnoteRef/>
      </w:r>
      <w:r>
        <w:t xml:space="preserve"> </w:t>
      </w:r>
      <w:r w:rsidR="00FF392A">
        <w:tab/>
      </w:r>
      <w:r w:rsidR="000109F5">
        <w:t>Based on EFSI experience</w:t>
      </w:r>
      <w:r w:rsidR="00177FBF">
        <w:t>.</w:t>
      </w:r>
      <w:r>
        <w:t xml:space="preserve"> </w:t>
      </w:r>
    </w:p>
  </w:footnote>
  <w:footnote w:id="156">
    <w:p w14:paraId="1A6C89AC" w14:textId="20F61D78" w:rsidR="49EC672F" w:rsidRDefault="49EC672F" w:rsidP="00A8210F">
      <w:pPr>
        <w:spacing w:before="0" w:after="0"/>
        <w:ind w:left="357" w:hanging="357"/>
        <w:rPr>
          <w:rFonts w:eastAsiaTheme="minorEastAsia"/>
          <w:sz w:val="20"/>
          <w:szCs w:val="20"/>
        </w:rPr>
      </w:pPr>
      <w:r w:rsidRPr="002D22A9">
        <w:rPr>
          <w:rStyle w:val="FootnoteReference"/>
          <w:rFonts w:eastAsiaTheme="minorEastAsia"/>
          <w:sz w:val="20"/>
          <w:szCs w:val="20"/>
        </w:rPr>
        <w:footnoteRef/>
      </w:r>
      <w:r>
        <w:t xml:space="preserve"> </w:t>
      </w:r>
      <w:r w:rsidR="00FF392A">
        <w:tab/>
      </w:r>
      <w:r w:rsidR="007156A4">
        <w:t>I</w:t>
      </w:r>
      <w:r w:rsidR="007156A4" w:rsidRPr="00BB184A">
        <w:rPr>
          <w:rFonts w:eastAsiaTheme="minorEastAsia"/>
          <w:sz w:val="20"/>
          <w:szCs w:val="20"/>
        </w:rPr>
        <w:t>nvest EU</w:t>
      </w:r>
      <w:r w:rsidRPr="00BB184A">
        <w:rPr>
          <w:rFonts w:eastAsiaTheme="minorEastAsia"/>
          <w:sz w:val="20"/>
          <w:szCs w:val="20"/>
        </w:rPr>
        <w:t xml:space="preserve"> Operational Reports as at 31/12/2024</w:t>
      </w:r>
    </w:p>
  </w:footnote>
  <w:footnote w:id="157">
    <w:p w14:paraId="358E7CC7" w14:textId="51ECD978" w:rsidR="00005A83" w:rsidRPr="00005A83" w:rsidRDefault="00005A83" w:rsidP="00A8210F">
      <w:pPr>
        <w:pStyle w:val="FootnoteText"/>
        <w:spacing w:before="0"/>
        <w:ind w:left="357" w:hanging="357"/>
      </w:pPr>
      <w:r>
        <w:rPr>
          <w:rStyle w:val="FootnoteReference"/>
        </w:rPr>
        <w:footnoteRef/>
      </w:r>
      <w:r>
        <w:t xml:space="preserve"> </w:t>
      </w:r>
      <w:r w:rsidR="00FF392A">
        <w:tab/>
      </w:r>
      <w:r>
        <w:t>DEP Interim Evaluation p.23.</w:t>
      </w:r>
      <w:r w:rsidR="00177FBF">
        <w:t xml:space="preserve"> (forthcoming)</w:t>
      </w:r>
    </w:p>
  </w:footnote>
  <w:footnote w:id="158">
    <w:p w14:paraId="6725A8F8" w14:textId="381C8EB2" w:rsidR="00FC3D58" w:rsidRPr="006F1438" w:rsidRDefault="00FC3D58" w:rsidP="00A8210F">
      <w:pPr>
        <w:pStyle w:val="FootnoteText"/>
        <w:spacing w:before="0"/>
        <w:ind w:left="357" w:hanging="357"/>
      </w:pPr>
      <w:r>
        <w:rPr>
          <w:rStyle w:val="FootnoteReference"/>
        </w:rPr>
        <w:footnoteRef/>
      </w:r>
      <w:r w:rsidRPr="008F635A">
        <w:rPr>
          <w:lang w:val="fr-BE"/>
        </w:rPr>
        <w:t xml:space="preserve"> </w:t>
      </w:r>
      <w:r w:rsidR="00FF392A" w:rsidRPr="008F635A">
        <w:rPr>
          <w:lang w:val="fr-BE"/>
        </w:rPr>
        <w:tab/>
      </w:r>
      <w:r w:rsidRPr="008F635A">
        <w:rPr>
          <w:lang w:val="fr-BE"/>
        </w:rPr>
        <w:t xml:space="preserve">Crain, N. V., &amp; Crain, W. M. (2005). </w:t>
      </w:r>
      <w:r w:rsidRPr="006F1438">
        <w:t>The impact of regulatory costs on small firms (No. 264). Diane Publishing.</w:t>
      </w:r>
    </w:p>
  </w:footnote>
  <w:footnote w:id="159">
    <w:p w14:paraId="0F8E1D24" w14:textId="2BA686FE" w:rsidR="00FC3D58" w:rsidRPr="009F0C4C" w:rsidRDefault="00FC3D58" w:rsidP="00A8210F">
      <w:pPr>
        <w:pStyle w:val="FootnoteText"/>
        <w:spacing w:before="0"/>
        <w:ind w:left="357" w:hanging="357"/>
        <w:rPr>
          <w:lang w:val="en-IE"/>
        </w:rPr>
      </w:pPr>
      <w:r>
        <w:rPr>
          <w:rStyle w:val="FootnoteReference"/>
        </w:rPr>
        <w:footnoteRef/>
      </w:r>
      <w:r>
        <w:t xml:space="preserve"> </w:t>
      </w:r>
      <w:r w:rsidR="00FF392A">
        <w:tab/>
      </w:r>
      <w:r>
        <w:rPr>
          <w:lang w:val="en-US"/>
        </w:rPr>
        <w:t>See</w:t>
      </w:r>
      <w:r w:rsidRPr="00DD1945">
        <w:rPr>
          <w:lang w:val="en-US"/>
        </w:rPr>
        <w:t xml:space="preserve"> Nelson, 1959; Arrow, 1962; Rosenberg, N. 1990</w:t>
      </w:r>
      <w:r>
        <w:rPr>
          <w:lang w:val="en-US"/>
        </w:rPr>
        <w:t xml:space="preserve">. </w:t>
      </w:r>
    </w:p>
  </w:footnote>
  <w:footnote w:id="160">
    <w:p w14:paraId="5A00B2A3" w14:textId="772A4503" w:rsidR="00FC3D58" w:rsidRPr="00C337B8" w:rsidRDefault="00FC3D58" w:rsidP="00A8210F">
      <w:pPr>
        <w:pStyle w:val="FootnoteText"/>
        <w:spacing w:before="0"/>
        <w:ind w:left="357" w:hanging="357"/>
        <w:rPr>
          <w:lang w:val="en-IE"/>
        </w:rPr>
      </w:pPr>
      <w:r>
        <w:rPr>
          <w:rStyle w:val="FootnoteReference"/>
        </w:rPr>
        <w:footnoteRef/>
      </w:r>
      <w:r>
        <w:t xml:space="preserve"> </w:t>
      </w:r>
      <w:r w:rsidR="00FF392A">
        <w:tab/>
      </w:r>
      <w:r>
        <w:t>C</w:t>
      </w:r>
      <w:r w:rsidRPr="00693685">
        <w:t xml:space="preserve">ollaborative projects in Horizon Europe currently represent 81% of the </w:t>
      </w:r>
      <w:r w:rsidR="0052623D" w:rsidRPr="00693685">
        <w:t>budget and</w:t>
      </w:r>
      <w:r w:rsidRPr="00693685">
        <w:t xml:space="preserve"> bring together stakeholders from different nationalities (62% of collaborative projects include participants from associated countries), types (including SMEs), disciplines (including SSH participants) and industries</w:t>
      </w:r>
      <w:r>
        <w:t xml:space="preserve"> (Horizon Europe Interim Evaluation, </w:t>
      </w:r>
      <w:r w:rsidRPr="009F0C4C">
        <w:rPr>
          <w:i/>
          <w:iCs/>
        </w:rPr>
        <w:t>forthcoming</w:t>
      </w:r>
      <w:r>
        <w:t>)</w:t>
      </w:r>
      <w:r w:rsidRPr="00693685">
        <w:t xml:space="preserve">.  </w:t>
      </w:r>
    </w:p>
  </w:footnote>
  <w:footnote w:id="161">
    <w:p w14:paraId="67D1F8C5" w14:textId="41FBE26D" w:rsidR="00FC3D58" w:rsidRPr="0028115E" w:rsidRDefault="00FC3D58" w:rsidP="00A8210F">
      <w:pPr>
        <w:pStyle w:val="FootnoteText"/>
        <w:spacing w:before="0"/>
        <w:ind w:left="357" w:hanging="357"/>
        <w:rPr>
          <w:lang w:val="en-IE"/>
        </w:rPr>
      </w:pPr>
      <w:r>
        <w:rPr>
          <w:rStyle w:val="FootnoteReference"/>
        </w:rPr>
        <w:footnoteRef/>
      </w:r>
      <w:r w:rsidR="00F44A9E">
        <w:t xml:space="preserve"> </w:t>
      </w:r>
      <w:r w:rsidR="00FF392A">
        <w:tab/>
      </w:r>
      <w:r w:rsidR="00F44A9E">
        <w:t>U</w:t>
      </w:r>
      <w:r w:rsidRPr="00D30E3D">
        <w:t xml:space="preserve">nder Horizon Europe, the share of funding for widening Member States has increased to 15%, and 61% of Horizon Europe collaborative projects include a participant from a widening Member </w:t>
      </w:r>
      <w:r w:rsidR="009C67A0" w:rsidRPr="00D30E3D">
        <w:t>State.</w:t>
      </w:r>
      <w:r w:rsidRPr="00D30E3D">
        <w:t xml:space="preserve">  </w:t>
      </w:r>
    </w:p>
  </w:footnote>
  <w:footnote w:id="162">
    <w:p w14:paraId="7D418A6F" w14:textId="2933C43B" w:rsidR="00FC3D58" w:rsidRPr="00DA2C8A" w:rsidRDefault="00FC3D58" w:rsidP="00A8210F">
      <w:pPr>
        <w:pStyle w:val="FootnoteText"/>
        <w:spacing w:before="0"/>
        <w:ind w:left="357" w:hanging="357"/>
      </w:pPr>
      <w:r>
        <w:rPr>
          <w:rStyle w:val="FootnoteReference"/>
        </w:rPr>
        <w:footnoteRef/>
      </w:r>
      <w:r>
        <w:t xml:space="preserve"> </w:t>
      </w:r>
      <w:r w:rsidR="00FF392A">
        <w:tab/>
      </w:r>
      <w:r w:rsidRPr="00586631">
        <w:t>European Commission</w:t>
      </w:r>
      <w:r w:rsidR="00A271FC">
        <w:t xml:space="preserve"> (</w:t>
      </w:r>
      <w:hyperlink r:id="rId46" w:history="1">
        <w:r w:rsidR="00A271FC" w:rsidRPr="00A271FC">
          <w:rPr>
            <w:rStyle w:val="Hyperlink"/>
          </w:rPr>
          <w:t>2023</w:t>
        </w:r>
      </w:hyperlink>
      <w:r w:rsidR="00A271FC">
        <w:t xml:space="preserve">) </w:t>
      </w:r>
      <w:r w:rsidRPr="00586631">
        <w:t xml:space="preserve">Mitra, A., Niakaros, K. </w:t>
      </w:r>
      <w:r w:rsidRPr="009F0C4C">
        <w:rPr>
          <w:i/>
          <w:iCs/>
        </w:rPr>
        <w:t>The Horizon effect: a counterfactual analysis of EU research &amp; innovation grants</w:t>
      </w:r>
      <w:r w:rsidRPr="00586631">
        <w:t>.</w:t>
      </w:r>
    </w:p>
  </w:footnote>
  <w:footnote w:id="163">
    <w:p w14:paraId="314201CC" w14:textId="521C77FB" w:rsidR="001F7A7C" w:rsidRPr="009F0C4C" w:rsidRDefault="001F7A7C" w:rsidP="00A8210F">
      <w:pPr>
        <w:pStyle w:val="FootnoteText"/>
        <w:spacing w:before="0"/>
        <w:ind w:left="357" w:hanging="357"/>
        <w:rPr>
          <w:i/>
          <w:iCs/>
          <w:lang w:val="en-IE"/>
        </w:rPr>
      </w:pPr>
      <w:r>
        <w:rPr>
          <w:rStyle w:val="FootnoteReference"/>
        </w:rPr>
        <w:footnoteRef/>
      </w:r>
      <w:r>
        <w:t xml:space="preserve"> </w:t>
      </w:r>
      <w:r w:rsidR="00FF392A">
        <w:tab/>
      </w:r>
      <w:r>
        <w:rPr>
          <w:lang w:val="en-IE"/>
        </w:rPr>
        <w:t xml:space="preserve">“The added value of the R&amp;I policy for innovation adoption and diffusion. A focus on mRNA and green hydrogen technology”. </w:t>
      </w:r>
      <w:r>
        <w:rPr>
          <w:i/>
          <w:iCs/>
          <w:lang w:val="en-IE"/>
        </w:rPr>
        <w:t xml:space="preserve">Forthcoming. </w:t>
      </w:r>
      <w:r w:rsidRPr="004E60AB">
        <w:rPr>
          <w:lang w:val="en-US"/>
        </w:rPr>
        <w:t>The RADAR model is currently being customised to test policy scenarios in terms of semiconductor production and deployment in Europe. These policy scenarios will be used to assess the impacts of different policy mixes and analyse the contribution of instruments such as the Framework Programme for Research and Innovation, InvestEU, Digital Europe Programme, and EIB loans to economic security and competitiveness in the context of digital technologies and AI, with a special attention to the hardware aspect (from raw materials to semiconductor production to chip deployment).</w:t>
      </w:r>
      <w:r>
        <w:rPr>
          <w:lang w:val="en-US"/>
        </w:rPr>
        <w:t xml:space="preserve"> </w:t>
      </w:r>
      <w:r w:rsidRPr="00747071">
        <w:t xml:space="preserve">The baseline simulations show that, in the absence of shifts in policy or market structure, the European chip production tends to maintain its declining curve despite a potential growth in market size, which means additional imports would be needed. </w:t>
      </w:r>
    </w:p>
  </w:footnote>
  <w:footnote w:id="164">
    <w:p w14:paraId="50A4C8C2" w14:textId="4D8B12CA" w:rsidR="2AA6027B" w:rsidRDefault="2AA6027B" w:rsidP="00A8210F">
      <w:pPr>
        <w:spacing w:before="0" w:after="0"/>
        <w:ind w:left="357" w:hanging="357"/>
        <w:rPr>
          <w:rFonts w:eastAsia="Times New Roman"/>
        </w:rPr>
      </w:pPr>
      <w:r w:rsidRPr="000C2F19">
        <w:rPr>
          <w:rStyle w:val="FootnoteReference"/>
          <w:rFonts w:eastAsiaTheme="minorEastAsia"/>
          <w:sz w:val="20"/>
          <w:szCs w:val="20"/>
        </w:rPr>
        <w:footnoteRef/>
      </w:r>
      <w:r>
        <w:t xml:space="preserve"> </w:t>
      </w:r>
      <w:r w:rsidR="00FF392A">
        <w:tab/>
      </w:r>
      <w:r w:rsidRPr="000C2F19">
        <w:rPr>
          <w:rFonts w:eastAsiaTheme="minorEastAsia"/>
          <w:sz w:val="20"/>
          <w:szCs w:val="20"/>
        </w:rPr>
        <w:t>InvestEU operational report 2024</w:t>
      </w:r>
      <w:r w:rsidR="00912C63">
        <w:rPr>
          <w:rFonts w:eastAsiaTheme="minorEastAsia"/>
          <w:sz w:val="20"/>
          <w:szCs w:val="20"/>
        </w:rPr>
        <w:t>.</w:t>
      </w:r>
    </w:p>
  </w:footnote>
  <w:footnote w:id="165">
    <w:p w14:paraId="588A46B5" w14:textId="1C729DC6" w:rsidR="00714A24" w:rsidRPr="00BB184A" w:rsidRDefault="00714A24" w:rsidP="00A8210F">
      <w:pPr>
        <w:pStyle w:val="FootnoteText"/>
        <w:spacing w:before="0"/>
        <w:ind w:left="357" w:hanging="357"/>
        <w:rPr>
          <w:lang w:val="en-IE"/>
        </w:rPr>
      </w:pPr>
      <w:r>
        <w:rPr>
          <w:rStyle w:val="FootnoteReference"/>
        </w:rPr>
        <w:footnoteRef/>
      </w:r>
      <w:r>
        <w:t xml:space="preserve"> </w:t>
      </w:r>
      <w:r w:rsidR="00FF392A">
        <w:tab/>
      </w:r>
      <w:r w:rsidRPr="00714A24">
        <w:t>SWD(2018) 307 final</w:t>
      </w:r>
      <w:r w:rsidR="00A43C47">
        <w:t xml:space="preserve">. Horizon Europe </w:t>
      </w:r>
      <w:r w:rsidR="00912C63">
        <w:t>Impact assessment.</w:t>
      </w:r>
    </w:p>
  </w:footnote>
  <w:footnote w:id="166">
    <w:p w14:paraId="762B6586" w14:textId="2F86214D" w:rsidR="00096D5C" w:rsidRPr="00562F89" w:rsidRDefault="00096D5C" w:rsidP="00A8210F">
      <w:pPr>
        <w:pStyle w:val="FootnoteText"/>
        <w:spacing w:before="0"/>
        <w:ind w:left="357" w:hanging="357"/>
        <w:rPr>
          <w:lang w:val="en-US"/>
        </w:rPr>
      </w:pPr>
      <w:r>
        <w:rPr>
          <w:rStyle w:val="FootnoteReference"/>
        </w:rPr>
        <w:footnoteRef/>
      </w:r>
      <w:r>
        <w:t xml:space="preserve"> </w:t>
      </w:r>
      <w:r w:rsidR="00FF392A">
        <w:tab/>
      </w:r>
      <w:r w:rsidR="00AF692A" w:rsidRPr="00AF692A">
        <w:t xml:space="preserve">SWD(2025) 110 final. </w:t>
      </w:r>
      <w:r w:rsidRPr="00562F89">
        <w:rPr>
          <w:lang w:val="en-US"/>
        </w:rPr>
        <w:t xml:space="preserve">Horizon Europe Interim Evaluation, page 39. </w:t>
      </w:r>
    </w:p>
  </w:footnote>
  <w:footnote w:id="167">
    <w:p w14:paraId="7E2D6421" w14:textId="13D7E3D8" w:rsidR="00FC3D58" w:rsidRPr="00FA25A6" w:rsidRDefault="00FC3D58" w:rsidP="00A8210F">
      <w:pPr>
        <w:pStyle w:val="FootnoteTextEP-LC1"/>
        <w:ind w:left="357" w:hanging="357"/>
      </w:pPr>
      <w:r>
        <w:rPr>
          <w:rStyle w:val="FootnoteReference"/>
        </w:rPr>
        <w:footnoteRef/>
      </w:r>
      <w:r>
        <w:t xml:space="preserve"> </w:t>
      </w:r>
      <w:r w:rsidR="00FF392A">
        <w:tab/>
      </w:r>
      <w:hyperlink r:id="rId47" w:history="1">
        <w:r w:rsidRPr="00D80678">
          <w:rPr>
            <w:rStyle w:val="draft1"/>
          </w:rPr>
          <w:t>European Skills Agenda - European Commission</w:t>
        </w:r>
      </w:hyperlink>
      <w:r>
        <w:t xml:space="preserve">. These programmes are </w:t>
      </w:r>
      <w:r w:rsidRPr="0030098A">
        <w:rPr>
          <w:rFonts w:eastAsia="Calibri"/>
        </w:rPr>
        <w:t xml:space="preserve">mainly RRF, ESF+, and Erasmus+. </w:t>
      </w:r>
      <w:r w:rsidRPr="0030098A">
        <w:t xml:space="preserve">Other programmes, including Horizon Europe, Digital Europe Programme and InvestEU, </w:t>
      </w:r>
      <w:r>
        <w:t xml:space="preserve">also </w:t>
      </w:r>
      <w:r w:rsidRPr="0030098A">
        <w:t>include elements aimed at enhancing skills.</w:t>
      </w:r>
      <w:r w:rsidR="00667B3D">
        <w:t xml:space="preserve"> </w:t>
      </w:r>
      <w:r w:rsidR="005B24C2">
        <w:t>+ specify timeline</w:t>
      </w:r>
      <w:r w:rsidR="001E4AAD">
        <w:t>.</w:t>
      </w:r>
    </w:p>
  </w:footnote>
  <w:footnote w:id="168">
    <w:p w14:paraId="4BBC1AD1" w14:textId="1470D8C8" w:rsidR="00466C92" w:rsidRPr="00BB184A" w:rsidRDefault="00466C92" w:rsidP="00A8210F">
      <w:pPr>
        <w:pStyle w:val="FootnoteText"/>
        <w:spacing w:before="0"/>
        <w:ind w:left="357" w:hanging="357"/>
        <w:rPr>
          <w:lang w:val="en-US"/>
        </w:rPr>
      </w:pPr>
      <w:r>
        <w:rPr>
          <w:rStyle w:val="FootnoteReference"/>
        </w:rPr>
        <w:footnoteRef/>
      </w:r>
      <w:r>
        <w:t xml:space="preserve"> </w:t>
      </w:r>
      <w:r w:rsidR="00FF392A">
        <w:tab/>
      </w:r>
      <w:r>
        <w:rPr>
          <w:lang w:val="en-US"/>
        </w:rPr>
        <w:t>Digital Europe mid-term evaluation.</w:t>
      </w:r>
    </w:p>
  </w:footnote>
  <w:footnote w:id="169">
    <w:p w14:paraId="2E675255" w14:textId="585745CA" w:rsidR="00FC3D58" w:rsidRPr="001655BD" w:rsidRDefault="00FC3D58" w:rsidP="00A8210F">
      <w:pPr>
        <w:pStyle w:val="FootnoteTextEP-LC1"/>
        <w:ind w:left="357" w:hanging="357"/>
      </w:pPr>
      <w:r>
        <w:rPr>
          <w:rStyle w:val="FootnoteReference"/>
        </w:rPr>
        <w:footnoteRef/>
      </w:r>
      <w:r>
        <w:t xml:space="preserve"> </w:t>
      </w:r>
      <w:r w:rsidR="00FF392A">
        <w:tab/>
      </w:r>
      <w:r w:rsidRPr="00DD2DCA">
        <w:t>COM(2025) 90 final</w:t>
      </w:r>
      <w:r w:rsidR="00607F29">
        <w:t>.</w:t>
      </w:r>
      <w:r>
        <w:t xml:space="preserve"> The Union of Skills. </w:t>
      </w:r>
    </w:p>
  </w:footnote>
  <w:footnote w:id="170">
    <w:p w14:paraId="17FC0D4C" w14:textId="2CF8D17D" w:rsidR="00FC3D58" w:rsidRPr="00FA25A6" w:rsidRDefault="00FC3D58" w:rsidP="00A8210F">
      <w:pPr>
        <w:spacing w:before="0" w:after="0"/>
        <w:ind w:left="357" w:hanging="357"/>
        <w:rPr>
          <w:lang w:val="en-IE"/>
        </w:rPr>
      </w:pPr>
      <w:r w:rsidRPr="00F86121">
        <w:rPr>
          <w:rStyle w:val="FootnoteReference"/>
          <w:sz w:val="22"/>
          <w:szCs w:val="22"/>
        </w:rPr>
        <w:footnoteRef/>
      </w:r>
      <w:r w:rsidRPr="00F86121">
        <w:rPr>
          <w:sz w:val="22"/>
          <w:szCs w:val="22"/>
        </w:rPr>
        <w:t xml:space="preserve"> </w:t>
      </w:r>
      <w:r w:rsidR="00FF392A">
        <w:rPr>
          <w:sz w:val="22"/>
          <w:szCs w:val="22"/>
        </w:rPr>
        <w:tab/>
      </w:r>
      <w:r w:rsidRPr="000C2F19">
        <w:rPr>
          <w:rFonts w:eastAsiaTheme="minorEastAsia"/>
          <w:sz w:val="20"/>
          <w:szCs w:val="20"/>
          <w:lang w:val="en-IE"/>
        </w:rPr>
        <w:t>See Mugabushaka</w:t>
      </w:r>
      <w:r w:rsidR="00E22C73" w:rsidRPr="000C2F19">
        <w:rPr>
          <w:rFonts w:eastAsiaTheme="minorEastAsia"/>
          <w:sz w:val="20"/>
          <w:szCs w:val="20"/>
          <w:lang w:val="en-IE"/>
        </w:rPr>
        <w:t xml:space="preserve"> (</w:t>
      </w:r>
      <w:hyperlink r:id="rId48" w:history="1">
        <w:r w:rsidR="00E22C73" w:rsidRPr="000C2F19">
          <w:rPr>
            <w:rStyle w:val="Hyperlink"/>
            <w:rFonts w:eastAsiaTheme="minorEastAsia"/>
            <w:sz w:val="20"/>
            <w:szCs w:val="20"/>
            <w:lang w:val="en-IE"/>
          </w:rPr>
          <w:t>2021</w:t>
        </w:r>
      </w:hyperlink>
      <w:r w:rsidR="00E22C73" w:rsidRPr="000C2F19">
        <w:rPr>
          <w:rFonts w:eastAsiaTheme="minorEastAsia"/>
          <w:sz w:val="20"/>
          <w:szCs w:val="20"/>
          <w:lang w:val="en-IE"/>
        </w:rPr>
        <w:t>)</w:t>
      </w:r>
      <w:r w:rsidRPr="000C2F19">
        <w:rPr>
          <w:rFonts w:eastAsiaTheme="minorEastAsia"/>
          <w:sz w:val="20"/>
          <w:szCs w:val="20"/>
          <w:lang w:val="en-IE"/>
        </w:rPr>
        <w:t>, A.-M., Meeting the pandemic challenges – Contribution of EU R&amp;I funding to COVID-19 related research</w:t>
      </w:r>
      <w:r w:rsidRPr="00F86121">
        <w:rPr>
          <w:rFonts w:eastAsiaTheme="minorEastAsia"/>
          <w:sz w:val="18"/>
          <w:szCs w:val="18"/>
          <w:lang w:val="en-IE"/>
        </w:rPr>
        <w:t> </w:t>
      </w:r>
      <w:r w:rsidR="00E22C73" w:rsidDel="00E22C73">
        <w:t xml:space="preserve"> </w:t>
      </w:r>
    </w:p>
  </w:footnote>
  <w:footnote w:id="171">
    <w:p w14:paraId="3B96EDAF" w14:textId="75F72E97" w:rsidR="00FC3D58" w:rsidRPr="00F86121" w:rsidRDefault="00FC3D58" w:rsidP="00A8210F">
      <w:pPr>
        <w:pStyle w:val="FootnoteText"/>
        <w:spacing w:before="0"/>
        <w:ind w:left="357" w:hanging="357"/>
        <w:rPr>
          <w:sz w:val="18"/>
          <w:szCs w:val="18"/>
          <w:lang w:val="en-IE"/>
        </w:rPr>
      </w:pPr>
      <w:r w:rsidRPr="00F86121">
        <w:rPr>
          <w:rStyle w:val="FootnoteReference"/>
          <w:sz w:val="18"/>
          <w:szCs w:val="18"/>
        </w:rPr>
        <w:footnoteRef/>
      </w:r>
      <w:r w:rsidRPr="00F86121">
        <w:rPr>
          <w:sz w:val="18"/>
          <w:szCs w:val="18"/>
        </w:rPr>
        <w:t xml:space="preserve"> </w:t>
      </w:r>
      <w:r w:rsidR="00FF392A">
        <w:rPr>
          <w:sz w:val="18"/>
          <w:szCs w:val="18"/>
        </w:rPr>
        <w:tab/>
      </w:r>
      <w:r w:rsidR="00AF692A" w:rsidRPr="00AF692A">
        <w:t xml:space="preserve">SWD(2025) 110 final. </w:t>
      </w:r>
      <w:r w:rsidRPr="000C2F19">
        <w:rPr>
          <w:rFonts w:eastAsia="MS Mincho" w:cstheme="minorBidi"/>
          <w:kern w:val="2"/>
          <w:lang w:val="en-IE"/>
          <w14:ligatures w14:val="standardContextual"/>
        </w:rPr>
        <w:t>Horizon Europe Interim Evaluation, page 27</w:t>
      </w:r>
      <w:r>
        <w:rPr>
          <w:sz w:val="18"/>
          <w:szCs w:val="18"/>
          <w:lang w:val="en-IE"/>
        </w:rPr>
        <w:t>.</w:t>
      </w:r>
      <w:r w:rsidRPr="00F86121">
        <w:rPr>
          <w:i/>
          <w:iCs/>
          <w:sz w:val="18"/>
          <w:szCs w:val="18"/>
          <w:lang w:val="en-IE"/>
        </w:rPr>
        <w:t xml:space="preserve"> </w:t>
      </w:r>
    </w:p>
  </w:footnote>
  <w:footnote w:id="172">
    <w:p w14:paraId="07F66A7A" w14:textId="4CE56DBD" w:rsidR="00691E5D" w:rsidRPr="00B03DD3" w:rsidRDefault="00691E5D" w:rsidP="00A8210F">
      <w:pPr>
        <w:pStyle w:val="FootnoteText"/>
        <w:spacing w:before="0"/>
        <w:ind w:left="357" w:hanging="357"/>
        <w:rPr>
          <w:lang w:val="en-IE"/>
        </w:rPr>
      </w:pPr>
      <w:r>
        <w:rPr>
          <w:rStyle w:val="FootnoteReference"/>
        </w:rPr>
        <w:footnoteRef/>
      </w:r>
      <w:r>
        <w:t xml:space="preserve"> </w:t>
      </w:r>
      <w:r w:rsidR="00FF392A">
        <w:tab/>
      </w:r>
      <w:r>
        <w:t xml:space="preserve">In </w:t>
      </w:r>
      <w:r w:rsidRPr="19BC3B09">
        <w:rPr>
          <w:rStyle w:val="FootnoteReference"/>
          <w:vertAlign w:val="baseline"/>
          <w:lang w:val="en-IE"/>
        </w:rPr>
        <w:t xml:space="preserve">Horizon Europe, </w:t>
      </w:r>
      <w:r w:rsidRPr="743D1269">
        <w:rPr>
          <w:lang w:val="en-IE"/>
        </w:rPr>
        <w:t>in total</w:t>
      </w:r>
      <w:r w:rsidRPr="4F24BCD8">
        <w:rPr>
          <w:rStyle w:val="FootnoteReference"/>
          <w:vertAlign w:val="baseline"/>
          <w:lang w:val="en-IE"/>
        </w:rPr>
        <w:t xml:space="preserve"> </w:t>
      </w:r>
      <w:r w:rsidRPr="02B9A4BB">
        <w:rPr>
          <w:rStyle w:val="FootnoteReference"/>
          <w:vertAlign w:val="baseline"/>
          <w:lang w:val="en-IE"/>
        </w:rPr>
        <w:t xml:space="preserve">EUR 39.6 billion </w:t>
      </w:r>
      <w:r w:rsidRPr="743D1269">
        <w:rPr>
          <w:lang w:val="en-IE"/>
        </w:rPr>
        <w:t>will be</w:t>
      </w:r>
      <w:r>
        <w:rPr>
          <w:lang w:val="en-IE"/>
        </w:rPr>
        <w:t xml:space="preserve"> allocated</w:t>
      </w:r>
      <w:r w:rsidRPr="4B06F074">
        <w:rPr>
          <w:rStyle w:val="FootnoteReference"/>
          <w:vertAlign w:val="baseline"/>
          <w:lang w:val="en-IE"/>
        </w:rPr>
        <w:t xml:space="preserve"> to R&amp;I in climate, </w:t>
      </w:r>
      <w:r w:rsidRPr="4A6E66B5">
        <w:rPr>
          <w:rStyle w:val="FootnoteReference"/>
          <w:vertAlign w:val="baseline"/>
          <w:lang w:val="en-IE"/>
        </w:rPr>
        <w:t>biodiversity, and clean air combined</w:t>
      </w:r>
      <w:r>
        <w:rPr>
          <w:rStyle w:val="FootnoteReference"/>
          <w:vertAlign w:val="baseline"/>
          <w:lang w:val="en-IE"/>
        </w:rPr>
        <w:t>,</w:t>
      </w:r>
      <w:r>
        <w:rPr>
          <w:lang w:val="en-IE"/>
        </w:rPr>
        <w:t xml:space="preserve"> with over EUR 27 billion already allocated in 2021-2024</w:t>
      </w:r>
      <w:r w:rsidRPr="1FA35256">
        <w:rPr>
          <w:rStyle w:val="FootnoteReference"/>
          <w:vertAlign w:val="baseline"/>
          <w:lang w:val="en-IE"/>
        </w:rPr>
        <w:t>.</w:t>
      </w:r>
    </w:p>
  </w:footnote>
  <w:footnote w:id="173">
    <w:p w14:paraId="4C195969" w14:textId="4E280380" w:rsidR="00FC3D58" w:rsidRPr="00F1594E" w:rsidRDefault="00FC3D58" w:rsidP="00A8210F">
      <w:pPr>
        <w:pStyle w:val="FootnoteText"/>
        <w:spacing w:before="0"/>
        <w:ind w:left="357" w:hanging="357"/>
      </w:pPr>
      <w:r>
        <w:rPr>
          <w:rStyle w:val="FootnoteReference"/>
        </w:rPr>
        <w:footnoteRef/>
      </w:r>
      <w:r>
        <w:t xml:space="preserve"> </w:t>
      </w:r>
      <w:r w:rsidR="00FF392A">
        <w:tab/>
      </w:r>
      <w:r>
        <w:t>Draghi, M. (2024</w:t>
      </w:r>
      <w:r w:rsidR="00AC6D5F">
        <w:t xml:space="preserve"> :40</w:t>
      </w:r>
      <w:r>
        <w:t xml:space="preserve">), </w:t>
      </w:r>
      <w:r w:rsidRPr="009106E0">
        <w:rPr>
          <w:i/>
          <w:iCs/>
        </w:rPr>
        <w:t>The future of European Competitiveness Part A</w:t>
      </w:r>
      <w:r>
        <w:t>.</w:t>
      </w:r>
    </w:p>
  </w:footnote>
  <w:footnote w:id="174">
    <w:p w14:paraId="18806219" w14:textId="33CD7508" w:rsidR="001733F3" w:rsidRPr="00BB184A" w:rsidRDefault="001733F3" w:rsidP="00A8210F">
      <w:pPr>
        <w:pStyle w:val="FootnoteText"/>
        <w:spacing w:before="0"/>
        <w:ind w:left="357" w:hanging="357"/>
        <w:rPr>
          <w:lang w:val="en-IE"/>
        </w:rPr>
      </w:pPr>
      <w:r>
        <w:rPr>
          <w:rStyle w:val="FootnoteReference"/>
        </w:rPr>
        <w:footnoteRef/>
      </w:r>
      <w:r>
        <w:t xml:space="preserve"> </w:t>
      </w:r>
      <w:r w:rsidR="00FF392A">
        <w:tab/>
      </w:r>
      <w:r w:rsidRPr="00BB184A">
        <w:rPr>
          <w:lang w:val="en-IE"/>
        </w:rPr>
        <w:t xml:space="preserve">Further details in Annex </w:t>
      </w:r>
      <w:r w:rsidR="50A12219" w:rsidRPr="00BB184A">
        <w:rPr>
          <w:lang w:val="en-IE"/>
        </w:rPr>
        <w:t>4</w:t>
      </w:r>
      <w:r w:rsidR="00B864C8">
        <w:rPr>
          <w:lang w:val="en-IE"/>
        </w:rPr>
        <w:t>.</w:t>
      </w:r>
    </w:p>
  </w:footnote>
  <w:footnote w:id="175">
    <w:p w14:paraId="2FEF8AA1" w14:textId="624116E2" w:rsidR="51E02097" w:rsidRDefault="51E02097" w:rsidP="00A8210F">
      <w:pPr>
        <w:spacing w:before="0" w:after="0"/>
      </w:pPr>
      <w:r w:rsidRPr="00F01C25">
        <w:rPr>
          <w:rStyle w:val="FootnoteReference"/>
          <w:rFonts w:eastAsiaTheme="minorEastAsia"/>
          <w:sz w:val="20"/>
          <w:szCs w:val="20"/>
        </w:rPr>
        <w:footnoteRef/>
      </w:r>
      <w:r w:rsidRPr="00F01C25">
        <w:rPr>
          <w:rStyle w:val="FootnoteReference"/>
          <w:rFonts w:eastAsiaTheme="minorEastAsia"/>
          <w:sz w:val="20"/>
          <w:szCs w:val="20"/>
        </w:rPr>
        <w:t xml:space="preserve"> </w:t>
      </w:r>
      <w:r w:rsidRPr="00F01C25">
        <w:rPr>
          <w:rFonts w:eastAsiaTheme="minorEastAsia"/>
          <w:sz w:val="20"/>
          <w:szCs w:val="20"/>
          <w:lang w:val="en-IE"/>
        </w:rPr>
        <w:t>The InvestEU programme is characterised by a private investment multiplier of 14 (every euro of EU guarantee generates 14 additional euro of private investment in the economy). Assuming such a high multiplier for a scenario mimicking the impact of 14 different funds would be unrealistic, so a lower (more conservative) multiplier of 4 is assumed in Option A, which becomes 5 in Option B</w:t>
      </w:r>
      <w:r w:rsidR="00A94024">
        <w:rPr>
          <w:rFonts w:eastAsiaTheme="minorEastAsia"/>
          <w:sz w:val="20"/>
          <w:szCs w:val="20"/>
          <w:lang w:val="en-IE"/>
        </w:rPr>
        <w:t xml:space="preserve"> and 6 in Option C</w:t>
      </w:r>
      <w:r w:rsidRPr="00F01C25">
        <w:rPr>
          <w:rFonts w:eastAsiaTheme="minorEastAsia"/>
          <w:sz w:val="20"/>
          <w:szCs w:val="20"/>
          <w:lang w:val="en-IE"/>
        </w:rPr>
        <w:t>. The increase of the multiplier between Option A and B is justified by the increase coordination between the funds that incorporate guarantees and other financial instruments aiming to mobilize private funding.</w:t>
      </w:r>
    </w:p>
  </w:footnote>
  <w:footnote w:id="176">
    <w:p w14:paraId="22AF610C" w14:textId="3AA6DE48" w:rsidR="00B00A85" w:rsidRPr="00B864C8" w:rsidRDefault="00B00A85" w:rsidP="00A8210F">
      <w:pPr>
        <w:pStyle w:val="BodyText1"/>
        <w:spacing w:before="0" w:after="0"/>
        <w:ind w:left="357" w:hanging="357"/>
        <w:jc w:val="left"/>
        <w:rPr>
          <w:rFonts w:ascii="Times New Roman" w:hAnsi="Times New Roman"/>
          <w:color w:val="000000"/>
          <w:sz w:val="18"/>
          <w:szCs w:val="18"/>
        </w:rPr>
      </w:pPr>
      <w:r w:rsidRPr="00B864C8">
        <w:rPr>
          <w:rStyle w:val="FootnoteReference"/>
          <w:rFonts w:ascii="Times New Roman" w:hAnsi="Times New Roman"/>
        </w:rPr>
        <w:footnoteRef/>
      </w:r>
      <w:r w:rsidR="00FF392A" w:rsidRPr="00B864C8">
        <w:rPr>
          <w:rFonts w:ascii="Times New Roman" w:hAnsi="Times New Roman"/>
        </w:rPr>
        <w:tab/>
      </w:r>
      <w:r w:rsidRPr="00B864C8">
        <w:rPr>
          <w:rFonts w:ascii="Times New Roman" w:hAnsi="Times New Roman"/>
          <w:color w:val="000000"/>
          <w:sz w:val="20"/>
        </w:rPr>
        <w:t xml:space="preserve">Assumption developed </w:t>
      </w:r>
      <w:r w:rsidRPr="00B864C8">
        <w:rPr>
          <w:rFonts w:ascii="Times New Roman" w:hAnsi="Times New Roman"/>
          <w:sz w:val="20"/>
        </w:rPr>
        <w:t>only as an indicative order of magnitude for the relative ranking of options’ effects</w:t>
      </w:r>
      <w:r w:rsidR="00665170" w:rsidRPr="00B864C8">
        <w:rPr>
          <w:rFonts w:ascii="Times New Roman" w:hAnsi="Times New Roman"/>
          <w:sz w:val="20"/>
        </w:rPr>
        <w:t xml:space="preserve">. </w:t>
      </w:r>
      <w:r w:rsidR="00477C59" w:rsidRPr="00B864C8">
        <w:rPr>
          <w:rFonts w:ascii="Times New Roman" w:hAnsi="Times New Roman"/>
          <w:sz w:val="20"/>
        </w:rPr>
        <w:t>The</w:t>
      </w:r>
      <w:r w:rsidR="00D50E32">
        <w:rPr>
          <w:rFonts w:ascii="Times New Roman" w:hAnsi="Times New Roman"/>
          <w:sz w:val="20"/>
        </w:rPr>
        <w:t xml:space="preserve"> </w:t>
      </w:r>
      <w:r w:rsidR="00477C59" w:rsidRPr="00B864C8">
        <w:rPr>
          <w:rFonts w:ascii="Times New Roman" w:hAnsi="Times New Roman"/>
          <w:sz w:val="20"/>
        </w:rPr>
        <w:t>assumptions</w:t>
      </w:r>
      <w:r w:rsidR="00665170" w:rsidRPr="00B864C8">
        <w:rPr>
          <w:rFonts w:ascii="Times New Roman" w:hAnsi="Times New Roman"/>
          <w:sz w:val="20"/>
        </w:rPr>
        <w:t xml:space="preserve"> are </w:t>
      </w:r>
      <w:r w:rsidR="00882194" w:rsidRPr="00B864C8">
        <w:rPr>
          <w:rFonts w:ascii="Times New Roman" w:hAnsi="Times New Roman"/>
          <w:sz w:val="20"/>
        </w:rPr>
        <w:t xml:space="preserve">conservative </w:t>
      </w:r>
      <w:r w:rsidR="00996146" w:rsidRPr="00B864C8">
        <w:rPr>
          <w:rFonts w:ascii="Times New Roman" w:hAnsi="Times New Roman"/>
          <w:color w:val="000000"/>
          <w:sz w:val="20"/>
        </w:rPr>
        <w:t>deriving from comparing the different TTI and TT</w:t>
      </w:r>
      <w:r w:rsidR="000B42BB" w:rsidRPr="00B864C8">
        <w:rPr>
          <w:rFonts w:ascii="Times New Roman" w:hAnsi="Times New Roman"/>
          <w:color w:val="000000"/>
          <w:sz w:val="20"/>
        </w:rPr>
        <w:t>G</w:t>
      </w:r>
      <w:r w:rsidR="00996146" w:rsidRPr="00B864C8">
        <w:rPr>
          <w:rFonts w:ascii="Times New Roman" w:hAnsi="Times New Roman"/>
          <w:color w:val="000000"/>
          <w:sz w:val="20"/>
        </w:rPr>
        <w:t xml:space="preserve"> values presented for the</w:t>
      </w:r>
      <w:r w:rsidR="00D50E32">
        <w:rPr>
          <w:rFonts w:ascii="Times New Roman" w:hAnsi="Times New Roman"/>
          <w:color w:val="000000"/>
          <w:sz w:val="20"/>
        </w:rPr>
        <w:t xml:space="preserve"> </w:t>
      </w:r>
      <w:r w:rsidR="00996146" w:rsidRPr="00B864C8">
        <w:rPr>
          <w:rFonts w:ascii="Times New Roman" w:hAnsi="Times New Roman"/>
          <w:color w:val="000000"/>
          <w:sz w:val="20"/>
        </w:rPr>
        <w:t xml:space="preserve">baseline. </w:t>
      </w:r>
      <w:r w:rsidR="00B26160" w:rsidRPr="00B864C8">
        <w:rPr>
          <w:rFonts w:ascii="Times New Roman" w:hAnsi="Times New Roman"/>
          <w:color w:val="000000"/>
          <w:sz w:val="20"/>
        </w:rPr>
        <w:t xml:space="preserve">Due to </w:t>
      </w:r>
      <w:r w:rsidR="00B26160" w:rsidRPr="00B864C8">
        <w:rPr>
          <w:rFonts w:ascii="Times New Roman" w:hAnsi="Times New Roman"/>
          <w:sz w:val="20"/>
        </w:rPr>
        <w:t xml:space="preserve">the low extent of quantitative evidence available, the estimates </w:t>
      </w:r>
      <w:r w:rsidR="000B42BB" w:rsidRPr="00B864C8">
        <w:rPr>
          <w:rFonts w:ascii="Times New Roman" w:hAnsi="Times New Roman"/>
          <w:sz w:val="20"/>
        </w:rPr>
        <w:t>are</w:t>
      </w:r>
      <w:r w:rsidR="00AE4BD6" w:rsidRPr="00B864C8">
        <w:rPr>
          <w:rFonts w:ascii="Times New Roman" w:hAnsi="Times New Roman"/>
          <w:sz w:val="20"/>
        </w:rPr>
        <w:t xml:space="preserve"> </w:t>
      </w:r>
      <w:r w:rsidR="00665170" w:rsidRPr="00B864C8">
        <w:rPr>
          <w:rFonts w:ascii="Times New Roman" w:hAnsi="Times New Roman"/>
          <w:sz w:val="20"/>
        </w:rPr>
        <w:t>of a high level of uncertainty</w:t>
      </w:r>
      <w:r w:rsidR="000B42BB" w:rsidRPr="00B864C8">
        <w:rPr>
          <w:rFonts w:ascii="Times New Roman" w:hAnsi="Times New Roman"/>
          <w:sz w:val="20"/>
        </w:rPr>
        <w:t xml:space="preserve">. </w:t>
      </w:r>
      <w:r w:rsidR="00665170" w:rsidRPr="00B864C8">
        <w:rPr>
          <w:rFonts w:ascii="Times New Roman" w:hAnsi="Times New Roman"/>
          <w:sz w:val="20"/>
        </w:rPr>
        <w:t xml:space="preserve"> </w:t>
      </w:r>
    </w:p>
  </w:footnote>
  <w:footnote w:id="177">
    <w:p w14:paraId="7B9BA1F5" w14:textId="06B52B45" w:rsidR="0009090C" w:rsidRPr="0009090C" w:rsidRDefault="0009090C" w:rsidP="00A8210F">
      <w:pPr>
        <w:pStyle w:val="FootnoteText"/>
        <w:spacing w:before="0"/>
        <w:ind w:left="357" w:hanging="357"/>
      </w:pPr>
      <w:r>
        <w:rPr>
          <w:rStyle w:val="FootnoteReference"/>
        </w:rPr>
        <w:footnoteRef/>
      </w:r>
      <w:r>
        <w:t xml:space="preserve"> </w:t>
      </w:r>
      <w:r w:rsidR="00FF392A">
        <w:tab/>
      </w:r>
      <w:r w:rsidRPr="00B864C8">
        <w:rPr>
          <w:color w:val="000000"/>
        </w:rPr>
        <w:t>Ibid.</w:t>
      </w:r>
    </w:p>
  </w:footnote>
  <w:footnote w:id="178">
    <w:p w14:paraId="0CF3B688" w14:textId="76399F57" w:rsidR="50A12219" w:rsidRPr="00B864C8" w:rsidRDefault="50A12219" w:rsidP="00A8210F">
      <w:pPr>
        <w:spacing w:before="0" w:after="0"/>
        <w:ind w:left="357" w:hanging="357"/>
        <w:rPr>
          <w:sz w:val="20"/>
          <w:szCs w:val="20"/>
        </w:rPr>
      </w:pPr>
      <w:r w:rsidRPr="00B864C8">
        <w:rPr>
          <w:rStyle w:val="FootnoteReference"/>
          <w:rFonts w:eastAsia="Times New Roman"/>
          <w:noProof/>
          <w:sz w:val="20"/>
          <w:szCs w:val="20"/>
        </w:rPr>
        <w:footnoteRef/>
      </w:r>
      <w:r w:rsidR="00FF392A" w:rsidRPr="00B864C8">
        <w:rPr>
          <w:sz w:val="20"/>
          <w:szCs w:val="20"/>
        </w:rPr>
        <w:tab/>
      </w:r>
      <w:r w:rsidRPr="00B864C8">
        <w:rPr>
          <w:rFonts w:eastAsia="Times New Roman"/>
          <w:noProof/>
          <w:color w:val="000000"/>
          <w:sz w:val="20"/>
          <w:szCs w:val="20"/>
        </w:rPr>
        <w:t>Larger investment volumes lead to a slightly lower return per euro spent (the larger volumes make each euro marginally less efficient at generating growth).</w:t>
      </w:r>
    </w:p>
  </w:footnote>
  <w:footnote w:id="179">
    <w:p w14:paraId="19D1B935" w14:textId="497ACA71" w:rsidR="58BF9D30" w:rsidRPr="00B864C8" w:rsidRDefault="58BF9D30" w:rsidP="00A8210F">
      <w:pPr>
        <w:spacing w:before="0" w:after="0"/>
        <w:ind w:left="357" w:hanging="357"/>
        <w:rPr>
          <w:sz w:val="20"/>
          <w:szCs w:val="20"/>
          <w:lang w:val="en-IE"/>
        </w:rPr>
      </w:pPr>
      <w:r w:rsidRPr="00B864C8">
        <w:rPr>
          <w:sz w:val="20"/>
          <w:szCs w:val="20"/>
          <w:vertAlign w:val="superscript"/>
        </w:rPr>
        <w:footnoteRef/>
      </w:r>
      <w:r w:rsidRPr="00B864C8">
        <w:rPr>
          <w:sz w:val="20"/>
          <w:szCs w:val="20"/>
        </w:rPr>
        <w:t xml:space="preserve"> </w:t>
      </w:r>
      <w:r w:rsidRPr="00B864C8">
        <w:rPr>
          <w:rFonts w:eastAsia="Times New Roman"/>
          <w:sz w:val="20"/>
          <w:szCs w:val="20"/>
          <w:lang w:val="en-IE"/>
        </w:rPr>
        <w:t xml:space="preserve"> </w:t>
      </w:r>
      <w:r w:rsidR="00FF392A" w:rsidRPr="00B864C8">
        <w:rPr>
          <w:rFonts w:eastAsia="Times New Roman"/>
          <w:sz w:val="20"/>
          <w:szCs w:val="20"/>
          <w:lang w:val="en-IE"/>
        </w:rPr>
        <w:tab/>
      </w:r>
      <w:r w:rsidRPr="00B864C8">
        <w:rPr>
          <w:rFonts w:eastAsia="Times New Roman"/>
          <w:sz w:val="20"/>
          <w:szCs w:val="20"/>
          <w:lang w:val="en-IE"/>
        </w:rPr>
        <w:t>This macroeconomic analysis highlights that Option C is better able to bring investment forward compared to the other options, due to the consolidation of programmes and greater budget flexibility. This means that only Option C allows for effective and efficient frontloading of the budget on a meaningful scale. As a result, frontloading impacts the GDP multiplier only in the case of Option C.</w:t>
      </w:r>
      <w:r w:rsidR="50A12219" w:rsidRPr="00B864C8">
        <w:rPr>
          <w:rFonts w:eastAsia="Times New Roman"/>
          <w:sz w:val="20"/>
          <w:szCs w:val="20"/>
          <w:lang w:val="en-IE"/>
        </w:rPr>
        <w:t xml:space="preserve"> The assumed frontloading in this modelling exercise is not representative for the overall payment structure of the next EU budget.</w:t>
      </w:r>
    </w:p>
  </w:footnote>
  <w:footnote w:id="180">
    <w:p w14:paraId="499A86E8" w14:textId="2EAA3EC2" w:rsidR="000866AE" w:rsidRPr="00B864C8" w:rsidRDefault="000866AE" w:rsidP="00A8210F">
      <w:pPr>
        <w:pStyle w:val="BodyText1"/>
        <w:spacing w:before="0" w:after="0"/>
        <w:ind w:left="357" w:hanging="357"/>
        <w:jc w:val="left"/>
        <w:rPr>
          <w:rFonts w:ascii="Times New Roman" w:hAnsi="Times New Roman"/>
          <w:sz w:val="20"/>
        </w:rPr>
      </w:pPr>
      <w:r w:rsidRPr="204CA1C3">
        <w:rPr>
          <w:rStyle w:val="FootnoteReference"/>
          <w:rFonts w:ascii="Times New Roman" w:hAnsi="Times New Roman"/>
          <w:sz w:val="20"/>
        </w:rPr>
        <w:footnoteRef/>
      </w:r>
      <w:r w:rsidR="204CA1C3" w:rsidRPr="204CA1C3">
        <w:rPr>
          <w:rFonts w:ascii="Times New Roman" w:hAnsi="Times New Roman"/>
          <w:sz w:val="20"/>
        </w:rPr>
        <w:t xml:space="preserve"> </w:t>
      </w:r>
      <w:r w:rsidR="00FF392A" w:rsidRPr="00B864C8">
        <w:rPr>
          <w:rFonts w:ascii="Times New Roman" w:hAnsi="Times New Roman"/>
          <w:sz w:val="20"/>
        </w:rPr>
        <w:tab/>
      </w:r>
      <w:r w:rsidR="204CA1C3" w:rsidRPr="204CA1C3">
        <w:rPr>
          <w:rFonts w:ascii="Times New Roman" w:hAnsi="Times New Roman"/>
          <w:color w:val="000000"/>
          <w:sz w:val="20"/>
        </w:rPr>
        <w:t xml:space="preserve">Assumption developed </w:t>
      </w:r>
      <w:r w:rsidR="204CA1C3" w:rsidRPr="204CA1C3">
        <w:rPr>
          <w:rFonts w:ascii="Times New Roman" w:hAnsi="Times New Roman"/>
          <w:sz w:val="20"/>
        </w:rPr>
        <w:t xml:space="preserve">only as an indicative order of magnitude for the relative ranking of options’ effects. The assumptions are conservative, </w:t>
      </w:r>
      <w:r w:rsidR="204CA1C3" w:rsidRPr="204CA1C3">
        <w:rPr>
          <w:rFonts w:ascii="Times New Roman" w:hAnsi="Times New Roman"/>
          <w:color w:val="000000"/>
          <w:sz w:val="20"/>
        </w:rPr>
        <w:t xml:space="preserve">deriving from comparing the different TTI and TTG values presented for the baseline. Due to </w:t>
      </w:r>
      <w:r w:rsidR="204CA1C3" w:rsidRPr="204CA1C3">
        <w:rPr>
          <w:rFonts w:ascii="Times New Roman" w:hAnsi="Times New Roman"/>
          <w:sz w:val="20"/>
        </w:rPr>
        <w:t>the low extent of quantitative evidence available, the assumption is very conservative on purpose</w:t>
      </w:r>
    </w:p>
  </w:footnote>
  <w:footnote w:id="181">
    <w:p w14:paraId="1ECF2C63" w14:textId="7D1D3E7F" w:rsidR="001110CB" w:rsidRPr="00B864C8" w:rsidRDefault="001110CB" w:rsidP="00A8210F">
      <w:pPr>
        <w:pStyle w:val="FootnoteText"/>
        <w:spacing w:before="0"/>
        <w:ind w:left="357" w:hanging="357"/>
        <w:rPr>
          <w:lang w:val="en-IE"/>
        </w:rPr>
      </w:pPr>
      <w:r w:rsidRPr="00B864C8">
        <w:rPr>
          <w:rStyle w:val="FootnoteReference"/>
        </w:rPr>
        <w:footnoteRef/>
      </w:r>
      <w:r w:rsidRPr="00B864C8">
        <w:t xml:space="preserve"> </w:t>
      </w:r>
      <w:r w:rsidR="00FF392A" w:rsidRPr="00B864C8">
        <w:tab/>
      </w:r>
      <w:r w:rsidR="00EC30D1" w:rsidRPr="00B864C8">
        <w:t xml:space="preserve">Ibid. </w:t>
      </w:r>
    </w:p>
  </w:footnote>
  <w:footnote w:id="182">
    <w:p w14:paraId="67AD70C6" w14:textId="42B4E130" w:rsidR="46504AF2" w:rsidRPr="00A54EA6" w:rsidRDefault="46504AF2" w:rsidP="00A8210F">
      <w:pPr>
        <w:spacing w:before="0" w:after="0"/>
        <w:rPr>
          <w:rFonts w:eastAsia="Times New Roman"/>
          <w:sz w:val="20"/>
          <w:szCs w:val="20"/>
        </w:rPr>
      </w:pPr>
      <w:r w:rsidRPr="00A54EA6">
        <w:rPr>
          <w:sz w:val="20"/>
          <w:szCs w:val="20"/>
          <w:vertAlign w:val="superscript"/>
        </w:rPr>
        <w:footnoteRef/>
      </w:r>
      <w:r w:rsidRPr="00A54EA6">
        <w:rPr>
          <w:sz w:val="20"/>
          <w:szCs w:val="20"/>
        </w:rPr>
        <w:t xml:space="preserve"> </w:t>
      </w:r>
      <w:r w:rsidRPr="00A54EA6">
        <w:rPr>
          <w:rFonts w:eastAsia="Times New Roman"/>
          <w:sz w:val="20"/>
          <w:szCs w:val="20"/>
        </w:rPr>
        <w:t>Methodological note: the three options would not have a significantly different impact on the way the consortium size impacts on costs. It should also be noted that consortium size is not seen as a cost category but as an influencing factor.</w:t>
      </w:r>
    </w:p>
  </w:footnote>
  <w:footnote w:id="183">
    <w:p w14:paraId="445BD849" w14:textId="17323B65" w:rsidR="008B7DBA" w:rsidRPr="00B864C8" w:rsidRDefault="008B7DBA" w:rsidP="00A8210F">
      <w:pPr>
        <w:pStyle w:val="FootnoteText"/>
        <w:spacing w:before="0"/>
        <w:ind w:left="357" w:hanging="357"/>
      </w:pPr>
      <w:r w:rsidRPr="00B864C8">
        <w:rPr>
          <w:rStyle w:val="FootnoteReference"/>
        </w:rPr>
        <w:footnoteRef/>
      </w:r>
      <w:r w:rsidRPr="00B864C8">
        <w:t xml:space="preserve"> </w:t>
      </w:r>
      <w:r w:rsidR="00FF392A" w:rsidRPr="00B864C8">
        <w:tab/>
      </w:r>
      <w:r w:rsidR="0050332C" w:rsidRPr="00B864C8">
        <w:t xml:space="preserve">Ibid. </w:t>
      </w:r>
    </w:p>
  </w:footnote>
  <w:footnote w:id="184">
    <w:p w14:paraId="78E86B0A" w14:textId="3CD90A6D" w:rsidR="00B209A9" w:rsidRPr="00EF4DC4" w:rsidRDefault="00B209A9" w:rsidP="009119D7">
      <w:pPr>
        <w:pStyle w:val="FootnoteText"/>
        <w:spacing w:before="0"/>
        <w:rPr>
          <w:lang w:val="en-US"/>
        </w:rPr>
      </w:pPr>
      <w:r>
        <w:rPr>
          <w:rStyle w:val="FootnoteReference"/>
        </w:rPr>
        <w:footnoteRef/>
      </w:r>
      <w:r w:rsidR="001804B4">
        <w:t xml:space="preserve">   </w:t>
      </w:r>
      <w:r>
        <w:t xml:space="preserve">EP, </w:t>
      </w:r>
      <w:r w:rsidR="00D50E32">
        <w:t>EGOV, InvestEU</w:t>
      </w:r>
      <w:r w:rsidRPr="00EF4DC4">
        <w:rPr>
          <w:i/>
          <w:iCs/>
        </w:rPr>
        <w:t xml:space="preserve"> Programme: functioning, performance and future challenges</w:t>
      </w:r>
      <w:r>
        <w:t xml:space="preserve">, April 2025 </w:t>
      </w:r>
    </w:p>
  </w:footnote>
  <w:footnote w:id="185">
    <w:p w14:paraId="5A23C0E6" w14:textId="4830E79D" w:rsidR="00CD1CE2" w:rsidRPr="00BB184A" w:rsidRDefault="00CD1CE2" w:rsidP="00662845">
      <w:pPr>
        <w:pStyle w:val="FootnoteText"/>
        <w:spacing w:before="0"/>
        <w:ind w:left="357" w:hanging="357"/>
        <w:rPr>
          <w:lang w:val="en-IE"/>
        </w:rPr>
      </w:pPr>
      <w:r>
        <w:rPr>
          <w:rStyle w:val="FootnoteReference"/>
        </w:rPr>
        <w:footnoteRef/>
      </w:r>
      <w:r>
        <w:t xml:space="preserve"> </w:t>
      </w:r>
      <w:r w:rsidR="00FF392A">
        <w:tab/>
      </w:r>
      <w:r>
        <w:t>The higher private investment multiplier is responsible for a difference of +48.13% compared to Option A, and the additional supply-side effects for +5.45%.</w:t>
      </w:r>
    </w:p>
  </w:footnote>
  <w:footnote w:id="186">
    <w:p w14:paraId="5A434093" w14:textId="613BA4DF" w:rsidR="003A6FF6" w:rsidRPr="00BD3D70" w:rsidRDefault="003A6FF6" w:rsidP="00662845">
      <w:pPr>
        <w:pStyle w:val="FootnoteText"/>
        <w:spacing w:before="0"/>
        <w:ind w:left="357" w:hanging="357"/>
      </w:pPr>
      <w:r>
        <w:rPr>
          <w:rStyle w:val="FootnoteReference"/>
        </w:rPr>
        <w:footnoteRef/>
      </w:r>
      <w:r>
        <w:t xml:space="preserve"> </w:t>
      </w:r>
      <w:r w:rsidR="00FF392A">
        <w:tab/>
      </w:r>
      <w:r>
        <w:t xml:space="preserve">See </w:t>
      </w:r>
      <w:r w:rsidRPr="007B3DEE">
        <w:t>Perkmann, M., King, Z., &amp; Pavelin, S. (2011). Engaging excellence? Effects of faculty quality on university engagement with industry. </w:t>
      </w:r>
      <w:r w:rsidRPr="007B3DEE">
        <w:rPr>
          <w:i/>
          <w:iCs/>
        </w:rPr>
        <w:t>Research policy</w:t>
      </w:r>
      <w:r w:rsidRPr="007B3DEE">
        <w:t>, </w:t>
      </w:r>
      <w:r w:rsidRPr="007B3DEE">
        <w:rPr>
          <w:i/>
          <w:iCs/>
        </w:rPr>
        <w:t>40</w:t>
      </w:r>
      <w:r w:rsidRPr="007B3DEE">
        <w:t>(4), 539-552</w:t>
      </w:r>
      <w:r>
        <w:t xml:space="preserve">; </w:t>
      </w:r>
      <w:r w:rsidRPr="00705375">
        <w:t>Bikard, M., &amp; Marx, M. (2020). Bridging academia and industry: How geographic hubs connect university science and corporate technology. </w:t>
      </w:r>
      <w:r w:rsidRPr="00705375">
        <w:rPr>
          <w:i/>
          <w:iCs/>
        </w:rPr>
        <w:t>Management Science</w:t>
      </w:r>
      <w:r w:rsidRPr="00705375">
        <w:t>, </w:t>
      </w:r>
      <w:r w:rsidRPr="00705375">
        <w:rPr>
          <w:i/>
          <w:iCs/>
        </w:rPr>
        <w:t>66</w:t>
      </w:r>
      <w:r w:rsidRPr="00705375">
        <w:t>(8), 3425-3443.</w:t>
      </w:r>
    </w:p>
  </w:footnote>
  <w:footnote w:id="187">
    <w:p w14:paraId="1AC50883" w14:textId="22383450" w:rsidR="00697763" w:rsidRPr="009E1B69" w:rsidRDefault="00697763" w:rsidP="00662845">
      <w:pPr>
        <w:pStyle w:val="FootnoteText"/>
        <w:spacing w:before="0"/>
        <w:ind w:left="357" w:hanging="357"/>
        <w:rPr>
          <w:lang w:val="en-IE"/>
        </w:rPr>
      </w:pPr>
      <w:r>
        <w:rPr>
          <w:rStyle w:val="FootnoteReference"/>
        </w:rPr>
        <w:footnoteRef/>
      </w:r>
      <w:r>
        <w:t xml:space="preserve"> </w:t>
      </w:r>
      <w:r w:rsidR="00FF392A">
        <w:tab/>
      </w:r>
      <w:r w:rsidRPr="00771DE7">
        <w:t>Youtie, J., &amp; Shapira, P. (2008). Building an innovation hub: A case study of the transformation of university roles in regional technological and economic development. </w:t>
      </w:r>
      <w:r w:rsidRPr="00771DE7">
        <w:rPr>
          <w:i/>
          <w:iCs/>
        </w:rPr>
        <w:t>Research policy</w:t>
      </w:r>
      <w:r w:rsidRPr="00771DE7">
        <w:t>, </w:t>
      </w:r>
      <w:r w:rsidRPr="00771DE7">
        <w:rPr>
          <w:i/>
          <w:iCs/>
        </w:rPr>
        <w:t>37</w:t>
      </w:r>
      <w:r w:rsidRPr="00771DE7">
        <w:t>(8), 1188-1204.</w:t>
      </w:r>
      <w:r>
        <w:t xml:space="preserve"> </w:t>
      </w:r>
    </w:p>
  </w:footnote>
  <w:footnote w:id="188">
    <w:p w14:paraId="1F835196" w14:textId="4B18624D" w:rsidR="008555E2" w:rsidRPr="0028115E" w:rsidRDefault="008555E2" w:rsidP="00662845">
      <w:pPr>
        <w:pStyle w:val="FootnoteText"/>
        <w:spacing w:before="0"/>
      </w:pPr>
      <w:r>
        <w:rPr>
          <w:rStyle w:val="FootnoteReference"/>
        </w:rPr>
        <w:footnoteRef/>
      </w:r>
      <w:r>
        <w:t xml:space="preserve"> There is ample evidence that demonstrates that uncertainty severely hampers private investment in environmental and climate innovation and deployment. For example: “</w:t>
      </w:r>
      <w:r w:rsidRPr="008425D4">
        <w:t>green investments may be particularly exposed to high levels of uncertainty related to potential failures of new green technologies and innovations, supply chain disruptions and unforeseen changes in regulatory and policy frameworks, all of which increase risks for banks and financial investors</w:t>
      </w:r>
      <w:r>
        <w:t>” (</w:t>
      </w:r>
      <w:hyperlink r:id="rId49" w:history="1">
        <w:r w:rsidRPr="00935798">
          <w:rPr>
            <w:rStyle w:val="Hyperlink"/>
            <w:lang w:val="en-IE"/>
          </w:rPr>
          <w:t>Nerlich, C. et al. (2025</w:t>
        </w:r>
      </w:hyperlink>
      <w:r>
        <w:rPr>
          <w:lang w:val="en-IE"/>
        </w:rPr>
        <w:t>)</w:t>
      </w:r>
      <w:r w:rsidR="00935798">
        <w:rPr>
          <w:lang w:val="en-IE"/>
        </w:rPr>
        <w:t xml:space="preserve">, </w:t>
      </w:r>
      <w:r>
        <w:rPr>
          <w:lang w:val="en-IE"/>
        </w:rPr>
        <w:t>page 46</w:t>
      </w:r>
      <w:r w:rsidRPr="0028115E">
        <w:t>).</w:t>
      </w:r>
      <w:r>
        <w:t xml:space="preserve"> Additional evidence suggests that “</w:t>
      </w:r>
      <w:r w:rsidRPr="0014095C">
        <w:t>abrupt policy changes generate substantial uncertainty, making it difficult to anticipate how the regulatory framework will unfold in the future. Faced with high levels of uncertainty about future environmental and climate policy, firms and investors may prefer to adopt a wait-and-see behavior and refrain from investing in the low-carbon economy</w:t>
      </w:r>
      <w:r>
        <w:t xml:space="preserve">” (Noailly, K. et al. (2022). Does environmental policy uncertainty hinder investments towards a low-carbon </w:t>
      </w:r>
      <w:r w:rsidR="00F03E9A">
        <w:t>economy?</w:t>
      </w:r>
      <w:r>
        <w:t xml:space="preserve"> NBER Working Paper Series. Similarly, “c</w:t>
      </w:r>
      <w:r w:rsidRPr="006079FA">
        <w:t>hanges in numerous “support schemes”, including FIT, tax credits, guarantees, and other government support mechanisms, have discouraged some investors</w:t>
      </w:r>
      <w:r>
        <w:t xml:space="preserve">” (Block, E. (2012). </w:t>
      </w:r>
      <w:r w:rsidRPr="006079FA">
        <w:t>Finance, forecasts and predictability</w:t>
      </w:r>
      <w:r>
        <w:t xml:space="preserve">, </w:t>
      </w:r>
      <w:r w:rsidRPr="006079FA">
        <w:t>Renewable Energy Focus</w:t>
      </w:r>
      <w:r>
        <w:t xml:space="preserve"> 5(13).</w:t>
      </w:r>
    </w:p>
  </w:footnote>
  <w:footnote w:id="189">
    <w:p w14:paraId="50464E6C" w14:textId="25A5685F" w:rsidR="32B832EE" w:rsidRPr="00BD44A6" w:rsidRDefault="32B832EE" w:rsidP="00BD44A6">
      <w:pPr>
        <w:spacing w:before="0" w:after="0" w:line="257" w:lineRule="auto"/>
        <w:rPr>
          <w:rFonts w:eastAsia="Times New Roman"/>
          <w:i/>
          <w:iCs/>
          <w:color w:val="00B050"/>
          <w:highlight w:val="yellow"/>
        </w:rPr>
      </w:pPr>
      <w:r w:rsidRPr="00662845">
        <w:rPr>
          <w:sz w:val="20"/>
          <w:szCs w:val="20"/>
          <w:vertAlign w:val="superscript"/>
        </w:rPr>
        <w:footnoteRef/>
      </w:r>
      <w:r w:rsidR="2A201376" w:rsidRPr="00662845">
        <w:rPr>
          <w:vertAlign w:val="superscript"/>
        </w:rPr>
        <w:t xml:space="preserve"> </w:t>
      </w:r>
      <w:r w:rsidR="2A201376" w:rsidRPr="00662845">
        <w:rPr>
          <w:rFonts w:eastAsiaTheme="minorEastAsia"/>
          <w:sz w:val="20"/>
          <w:szCs w:val="20"/>
        </w:rPr>
        <w:t xml:space="preserve">The assessment in the comparison table below is based on </w:t>
      </w:r>
      <w:r w:rsidR="2A201376" w:rsidRPr="3CCF3686">
        <w:rPr>
          <w:rFonts w:eastAsia="Times New Roman"/>
          <w:sz w:val="20"/>
          <w:szCs w:val="20"/>
        </w:rPr>
        <w:t xml:space="preserve">the </w:t>
      </w:r>
      <w:r w:rsidR="00700450" w:rsidRPr="00700450">
        <w:rPr>
          <w:rFonts w:eastAsia="Times New Roman"/>
          <w:sz w:val="20"/>
          <w:szCs w:val="20"/>
        </w:rPr>
        <w:t>analysis</w:t>
      </w:r>
      <w:r w:rsidR="2A201376" w:rsidRPr="3CCF3686">
        <w:rPr>
          <w:rFonts w:eastAsia="Times New Roman"/>
          <w:sz w:val="20"/>
          <w:szCs w:val="20"/>
        </w:rPr>
        <w:t xml:space="preserve"> provided by the supporting study which takes into </w:t>
      </w:r>
      <w:r w:rsidR="154C53B1" w:rsidRPr="3CCF3686">
        <w:rPr>
          <w:rFonts w:eastAsia="Times New Roman"/>
          <w:sz w:val="20"/>
          <w:szCs w:val="20"/>
        </w:rPr>
        <w:t xml:space="preserve">consideration </w:t>
      </w:r>
      <w:r w:rsidR="00434902" w:rsidRPr="00662845">
        <w:rPr>
          <w:rFonts w:eastAsia="Times New Roman"/>
          <w:sz w:val="20"/>
          <w:szCs w:val="20"/>
        </w:rPr>
        <w:t xml:space="preserve">the </w:t>
      </w:r>
      <w:r w:rsidR="0788EA1B" w:rsidRPr="00662845">
        <w:rPr>
          <w:rFonts w:eastAsia="Times New Roman"/>
          <w:sz w:val="20"/>
          <w:szCs w:val="20"/>
        </w:rPr>
        <w:t>following</w:t>
      </w:r>
      <w:r w:rsidR="154C53B1" w:rsidRPr="00662845">
        <w:rPr>
          <w:rFonts w:eastAsiaTheme="minorEastAsia"/>
          <w:sz w:val="20"/>
          <w:szCs w:val="20"/>
        </w:rPr>
        <w:t xml:space="preserve"> elements: Direct economic benefits, incl. continuity of funding, ease of access to finance, ease of reallocation of funds; Indirect economic benefits, incl. strategic coherence with EU priorities; Direct/indirect non-monetary benefits.</w:t>
      </w:r>
    </w:p>
  </w:footnote>
  <w:footnote w:id="190">
    <w:p w14:paraId="4A0B9E9B" w14:textId="4CC794BD" w:rsidR="00FD5B0A" w:rsidRPr="00FD5B0A" w:rsidRDefault="00FD5B0A" w:rsidP="00FF392A">
      <w:pPr>
        <w:pStyle w:val="FootnoteText"/>
        <w:spacing w:before="30" w:after="30"/>
        <w:ind w:left="357" w:hanging="357"/>
      </w:pPr>
      <w:r>
        <w:rPr>
          <w:rStyle w:val="FootnoteReference"/>
        </w:rPr>
        <w:footnoteRef/>
      </w:r>
      <w:r>
        <w:t xml:space="preserve"> </w:t>
      </w:r>
      <w:r w:rsidR="00FF392A">
        <w:tab/>
      </w:r>
      <w:r w:rsidRPr="00FD5B0A">
        <w:t>A new European Defence Industrial Strategy: Achieving EU readiness through a responsive and resilient European Defence Industry</w:t>
      </w:r>
      <w:r>
        <w:t>.</w:t>
      </w:r>
    </w:p>
  </w:footnote>
  <w:footnote w:id="191">
    <w:p w14:paraId="395E6189" w14:textId="6E7D0221" w:rsidR="002513FF" w:rsidRPr="00BB184A" w:rsidRDefault="002513FF" w:rsidP="00FF392A">
      <w:pPr>
        <w:pStyle w:val="FootnoteText"/>
        <w:spacing w:before="30" w:after="30"/>
        <w:ind w:left="357" w:hanging="357"/>
        <w:rPr>
          <w:lang w:val="en-US"/>
        </w:rPr>
      </w:pPr>
      <w:r>
        <w:rPr>
          <w:rStyle w:val="FootnoteReference"/>
        </w:rPr>
        <w:footnoteRef/>
      </w:r>
      <w:r>
        <w:t xml:space="preserve"> </w:t>
      </w:r>
      <w:r w:rsidR="00FF392A">
        <w:tab/>
      </w:r>
      <w:r w:rsidR="00CA4464">
        <w:t xml:space="preserve">European Commission (2025): Competitiveness Fund: </w:t>
      </w:r>
      <w:r w:rsidR="00CA4464" w:rsidRPr="00764210">
        <w:t>Assessment of costs and benefits and comparison of options</w:t>
      </w:r>
      <w:r w:rsidR="00CA4464" w:rsidRPr="00BB184A">
        <w:rPr>
          <w:highlight w:val="yellow"/>
          <w:lang w:val="en-US"/>
        </w:rPr>
        <w:t xml:space="preserve"> </w:t>
      </w:r>
    </w:p>
  </w:footnote>
  <w:footnote w:id="192">
    <w:p w14:paraId="5A2A5BB9" w14:textId="629E5057" w:rsidR="006D40A7" w:rsidRPr="00562F89" w:rsidRDefault="006D40A7" w:rsidP="00FF392A">
      <w:pPr>
        <w:pStyle w:val="FootnoteText"/>
        <w:spacing w:before="30" w:after="30"/>
        <w:ind w:left="357" w:hanging="357"/>
        <w:rPr>
          <w:lang w:val="en-US"/>
        </w:rPr>
      </w:pPr>
      <w:r>
        <w:rPr>
          <w:rStyle w:val="FootnoteReference"/>
        </w:rPr>
        <w:footnoteRef/>
      </w:r>
      <w:r w:rsidRPr="00562F89">
        <w:rPr>
          <w:lang w:val="en-US"/>
        </w:rPr>
        <w:t xml:space="preserve"> </w:t>
      </w:r>
      <w:r w:rsidR="00FF392A" w:rsidRPr="00562F89">
        <w:rPr>
          <w:lang w:val="en-US"/>
        </w:rPr>
        <w:tab/>
      </w:r>
      <w:r w:rsidRPr="00562F89">
        <w:rPr>
          <w:lang w:val="en-US"/>
        </w:rPr>
        <w:t xml:space="preserve">Synopsis report. </w:t>
      </w:r>
    </w:p>
  </w:footnote>
  <w:footnote w:id="193">
    <w:p w14:paraId="60E277E0" w14:textId="1CFAF539" w:rsidR="00DB681E" w:rsidRPr="00562F89" w:rsidRDefault="00DB681E" w:rsidP="00FF392A">
      <w:pPr>
        <w:pStyle w:val="FootnoteText"/>
        <w:spacing w:before="30" w:after="30"/>
        <w:ind w:left="357" w:hanging="357"/>
        <w:rPr>
          <w:lang w:val="en-US"/>
        </w:rPr>
      </w:pPr>
      <w:r>
        <w:rPr>
          <w:rStyle w:val="FootnoteReference"/>
        </w:rPr>
        <w:footnoteRef/>
      </w:r>
      <w:r w:rsidRPr="00562F89">
        <w:rPr>
          <w:lang w:val="en-US"/>
        </w:rPr>
        <w:t xml:space="preserve"> </w:t>
      </w:r>
      <w:r w:rsidR="00FF392A" w:rsidRPr="00562F89">
        <w:rPr>
          <w:lang w:val="en-US"/>
        </w:rPr>
        <w:tab/>
      </w:r>
      <w:hyperlink r:id="rId50" w:history="1">
        <w:r w:rsidRPr="00562F89">
          <w:rPr>
            <w:rStyle w:val="Hyperlink"/>
            <w:lang w:val="en-US"/>
          </w:rPr>
          <w:t>Excellent Science</w:t>
        </w:r>
      </w:hyperlink>
      <w:r w:rsidRPr="00562F89">
        <w:rPr>
          <w:lang w:val="en-US"/>
        </w:rPr>
        <w:t xml:space="preserve">:, </w:t>
      </w:r>
      <w:hyperlink r:id="rId51" w:history="1">
        <w:r w:rsidRPr="00562F89">
          <w:rPr>
            <w:rStyle w:val="Hyperlink"/>
            <w:lang w:val="en-US"/>
          </w:rPr>
          <w:t>Resilient Europe</w:t>
        </w:r>
      </w:hyperlink>
      <w:r w:rsidRPr="00562F89">
        <w:rPr>
          <w:lang w:val="en-US"/>
        </w:rPr>
        <w:t xml:space="preserve">: </w:t>
      </w:r>
      <w:hyperlink r:id="rId52" w:history="1">
        <w:r w:rsidRPr="00562F89">
          <w:rPr>
            <w:rStyle w:val="Hyperlink"/>
            <w:lang w:val="en-US"/>
          </w:rPr>
          <w:t>Digital &amp; Industrial Transition</w:t>
        </w:r>
      </w:hyperlink>
      <w:r w:rsidRPr="00562F89">
        <w:rPr>
          <w:lang w:val="en-US"/>
        </w:rPr>
        <w:t xml:space="preserve">:, </w:t>
      </w:r>
      <w:hyperlink r:id="rId53" w:history="1">
        <w:r w:rsidRPr="00562F89">
          <w:rPr>
            <w:rStyle w:val="Hyperlink"/>
            <w:lang w:val="en-US"/>
          </w:rPr>
          <w:t>Green Transition</w:t>
        </w:r>
      </w:hyperlink>
      <w:r w:rsidRPr="00562F89">
        <w:rPr>
          <w:lang w:val="en-US"/>
        </w:rPr>
        <w:t xml:space="preserve">:, </w:t>
      </w:r>
      <w:hyperlink r:id="rId54" w:history="1">
        <w:r w:rsidRPr="00562F89">
          <w:rPr>
            <w:rStyle w:val="Hyperlink"/>
            <w:lang w:val="en-US"/>
          </w:rPr>
          <w:t>Innovative Europe</w:t>
        </w:r>
      </w:hyperlink>
      <w:r w:rsidR="0003617B" w:rsidRPr="00562F89">
        <w:rPr>
          <w:lang w:val="en-US"/>
        </w:rPr>
        <w:t xml:space="preserve"> (2024)</w:t>
      </w:r>
    </w:p>
  </w:footnote>
  <w:footnote w:id="194">
    <w:p w14:paraId="6B1DBAAB" w14:textId="57240C5B" w:rsidR="00DB681E" w:rsidRPr="00C324BD" w:rsidRDefault="00DB681E" w:rsidP="00FF392A">
      <w:pPr>
        <w:pStyle w:val="FootnoteText"/>
        <w:spacing w:before="30" w:after="30"/>
        <w:ind w:left="357" w:hanging="357"/>
        <w:rPr>
          <w:lang w:val="en-IE"/>
        </w:rPr>
      </w:pPr>
      <w:r>
        <w:rPr>
          <w:rStyle w:val="FootnoteReference"/>
        </w:rPr>
        <w:footnoteRef/>
      </w:r>
      <w:r>
        <w:t xml:space="preserve"> </w:t>
      </w:r>
      <w:r w:rsidR="00FF392A">
        <w:tab/>
      </w:r>
      <w:r>
        <w:rPr>
          <w:rFonts w:eastAsia="Times New Roman"/>
        </w:rPr>
        <w:t>R</w:t>
      </w:r>
      <w:r w:rsidRPr="2A1AD167">
        <w:rPr>
          <w:rFonts w:eastAsia="Times New Roman"/>
          <w:lang w:val="en-US"/>
        </w:rPr>
        <w:t>eaching as high as 60% of respondents in Pillars I and III</w:t>
      </w:r>
      <w:r>
        <w:rPr>
          <w:rFonts w:eastAsia="Times New Roman"/>
          <w:lang w:val="en-US"/>
        </w:rPr>
        <w:t>. Source:</w:t>
      </w:r>
      <w:r>
        <w:t xml:space="preserve"> Survey of beneficiaries, May-July 2023. </w:t>
      </w:r>
    </w:p>
  </w:footnote>
  <w:footnote w:id="195">
    <w:p w14:paraId="6E8F1A58" w14:textId="7C72B203" w:rsidR="00DB681E" w:rsidRPr="00C324BD" w:rsidRDefault="00DB681E" w:rsidP="00FF392A">
      <w:pPr>
        <w:pStyle w:val="FootnoteText"/>
        <w:spacing w:before="30" w:after="30"/>
        <w:ind w:left="357" w:hanging="357"/>
        <w:rPr>
          <w:lang w:val="en-IE"/>
        </w:rPr>
      </w:pPr>
      <w:r>
        <w:rPr>
          <w:rStyle w:val="FootnoteReference"/>
        </w:rPr>
        <w:footnoteRef/>
      </w:r>
      <w:r>
        <w:t xml:space="preserve"> </w:t>
      </w:r>
      <w:r w:rsidR="00FF392A">
        <w:tab/>
      </w:r>
      <w:r w:rsidRPr="00C324BD">
        <w:t>European Commission, Biennial Monitoring Report (BMR), 2024, p. 37</w:t>
      </w:r>
    </w:p>
  </w:footnote>
  <w:footnote w:id="196">
    <w:p w14:paraId="01B757B9" w14:textId="26789ED9" w:rsidR="00127AC3" w:rsidRPr="000E6483" w:rsidRDefault="00127AC3" w:rsidP="00FF392A">
      <w:pPr>
        <w:pStyle w:val="FootnoteText"/>
        <w:spacing w:before="30" w:after="30"/>
        <w:ind w:left="357" w:hanging="357"/>
        <w:rPr>
          <w:lang w:val="en-US"/>
        </w:rPr>
      </w:pPr>
      <w:r>
        <w:rPr>
          <w:rStyle w:val="FootnoteReference"/>
        </w:rPr>
        <w:footnoteRef/>
      </w:r>
      <w:r w:rsidRPr="000E6483">
        <w:rPr>
          <w:lang w:val="en-US"/>
        </w:rPr>
        <w:t xml:space="preserve"> </w:t>
      </w:r>
      <w:r w:rsidR="00FF392A">
        <w:rPr>
          <w:lang w:val="en-US"/>
        </w:rPr>
        <w:tab/>
      </w:r>
      <w:r w:rsidRPr="000E6483">
        <w:rPr>
          <w:lang w:val="en-US"/>
        </w:rPr>
        <w:t>According to the Horizon Europe Interim Evaluation, the average TTG in Horizon Europe is currently 240 days, with 77% of grants signed on time. The annual TTG figures for Horizon Europe over the last three years show a progressive improvement: 135 days in 2021 (for 18 grants), 249 days in 2022 (4 092 grants), 239 days in 2023 (3 641 grants), and 229 days in 2024 (3 122 grants).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2DE9F" w14:textId="77777777" w:rsidR="00620872" w:rsidRPr="00620872" w:rsidRDefault="00620872" w:rsidP="00620872">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D9DD" w14:textId="77777777" w:rsidR="00620872" w:rsidRPr="00620872" w:rsidRDefault="00620872" w:rsidP="00620872">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80E3" w14:textId="77777777" w:rsidR="00620872" w:rsidRPr="00620872" w:rsidRDefault="00620872" w:rsidP="00620872">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1650F" w14:textId="77777777" w:rsidR="00CB14B2" w:rsidRDefault="00CB14B2" w:rsidP="000E30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C1C3" w14:textId="77777777" w:rsidR="00CB14B2" w:rsidRDefault="00CB14B2" w:rsidP="000E30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8A40" w14:textId="77777777" w:rsidR="00CB14B2" w:rsidRDefault="00CB14B2" w:rsidP="000E308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FEA5" w14:textId="77777777" w:rsidR="00E64564" w:rsidRDefault="00E64564" w:rsidP="000E30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2697D" w14:textId="77777777" w:rsidR="00E64564" w:rsidRDefault="00E64564" w:rsidP="000E3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758D"/>
    <w:multiLevelType w:val="multilevel"/>
    <w:tmpl w:val="C168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834159"/>
    <w:multiLevelType w:val="multilevel"/>
    <w:tmpl w:val="6F1C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C65599"/>
    <w:multiLevelType w:val="multilevel"/>
    <w:tmpl w:val="3A72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5A1BFB"/>
    <w:multiLevelType w:val="multilevel"/>
    <w:tmpl w:val="4CA4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E28EF8"/>
    <w:multiLevelType w:val="hybridMultilevel"/>
    <w:tmpl w:val="B5167B5E"/>
    <w:lvl w:ilvl="0" w:tplc="3496C9CC">
      <w:start w:val="1"/>
      <w:numFmt w:val="bullet"/>
      <w:lvlText w:val=""/>
      <w:lvlJc w:val="left"/>
      <w:pPr>
        <w:ind w:left="720" w:hanging="360"/>
      </w:pPr>
      <w:rPr>
        <w:rFonts w:ascii="Symbol" w:hAnsi="Symbol" w:hint="default"/>
      </w:rPr>
    </w:lvl>
    <w:lvl w:ilvl="1" w:tplc="507E7EAC">
      <w:start w:val="1"/>
      <w:numFmt w:val="bullet"/>
      <w:lvlText w:val="o"/>
      <w:lvlJc w:val="left"/>
      <w:pPr>
        <w:ind w:left="1440" w:hanging="360"/>
      </w:pPr>
      <w:rPr>
        <w:rFonts w:ascii="Courier New" w:hAnsi="Courier New" w:hint="default"/>
      </w:rPr>
    </w:lvl>
    <w:lvl w:ilvl="2" w:tplc="1B9236EE">
      <w:start w:val="1"/>
      <w:numFmt w:val="bullet"/>
      <w:lvlText w:val=""/>
      <w:lvlJc w:val="left"/>
      <w:pPr>
        <w:ind w:left="2160" w:hanging="360"/>
      </w:pPr>
      <w:rPr>
        <w:rFonts w:ascii="Wingdings" w:hAnsi="Wingdings" w:hint="default"/>
      </w:rPr>
    </w:lvl>
    <w:lvl w:ilvl="3" w:tplc="AB58D886">
      <w:start w:val="1"/>
      <w:numFmt w:val="bullet"/>
      <w:lvlText w:val=""/>
      <w:lvlJc w:val="left"/>
      <w:pPr>
        <w:ind w:left="2880" w:hanging="360"/>
      </w:pPr>
      <w:rPr>
        <w:rFonts w:ascii="Symbol" w:hAnsi="Symbol" w:hint="default"/>
      </w:rPr>
    </w:lvl>
    <w:lvl w:ilvl="4" w:tplc="0C127522">
      <w:start w:val="1"/>
      <w:numFmt w:val="bullet"/>
      <w:lvlText w:val="o"/>
      <w:lvlJc w:val="left"/>
      <w:pPr>
        <w:ind w:left="3600" w:hanging="360"/>
      </w:pPr>
      <w:rPr>
        <w:rFonts w:ascii="Courier New" w:hAnsi="Courier New" w:hint="default"/>
      </w:rPr>
    </w:lvl>
    <w:lvl w:ilvl="5" w:tplc="35DC99B0">
      <w:start w:val="1"/>
      <w:numFmt w:val="bullet"/>
      <w:lvlText w:val=""/>
      <w:lvlJc w:val="left"/>
      <w:pPr>
        <w:ind w:left="4320" w:hanging="360"/>
      </w:pPr>
      <w:rPr>
        <w:rFonts w:ascii="Wingdings" w:hAnsi="Wingdings" w:hint="default"/>
      </w:rPr>
    </w:lvl>
    <w:lvl w:ilvl="6" w:tplc="98DA5176">
      <w:start w:val="1"/>
      <w:numFmt w:val="bullet"/>
      <w:lvlText w:val=""/>
      <w:lvlJc w:val="left"/>
      <w:pPr>
        <w:ind w:left="5040" w:hanging="360"/>
      </w:pPr>
      <w:rPr>
        <w:rFonts w:ascii="Symbol" w:hAnsi="Symbol" w:hint="default"/>
      </w:rPr>
    </w:lvl>
    <w:lvl w:ilvl="7" w:tplc="829E8426">
      <w:start w:val="1"/>
      <w:numFmt w:val="bullet"/>
      <w:lvlText w:val="o"/>
      <w:lvlJc w:val="left"/>
      <w:pPr>
        <w:ind w:left="5760" w:hanging="360"/>
      </w:pPr>
      <w:rPr>
        <w:rFonts w:ascii="Courier New" w:hAnsi="Courier New" w:hint="default"/>
      </w:rPr>
    </w:lvl>
    <w:lvl w:ilvl="8" w:tplc="34946F6C">
      <w:start w:val="1"/>
      <w:numFmt w:val="bullet"/>
      <w:lvlText w:val=""/>
      <w:lvlJc w:val="left"/>
      <w:pPr>
        <w:ind w:left="6480" w:hanging="360"/>
      </w:pPr>
      <w:rPr>
        <w:rFonts w:ascii="Wingdings" w:hAnsi="Wingdings" w:hint="default"/>
      </w:rPr>
    </w:lvl>
  </w:abstractNum>
  <w:abstractNum w:abstractNumId="5" w15:restartNumberingAfterBreak="0">
    <w:nsid w:val="0C48CD11"/>
    <w:multiLevelType w:val="hybridMultilevel"/>
    <w:tmpl w:val="996EA9F2"/>
    <w:lvl w:ilvl="0" w:tplc="4E6609AC">
      <w:start w:val="1"/>
      <w:numFmt w:val="bullet"/>
      <w:lvlText w:val=""/>
      <w:lvlJc w:val="left"/>
      <w:pPr>
        <w:ind w:left="720" w:hanging="360"/>
      </w:pPr>
      <w:rPr>
        <w:rFonts w:ascii="Symbol" w:hAnsi="Symbol" w:hint="default"/>
      </w:rPr>
    </w:lvl>
    <w:lvl w:ilvl="1" w:tplc="44C0E1CC">
      <w:start w:val="1"/>
      <w:numFmt w:val="bullet"/>
      <w:lvlText w:val="o"/>
      <w:lvlJc w:val="left"/>
      <w:pPr>
        <w:ind w:left="1440" w:hanging="360"/>
      </w:pPr>
      <w:rPr>
        <w:rFonts w:ascii="Courier New" w:hAnsi="Courier New" w:hint="default"/>
      </w:rPr>
    </w:lvl>
    <w:lvl w:ilvl="2" w:tplc="EBB62964">
      <w:start w:val="1"/>
      <w:numFmt w:val="bullet"/>
      <w:lvlText w:val=""/>
      <w:lvlJc w:val="left"/>
      <w:pPr>
        <w:ind w:left="2160" w:hanging="360"/>
      </w:pPr>
      <w:rPr>
        <w:rFonts w:ascii="Wingdings" w:hAnsi="Wingdings" w:hint="default"/>
      </w:rPr>
    </w:lvl>
    <w:lvl w:ilvl="3" w:tplc="37C04978">
      <w:start w:val="1"/>
      <w:numFmt w:val="bullet"/>
      <w:lvlText w:val=""/>
      <w:lvlJc w:val="left"/>
      <w:pPr>
        <w:ind w:left="2880" w:hanging="360"/>
      </w:pPr>
      <w:rPr>
        <w:rFonts w:ascii="Symbol" w:hAnsi="Symbol" w:hint="default"/>
      </w:rPr>
    </w:lvl>
    <w:lvl w:ilvl="4" w:tplc="CE9A83BE">
      <w:start w:val="1"/>
      <w:numFmt w:val="bullet"/>
      <w:lvlText w:val="o"/>
      <w:lvlJc w:val="left"/>
      <w:pPr>
        <w:ind w:left="3600" w:hanging="360"/>
      </w:pPr>
      <w:rPr>
        <w:rFonts w:ascii="Courier New" w:hAnsi="Courier New" w:hint="default"/>
      </w:rPr>
    </w:lvl>
    <w:lvl w:ilvl="5" w:tplc="72324A02">
      <w:start w:val="1"/>
      <w:numFmt w:val="bullet"/>
      <w:lvlText w:val=""/>
      <w:lvlJc w:val="left"/>
      <w:pPr>
        <w:ind w:left="4320" w:hanging="360"/>
      </w:pPr>
      <w:rPr>
        <w:rFonts w:ascii="Wingdings" w:hAnsi="Wingdings" w:hint="default"/>
      </w:rPr>
    </w:lvl>
    <w:lvl w:ilvl="6" w:tplc="A15E3E7C">
      <w:start w:val="1"/>
      <w:numFmt w:val="bullet"/>
      <w:lvlText w:val=""/>
      <w:lvlJc w:val="left"/>
      <w:pPr>
        <w:ind w:left="5040" w:hanging="360"/>
      </w:pPr>
      <w:rPr>
        <w:rFonts w:ascii="Symbol" w:hAnsi="Symbol" w:hint="default"/>
      </w:rPr>
    </w:lvl>
    <w:lvl w:ilvl="7" w:tplc="76925D7E">
      <w:start w:val="1"/>
      <w:numFmt w:val="bullet"/>
      <w:lvlText w:val="o"/>
      <w:lvlJc w:val="left"/>
      <w:pPr>
        <w:ind w:left="5760" w:hanging="360"/>
      </w:pPr>
      <w:rPr>
        <w:rFonts w:ascii="Courier New" w:hAnsi="Courier New" w:hint="default"/>
      </w:rPr>
    </w:lvl>
    <w:lvl w:ilvl="8" w:tplc="1A3E3222">
      <w:start w:val="1"/>
      <w:numFmt w:val="bullet"/>
      <w:lvlText w:val=""/>
      <w:lvlJc w:val="left"/>
      <w:pPr>
        <w:ind w:left="6480" w:hanging="360"/>
      </w:pPr>
      <w:rPr>
        <w:rFonts w:ascii="Wingdings" w:hAnsi="Wingdings" w:hint="default"/>
      </w:rPr>
    </w:lvl>
  </w:abstractNum>
  <w:abstractNum w:abstractNumId="6" w15:restartNumberingAfterBreak="0">
    <w:nsid w:val="0D7D36A6"/>
    <w:multiLevelType w:val="multilevel"/>
    <w:tmpl w:val="7868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255701"/>
    <w:multiLevelType w:val="multilevel"/>
    <w:tmpl w:val="14E6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A868F7"/>
    <w:multiLevelType w:val="multilevel"/>
    <w:tmpl w:val="5370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035EC5"/>
    <w:multiLevelType w:val="multilevel"/>
    <w:tmpl w:val="F0A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5F713E"/>
    <w:multiLevelType w:val="multilevel"/>
    <w:tmpl w:val="5C16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196D03"/>
    <w:multiLevelType w:val="multilevel"/>
    <w:tmpl w:val="9020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4744B8"/>
    <w:multiLevelType w:val="multilevel"/>
    <w:tmpl w:val="FE42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63847A"/>
    <w:multiLevelType w:val="hybridMultilevel"/>
    <w:tmpl w:val="8758B4BE"/>
    <w:lvl w:ilvl="0" w:tplc="7CC4E77E">
      <w:start w:val="1"/>
      <w:numFmt w:val="bullet"/>
      <w:lvlText w:val=""/>
      <w:lvlJc w:val="left"/>
      <w:pPr>
        <w:ind w:left="720" w:hanging="360"/>
      </w:pPr>
      <w:rPr>
        <w:rFonts w:ascii="Symbol" w:hAnsi="Symbol" w:hint="default"/>
      </w:rPr>
    </w:lvl>
    <w:lvl w:ilvl="1" w:tplc="4F9C7390">
      <w:start w:val="1"/>
      <w:numFmt w:val="bullet"/>
      <w:lvlText w:val="o"/>
      <w:lvlJc w:val="left"/>
      <w:pPr>
        <w:ind w:left="1440" w:hanging="360"/>
      </w:pPr>
      <w:rPr>
        <w:rFonts w:ascii="Courier New" w:hAnsi="Courier New" w:hint="default"/>
      </w:rPr>
    </w:lvl>
    <w:lvl w:ilvl="2" w:tplc="BD52646E">
      <w:start w:val="1"/>
      <w:numFmt w:val="bullet"/>
      <w:lvlText w:val=""/>
      <w:lvlJc w:val="left"/>
      <w:pPr>
        <w:ind w:left="2160" w:hanging="360"/>
      </w:pPr>
      <w:rPr>
        <w:rFonts w:ascii="Wingdings" w:hAnsi="Wingdings" w:hint="default"/>
      </w:rPr>
    </w:lvl>
    <w:lvl w:ilvl="3" w:tplc="6A28F410">
      <w:start w:val="1"/>
      <w:numFmt w:val="bullet"/>
      <w:lvlText w:val=""/>
      <w:lvlJc w:val="left"/>
      <w:pPr>
        <w:ind w:left="2880" w:hanging="360"/>
      </w:pPr>
      <w:rPr>
        <w:rFonts w:ascii="Symbol" w:hAnsi="Symbol" w:hint="default"/>
      </w:rPr>
    </w:lvl>
    <w:lvl w:ilvl="4" w:tplc="BECAE1F4">
      <w:start w:val="1"/>
      <w:numFmt w:val="bullet"/>
      <w:lvlText w:val="o"/>
      <w:lvlJc w:val="left"/>
      <w:pPr>
        <w:ind w:left="3600" w:hanging="360"/>
      </w:pPr>
      <w:rPr>
        <w:rFonts w:ascii="Courier New" w:hAnsi="Courier New" w:hint="default"/>
      </w:rPr>
    </w:lvl>
    <w:lvl w:ilvl="5" w:tplc="C91E03CE">
      <w:start w:val="1"/>
      <w:numFmt w:val="bullet"/>
      <w:lvlText w:val=""/>
      <w:lvlJc w:val="left"/>
      <w:pPr>
        <w:ind w:left="4320" w:hanging="360"/>
      </w:pPr>
      <w:rPr>
        <w:rFonts w:ascii="Wingdings" w:hAnsi="Wingdings" w:hint="default"/>
      </w:rPr>
    </w:lvl>
    <w:lvl w:ilvl="6" w:tplc="3E5489F4">
      <w:start w:val="1"/>
      <w:numFmt w:val="bullet"/>
      <w:lvlText w:val=""/>
      <w:lvlJc w:val="left"/>
      <w:pPr>
        <w:ind w:left="5040" w:hanging="360"/>
      </w:pPr>
      <w:rPr>
        <w:rFonts w:ascii="Symbol" w:hAnsi="Symbol" w:hint="default"/>
      </w:rPr>
    </w:lvl>
    <w:lvl w:ilvl="7" w:tplc="D874837A">
      <w:start w:val="1"/>
      <w:numFmt w:val="bullet"/>
      <w:lvlText w:val="o"/>
      <w:lvlJc w:val="left"/>
      <w:pPr>
        <w:ind w:left="5760" w:hanging="360"/>
      </w:pPr>
      <w:rPr>
        <w:rFonts w:ascii="Courier New" w:hAnsi="Courier New" w:hint="default"/>
      </w:rPr>
    </w:lvl>
    <w:lvl w:ilvl="8" w:tplc="8662F4D8">
      <w:start w:val="1"/>
      <w:numFmt w:val="bullet"/>
      <w:lvlText w:val=""/>
      <w:lvlJc w:val="left"/>
      <w:pPr>
        <w:ind w:left="6480" w:hanging="360"/>
      </w:pPr>
      <w:rPr>
        <w:rFonts w:ascii="Wingdings" w:hAnsi="Wingdings" w:hint="default"/>
      </w:rPr>
    </w:lvl>
  </w:abstractNum>
  <w:abstractNum w:abstractNumId="14" w15:restartNumberingAfterBreak="0">
    <w:nsid w:val="1BD037B8"/>
    <w:multiLevelType w:val="multilevel"/>
    <w:tmpl w:val="8F84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1D32F6"/>
    <w:multiLevelType w:val="hybridMultilevel"/>
    <w:tmpl w:val="2F648528"/>
    <w:lvl w:ilvl="0" w:tplc="9DE26976">
      <w:start w:val="14"/>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075306"/>
    <w:multiLevelType w:val="multilevel"/>
    <w:tmpl w:val="BAE6B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54321D"/>
    <w:multiLevelType w:val="multilevel"/>
    <w:tmpl w:val="69AE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734306"/>
    <w:multiLevelType w:val="multilevel"/>
    <w:tmpl w:val="8F285EB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95"/>
        </w:tabs>
        <w:ind w:left="1995"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200B1073"/>
    <w:multiLevelType w:val="multilevel"/>
    <w:tmpl w:val="7278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0E3330F"/>
    <w:multiLevelType w:val="hybridMultilevel"/>
    <w:tmpl w:val="B2B6A412"/>
    <w:lvl w:ilvl="0" w:tplc="C210620E">
      <w:start w:val="1"/>
      <w:numFmt w:val="bullet"/>
      <w:lvlText w:val=""/>
      <w:lvlJc w:val="left"/>
      <w:pPr>
        <w:ind w:left="720" w:hanging="360"/>
      </w:pPr>
      <w:rPr>
        <w:rFonts w:ascii="Symbol" w:hAnsi="Symbol" w:hint="default"/>
      </w:rPr>
    </w:lvl>
    <w:lvl w:ilvl="1" w:tplc="4F444166">
      <w:start w:val="1"/>
      <w:numFmt w:val="bullet"/>
      <w:lvlText w:val="o"/>
      <w:lvlJc w:val="left"/>
      <w:pPr>
        <w:ind w:left="1440" w:hanging="360"/>
      </w:pPr>
      <w:rPr>
        <w:rFonts w:ascii="Courier New" w:hAnsi="Courier New" w:hint="default"/>
      </w:rPr>
    </w:lvl>
    <w:lvl w:ilvl="2" w:tplc="7B76C3E2">
      <w:start w:val="1"/>
      <w:numFmt w:val="bullet"/>
      <w:lvlText w:val=""/>
      <w:lvlJc w:val="left"/>
      <w:pPr>
        <w:ind w:left="2160" w:hanging="360"/>
      </w:pPr>
      <w:rPr>
        <w:rFonts w:ascii="Wingdings" w:hAnsi="Wingdings" w:hint="default"/>
      </w:rPr>
    </w:lvl>
    <w:lvl w:ilvl="3" w:tplc="4A900794">
      <w:start w:val="1"/>
      <w:numFmt w:val="bullet"/>
      <w:lvlText w:val=""/>
      <w:lvlJc w:val="left"/>
      <w:pPr>
        <w:ind w:left="2880" w:hanging="360"/>
      </w:pPr>
      <w:rPr>
        <w:rFonts w:ascii="Symbol" w:hAnsi="Symbol" w:hint="default"/>
      </w:rPr>
    </w:lvl>
    <w:lvl w:ilvl="4" w:tplc="36D84DC0">
      <w:start w:val="1"/>
      <w:numFmt w:val="bullet"/>
      <w:lvlText w:val="o"/>
      <w:lvlJc w:val="left"/>
      <w:pPr>
        <w:ind w:left="3600" w:hanging="360"/>
      </w:pPr>
      <w:rPr>
        <w:rFonts w:ascii="Courier New" w:hAnsi="Courier New" w:hint="default"/>
      </w:rPr>
    </w:lvl>
    <w:lvl w:ilvl="5" w:tplc="43FC9178">
      <w:start w:val="1"/>
      <w:numFmt w:val="bullet"/>
      <w:lvlText w:val=""/>
      <w:lvlJc w:val="left"/>
      <w:pPr>
        <w:ind w:left="4320" w:hanging="360"/>
      </w:pPr>
      <w:rPr>
        <w:rFonts w:ascii="Wingdings" w:hAnsi="Wingdings" w:hint="default"/>
      </w:rPr>
    </w:lvl>
    <w:lvl w:ilvl="6" w:tplc="25826A30">
      <w:start w:val="1"/>
      <w:numFmt w:val="bullet"/>
      <w:lvlText w:val=""/>
      <w:lvlJc w:val="left"/>
      <w:pPr>
        <w:ind w:left="5040" w:hanging="360"/>
      </w:pPr>
      <w:rPr>
        <w:rFonts w:ascii="Symbol" w:hAnsi="Symbol" w:hint="default"/>
      </w:rPr>
    </w:lvl>
    <w:lvl w:ilvl="7" w:tplc="1F38265A">
      <w:start w:val="1"/>
      <w:numFmt w:val="bullet"/>
      <w:lvlText w:val="o"/>
      <w:lvlJc w:val="left"/>
      <w:pPr>
        <w:ind w:left="5760" w:hanging="360"/>
      </w:pPr>
      <w:rPr>
        <w:rFonts w:ascii="Courier New" w:hAnsi="Courier New" w:hint="default"/>
      </w:rPr>
    </w:lvl>
    <w:lvl w:ilvl="8" w:tplc="A9C2E382">
      <w:start w:val="1"/>
      <w:numFmt w:val="bullet"/>
      <w:lvlText w:val=""/>
      <w:lvlJc w:val="left"/>
      <w:pPr>
        <w:ind w:left="6480" w:hanging="360"/>
      </w:pPr>
      <w:rPr>
        <w:rFonts w:ascii="Wingdings" w:hAnsi="Wingdings" w:hint="default"/>
      </w:rPr>
    </w:lvl>
  </w:abstractNum>
  <w:abstractNum w:abstractNumId="21" w15:restartNumberingAfterBreak="0">
    <w:nsid w:val="21167D0B"/>
    <w:multiLevelType w:val="multilevel"/>
    <w:tmpl w:val="A7C0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3305E03"/>
    <w:multiLevelType w:val="hybridMultilevel"/>
    <w:tmpl w:val="A8D2F0B2"/>
    <w:lvl w:ilvl="0" w:tplc="832A46E0">
      <w:start w:val="1"/>
      <w:numFmt w:val="decimal"/>
      <w:lvlText w:val="(1)"/>
      <w:lvlJc w:val="left"/>
      <w:pPr>
        <w:ind w:left="720" w:hanging="360"/>
      </w:pPr>
    </w:lvl>
    <w:lvl w:ilvl="1" w:tplc="55DC39DA">
      <w:start w:val="1"/>
      <w:numFmt w:val="lowerLetter"/>
      <w:lvlText w:val="%2."/>
      <w:lvlJc w:val="left"/>
      <w:pPr>
        <w:ind w:left="1440" w:hanging="360"/>
      </w:pPr>
    </w:lvl>
    <w:lvl w:ilvl="2" w:tplc="AB4C1762">
      <w:start w:val="1"/>
      <w:numFmt w:val="lowerRoman"/>
      <w:lvlText w:val="%3."/>
      <w:lvlJc w:val="right"/>
      <w:pPr>
        <w:ind w:left="2160" w:hanging="180"/>
      </w:pPr>
    </w:lvl>
    <w:lvl w:ilvl="3" w:tplc="713EC03A">
      <w:start w:val="1"/>
      <w:numFmt w:val="decimal"/>
      <w:lvlText w:val="%4."/>
      <w:lvlJc w:val="left"/>
      <w:pPr>
        <w:ind w:left="2880" w:hanging="360"/>
      </w:pPr>
    </w:lvl>
    <w:lvl w:ilvl="4" w:tplc="0658C9C8">
      <w:start w:val="1"/>
      <w:numFmt w:val="lowerLetter"/>
      <w:lvlText w:val="%5."/>
      <w:lvlJc w:val="left"/>
      <w:pPr>
        <w:ind w:left="3600" w:hanging="360"/>
      </w:pPr>
    </w:lvl>
    <w:lvl w:ilvl="5" w:tplc="A358F420">
      <w:start w:val="1"/>
      <w:numFmt w:val="lowerRoman"/>
      <w:lvlText w:val="%6."/>
      <w:lvlJc w:val="right"/>
      <w:pPr>
        <w:ind w:left="4320" w:hanging="180"/>
      </w:pPr>
    </w:lvl>
    <w:lvl w:ilvl="6" w:tplc="03F4F8C4">
      <w:start w:val="1"/>
      <w:numFmt w:val="decimal"/>
      <w:lvlText w:val="%7."/>
      <w:lvlJc w:val="left"/>
      <w:pPr>
        <w:ind w:left="5040" w:hanging="360"/>
      </w:pPr>
    </w:lvl>
    <w:lvl w:ilvl="7" w:tplc="22580DB8">
      <w:start w:val="1"/>
      <w:numFmt w:val="lowerLetter"/>
      <w:lvlText w:val="%8."/>
      <w:lvlJc w:val="left"/>
      <w:pPr>
        <w:ind w:left="5760" w:hanging="360"/>
      </w:pPr>
    </w:lvl>
    <w:lvl w:ilvl="8" w:tplc="B74A2786">
      <w:start w:val="1"/>
      <w:numFmt w:val="lowerRoman"/>
      <w:lvlText w:val="%9."/>
      <w:lvlJc w:val="right"/>
      <w:pPr>
        <w:ind w:left="6480" w:hanging="180"/>
      </w:pPr>
    </w:lvl>
  </w:abstractNum>
  <w:abstractNum w:abstractNumId="23" w15:restartNumberingAfterBreak="0">
    <w:nsid w:val="23662F41"/>
    <w:multiLevelType w:val="multilevel"/>
    <w:tmpl w:val="FE70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3DD80F9"/>
    <w:multiLevelType w:val="hybridMultilevel"/>
    <w:tmpl w:val="6448B0C0"/>
    <w:lvl w:ilvl="0" w:tplc="47DA0B04">
      <w:start w:val="1"/>
      <w:numFmt w:val="bullet"/>
      <w:lvlText w:val=""/>
      <w:lvlJc w:val="left"/>
      <w:pPr>
        <w:ind w:left="720" w:hanging="360"/>
      </w:pPr>
      <w:rPr>
        <w:rFonts w:ascii="Symbol" w:hAnsi="Symbol" w:hint="default"/>
      </w:rPr>
    </w:lvl>
    <w:lvl w:ilvl="1" w:tplc="F7B0AEA6">
      <w:start w:val="1"/>
      <w:numFmt w:val="bullet"/>
      <w:lvlText w:val="o"/>
      <w:lvlJc w:val="left"/>
      <w:pPr>
        <w:ind w:left="1440" w:hanging="360"/>
      </w:pPr>
      <w:rPr>
        <w:rFonts w:ascii="Courier New" w:hAnsi="Courier New" w:hint="default"/>
      </w:rPr>
    </w:lvl>
    <w:lvl w:ilvl="2" w:tplc="AD947A56">
      <w:start w:val="1"/>
      <w:numFmt w:val="bullet"/>
      <w:lvlText w:val=""/>
      <w:lvlJc w:val="left"/>
      <w:pPr>
        <w:ind w:left="2160" w:hanging="360"/>
      </w:pPr>
      <w:rPr>
        <w:rFonts w:ascii="Wingdings" w:hAnsi="Wingdings" w:hint="default"/>
      </w:rPr>
    </w:lvl>
    <w:lvl w:ilvl="3" w:tplc="BBEA8636">
      <w:start w:val="1"/>
      <w:numFmt w:val="bullet"/>
      <w:lvlText w:val=""/>
      <w:lvlJc w:val="left"/>
      <w:pPr>
        <w:ind w:left="2880" w:hanging="360"/>
      </w:pPr>
      <w:rPr>
        <w:rFonts w:ascii="Symbol" w:hAnsi="Symbol" w:hint="default"/>
      </w:rPr>
    </w:lvl>
    <w:lvl w:ilvl="4" w:tplc="51BADCA8">
      <w:start w:val="1"/>
      <w:numFmt w:val="bullet"/>
      <w:lvlText w:val="o"/>
      <w:lvlJc w:val="left"/>
      <w:pPr>
        <w:ind w:left="3600" w:hanging="360"/>
      </w:pPr>
      <w:rPr>
        <w:rFonts w:ascii="Courier New" w:hAnsi="Courier New" w:hint="default"/>
      </w:rPr>
    </w:lvl>
    <w:lvl w:ilvl="5" w:tplc="B72A5350">
      <w:start w:val="1"/>
      <w:numFmt w:val="bullet"/>
      <w:lvlText w:val=""/>
      <w:lvlJc w:val="left"/>
      <w:pPr>
        <w:ind w:left="4320" w:hanging="360"/>
      </w:pPr>
      <w:rPr>
        <w:rFonts w:ascii="Wingdings" w:hAnsi="Wingdings" w:hint="default"/>
      </w:rPr>
    </w:lvl>
    <w:lvl w:ilvl="6" w:tplc="BE2663B8">
      <w:start w:val="1"/>
      <w:numFmt w:val="bullet"/>
      <w:lvlText w:val=""/>
      <w:lvlJc w:val="left"/>
      <w:pPr>
        <w:ind w:left="5040" w:hanging="360"/>
      </w:pPr>
      <w:rPr>
        <w:rFonts w:ascii="Symbol" w:hAnsi="Symbol" w:hint="default"/>
      </w:rPr>
    </w:lvl>
    <w:lvl w:ilvl="7" w:tplc="FD460D98">
      <w:start w:val="1"/>
      <w:numFmt w:val="bullet"/>
      <w:lvlText w:val="o"/>
      <w:lvlJc w:val="left"/>
      <w:pPr>
        <w:ind w:left="5760" w:hanging="360"/>
      </w:pPr>
      <w:rPr>
        <w:rFonts w:ascii="Courier New" w:hAnsi="Courier New" w:hint="default"/>
      </w:rPr>
    </w:lvl>
    <w:lvl w:ilvl="8" w:tplc="F9EA2E4A">
      <w:start w:val="1"/>
      <w:numFmt w:val="bullet"/>
      <w:lvlText w:val=""/>
      <w:lvlJc w:val="left"/>
      <w:pPr>
        <w:ind w:left="6480" w:hanging="360"/>
      </w:pPr>
      <w:rPr>
        <w:rFonts w:ascii="Wingdings" w:hAnsi="Wingdings" w:hint="default"/>
      </w:rPr>
    </w:lvl>
  </w:abstractNum>
  <w:abstractNum w:abstractNumId="25" w15:restartNumberingAfterBreak="0">
    <w:nsid w:val="25270952"/>
    <w:multiLevelType w:val="multilevel"/>
    <w:tmpl w:val="7ED8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71161FB"/>
    <w:multiLevelType w:val="hybridMultilevel"/>
    <w:tmpl w:val="357A18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28DA617E"/>
    <w:multiLevelType w:val="multilevel"/>
    <w:tmpl w:val="E93A0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9D92EE5"/>
    <w:multiLevelType w:val="multilevel"/>
    <w:tmpl w:val="8C2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A6A52AE"/>
    <w:multiLevelType w:val="multilevel"/>
    <w:tmpl w:val="348422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AA70DC1"/>
    <w:multiLevelType w:val="multilevel"/>
    <w:tmpl w:val="C716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F63BE1"/>
    <w:multiLevelType w:val="multilevel"/>
    <w:tmpl w:val="BAF283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CE805C5"/>
    <w:multiLevelType w:val="multilevel"/>
    <w:tmpl w:val="1302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2EDA1C3D"/>
    <w:multiLevelType w:val="hybridMultilevel"/>
    <w:tmpl w:val="5336A60A"/>
    <w:lvl w:ilvl="0" w:tplc="1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2F992F2F"/>
    <w:multiLevelType w:val="multilevel"/>
    <w:tmpl w:val="9186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181508F"/>
    <w:multiLevelType w:val="hybridMultilevel"/>
    <w:tmpl w:val="6FCC7FE2"/>
    <w:lvl w:ilvl="0" w:tplc="789A4F26">
      <w:start w:val="1"/>
      <w:numFmt w:val="bullet"/>
      <w:pStyle w:val="bullet1"/>
      <w:lvlText w:val=""/>
      <w:lvlJc w:val="left"/>
      <w:pPr>
        <w:ind w:left="720" w:hanging="360"/>
      </w:pPr>
      <w:rPr>
        <w:rFonts w:ascii="Symbol" w:hAnsi="Symbol" w:hint="default"/>
        <w:b/>
        <w:i w:val="0"/>
        <w:color w:val="325BAA"/>
        <w:sz w:val="24"/>
      </w:rPr>
    </w:lvl>
    <w:lvl w:ilvl="1" w:tplc="D758FE2C">
      <w:start w:val="1"/>
      <w:numFmt w:val="bullet"/>
      <w:lvlText w:val="o"/>
      <w:lvlJc w:val="left"/>
      <w:pPr>
        <w:ind w:left="1440" w:hanging="360"/>
      </w:pPr>
      <w:rPr>
        <w:rFonts w:ascii="Courier New" w:hAnsi="Courier New" w:hint="default"/>
        <w:color w:val="1F497D" w:themeColor="text2"/>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32B4D585"/>
    <w:multiLevelType w:val="hybridMultilevel"/>
    <w:tmpl w:val="E758D682"/>
    <w:lvl w:ilvl="0" w:tplc="E7E84738">
      <w:start w:val="1"/>
      <w:numFmt w:val="bullet"/>
      <w:lvlText w:val=""/>
      <w:lvlJc w:val="left"/>
      <w:pPr>
        <w:ind w:left="720" w:hanging="360"/>
      </w:pPr>
      <w:rPr>
        <w:rFonts w:ascii="Symbol" w:hAnsi="Symbol" w:hint="default"/>
      </w:rPr>
    </w:lvl>
    <w:lvl w:ilvl="1" w:tplc="AA8679B2">
      <w:start w:val="1"/>
      <w:numFmt w:val="bullet"/>
      <w:lvlText w:val="o"/>
      <w:lvlJc w:val="left"/>
      <w:pPr>
        <w:ind w:left="1440" w:hanging="360"/>
      </w:pPr>
      <w:rPr>
        <w:rFonts w:ascii="Courier New" w:hAnsi="Courier New" w:hint="default"/>
      </w:rPr>
    </w:lvl>
    <w:lvl w:ilvl="2" w:tplc="4418DEE4">
      <w:start w:val="1"/>
      <w:numFmt w:val="bullet"/>
      <w:lvlText w:val=""/>
      <w:lvlJc w:val="left"/>
      <w:pPr>
        <w:ind w:left="2160" w:hanging="360"/>
      </w:pPr>
      <w:rPr>
        <w:rFonts w:ascii="Wingdings" w:hAnsi="Wingdings" w:hint="default"/>
      </w:rPr>
    </w:lvl>
    <w:lvl w:ilvl="3" w:tplc="5E6E0B0E">
      <w:start w:val="1"/>
      <w:numFmt w:val="bullet"/>
      <w:lvlText w:val=""/>
      <w:lvlJc w:val="left"/>
      <w:pPr>
        <w:ind w:left="2880" w:hanging="360"/>
      </w:pPr>
      <w:rPr>
        <w:rFonts w:ascii="Symbol" w:hAnsi="Symbol" w:hint="default"/>
      </w:rPr>
    </w:lvl>
    <w:lvl w:ilvl="4" w:tplc="669E3D96">
      <w:start w:val="1"/>
      <w:numFmt w:val="bullet"/>
      <w:lvlText w:val="o"/>
      <w:lvlJc w:val="left"/>
      <w:pPr>
        <w:ind w:left="3600" w:hanging="360"/>
      </w:pPr>
      <w:rPr>
        <w:rFonts w:ascii="Courier New" w:hAnsi="Courier New" w:hint="default"/>
      </w:rPr>
    </w:lvl>
    <w:lvl w:ilvl="5" w:tplc="19F2D7A4">
      <w:start w:val="1"/>
      <w:numFmt w:val="bullet"/>
      <w:lvlText w:val=""/>
      <w:lvlJc w:val="left"/>
      <w:pPr>
        <w:ind w:left="4320" w:hanging="360"/>
      </w:pPr>
      <w:rPr>
        <w:rFonts w:ascii="Wingdings" w:hAnsi="Wingdings" w:hint="default"/>
      </w:rPr>
    </w:lvl>
    <w:lvl w:ilvl="6" w:tplc="711EF01C">
      <w:start w:val="1"/>
      <w:numFmt w:val="bullet"/>
      <w:lvlText w:val=""/>
      <w:lvlJc w:val="left"/>
      <w:pPr>
        <w:ind w:left="5040" w:hanging="360"/>
      </w:pPr>
      <w:rPr>
        <w:rFonts w:ascii="Symbol" w:hAnsi="Symbol" w:hint="default"/>
      </w:rPr>
    </w:lvl>
    <w:lvl w:ilvl="7" w:tplc="1B68B4DA">
      <w:start w:val="1"/>
      <w:numFmt w:val="bullet"/>
      <w:lvlText w:val="o"/>
      <w:lvlJc w:val="left"/>
      <w:pPr>
        <w:ind w:left="5760" w:hanging="360"/>
      </w:pPr>
      <w:rPr>
        <w:rFonts w:ascii="Courier New" w:hAnsi="Courier New" w:hint="default"/>
      </w:rPr>
    </w:lvl>
    <w:lvl w:ilvl="8" w:tplc="AAC6FA12">
      <w:start w:val="1"/>
      <w:numFmt w:val="bullet"/>
      <w:lvlText w:val=""/>
      <w:lvlJc w:val="left"/>
      <w:pPr>
        <w:ind w:left="6480" w:hanging="360"/>
      </w:pPr>
      <w:rPr>
        <w:rFonts w:ascii="Wingdings" w:hAnsi="Wingdings" w:hint="default"/>
      </w:rPr>
    </w:lvl>
  </w:abstractNum>
  <w:abstractNum w:abstractNumId="38" w15:restartNumberingAfterBreak="0">
    <w:nsid w:val="331D1505"/>
    <w:multiLevelType w:val="multilevel"/>
    <w:tmpl w:val="3B92DE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3CD7941"/>
    <w:multiLevelType w:val="multilevel"/>
    <w:tmpl w:val="0FB04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51D470D"/>
    <w:multiLevelType w:val="multilevel"/>
    <w:tmpl w:val="0A5C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55D7EEA"/>
    <w:multiLevelType w:val="multilevel"/>
    <w:tmpl w:val="705E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5C2236F"/>
    <w:multiLevelType w:val="multilevel"/>
    <w:tmpl w:val="0114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6157647"/>
    <w:multiLevelType w:val="hybridMultilevel"/>
    <w:tmpl w:val="9C723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68AD0B9"/>
    <w:multiLevelType w:val="hybridMultilevel"/>
    <w:tmpl w:val="6F5C74D0"/>
    <w:lvl w:ilvl="0" w:tplc="E8A45DD8">
      <w:start w:val="1"/>
      <w:numFmt w:val="bullet"/>
      <w:lvlText w:val=""/>
      <w:lvlJc w:val="left"/>
      <w:pPr>
        <w:ind w:left="720" w:hanging="360"/>
      </w:pPr>
      <w:rPr>
        <w:rFonts w:ascii="Symbol" w:hAnsi="Symbol" w:hint="default"/>
      </w:rPr>
    </w:lvl>
    <w:lvl w:ilvl="1" w:tplc="A1D4CC72">
      <w:start w:val="1"/>
      <w:numFmt w:val="bullet"/>
      <w:lvlText w:val="o"/>
      <w:lvlJc w:val="left"/>
      <w:pPr>
        <w:ind w:left="1440" w:hanging="360"/>
      </w:pPr>
      <w:rPr>
        <w:rFonts w:ascii="Courier New" w:hAnsi="Courier New" w:hint="default"/>
      </w:rPr>
    </w:lvl>
    <w:lvl w:ilvl="2" w:tplc="AFFCFCF6">
      <w:start w:val="1"/>
      <w:numFmt w:val="bullet"/>
      <w:lvlText w:val=""/>
      <w:lvlJc w:val="left"/>
      <w:pPr>
        <w:ind w:left="2160" w:hanging="360"/>
      </w:pPr>
      <w:rPr>
        <w:rFonts w:ascii="Wingdings" w:hAnsi="Wingdings" w:hint="default"/>
      </w:rPr>
    </w:lvl>
    <w:lvl w:ilvl="3" w:tplc="2602680C">
      <w:start w:val="1"/>
      <w:numFmt w:val="bullet"/>
      <w:lvlText w:val=""/>
      <w:lvlJc w:val="left"/>
      <w:pPr>
        <w:ind w:left="2880" w:hanging="360"/>
      </w:pPr>
      <w:rPr>
        <w:rFonts w:ascii="Symbol" w:hAnsi="Symbol" w:hint="default"/>
      </w:rPr>
    </w:lvl>
    <w:lvl w:ilvl="4" w:tplc="EEEEC0C2">
      <w:start w:val="1"/>
      <w:numFmt w:val="bullet"/>
      <w:lvlText w:val="o"/>
      <w:lvlJc w:val="left"/>
      <w:pPr>
        <w:ind w:left="3600" w:hanging="360"/>
      </w:pPr>
      <w:rPr>
        <w:rFonts w:ascii="Courier New" w:hAnsi="Courier New" w:hint="default"/>
      </w:rPr>
    </w:lvl>
    <w:lvl w:ilvl="5" w:tplc="6102198C">
      <w:start w:val="1"/>
      <w:numFmt w:val="bullet"/>
      <w:lvlText w:val=""/>
      <w:lvlJc w:val="left"/>
      <w:pPr>
        <w:ind w:left="4320" w:hanging="360"/>
      </w:pPr>
      <w:rPr>
        <w:rFonts w:ascii="Wingdings" w:hAnsi="Wingdings" w:hint="default"/>
      </w:rPr>
    </w:lvl>
    <w:lvl w:ilvl="6" w:tplc="706E84C2">
      <w:start w:val="1"/>
      <w:numFmt w:val="bullet"/>
      <w:lvlText w:val=""/>
      <w:lvlJc w:val="left"/>
      <w:pPr>
        <w:ind w:left="5040" w:hanging="360"/>
      </w:pPr>
      <w:rPr>
        <w:rFonts w:ascii="Symbol" w:hAnsi="Symbol" w:hint="default"/>
      </w:rPr>
    </w:lvl>
    <w:lvl w:ilvl="7" w:tplc="68702ED0">
      <w:start w:val="1"/>
      <w:numFmt w:val="bullet"/>
      <w:lvlText w:val="o"/>
      <w:lvlJc w:val="left"/>
      <w:pPr>
        <w:ind w:left="5760" w:hanging="360"/>
      </w:pPr>
      <w:rPr>
        <w:rFonts w:ascii="Courier New" w:hAnsi="Courier New" w:hint="default"/>
      </w:rPr>
    </w:lvl>
    <w:lvl w:ilvl="8" w:tplc="40B6F0E6">
      <w:start w:val="1"/>
      <w:numFmt w:val="bullet"/>
      <w:lvlText w:val=""/>
      <w:lvlJc w:val="left"/>
      <w:pPr>
        <w:ind w:left="6480" w:hanging="360"/>
      </w:pPr>
      <w:rPr>
        <w:rFonts w:ascii="Wingdings" w:hAnsi="Wingdings" w:hint="default"/>
      </w:rPr>
    </w:lvl>
  </w:abstractNum>
  <w:abstractNum w:abstractNumId="45" w15:restartNumberingAfterBreak="0">
    <w:nsid w:val="395405FE"/>
    <w:multiLevelType w:val="hybridMultilevel"/>
    <w:tmpl w:val="23C23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C2E68F7"/>
    <w:multiLevelType w:val="multilevel"/>
    <w:tmpl w:val="158A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48" w15:restartNumberingAfterBreak="0">
    <w:nsid w:val="3DAB09FF"/>
    <w:multiLevelType w:val="multilevel"/>
    <w:tmpl w:val="79C6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F5573B7"/>
    <w:multiLevelType w:val="multilevel"/>
    <w:tmpl w:val="ECAC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F781B75"/>
    <w:multiLevelType w:val="hybridMultilevel"/>
    <w:tmpl w:val="59EE8C12"/>
    <w:lvl w:ilvl="0" w:tplc="F210F102">
      <w:start w:val="14"/>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BD25A4"/>
    <w:multiLevelType w:val="multilevel"/>
    <w:tmpl w:val="9508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1DFD732"/>
    <w:multiLevelType w:val="hybridMultilevel"/>
    <w:tmpl w:val="33C6C2CE"/>
    <w:lvl w:ilvl="0" w:tplc="E70C714C">
      <w:start w:val="1"/>
      <w:numFmt w:val="bullet"/>
      <w:lvlText w:val=""/>
      <w:lvlJc w:val="left"/>
      <w:pPr>
        <w:ind w:left="720" w:hanging="360"/>
      </w:pPr>
      <w:rPr>
        <w:rFonts w:ascii="Symbol" w:hAnsi="Symbol" w:hint="default"/>
      </w:rPr>
    </w:lvl>
    <w:lvl w:ilvl="1" w:tplc="F330F914">
      <w:start w:val="1"/>
      <w:numFmt w:val="bullet"/>
      <w:lvlText w:val="o"/>
      <w:lvlJc w:val="left"/>
      <w:pPr>
        <w:ind w:left="1440" w:hanging="360"/>
      </w:pPr>
      <w:rPr>
        <w:rFonts w:ascii="Courier New" w:hAnsi="Courier New" w:hint="default"/>
      </w:rPr>
    </w:lvl>
    <w:lvl w:ilvl="2" w:tplc="3D7E8A46">
      <w:start w:val="1"/>
      <w:numFmt w:val="bullet"/>
      <w:lvlText w:val=""/>
      <w:lvlJc w:val="left"/>
      <w:pPr>
        <w:ind w:left="2160" w:hanging="360"/>
      </w:pPr>
      <w:rPr>
        <w:rFonts w:ascii="Wingdings" w:hAnsi="Wingdings" w:hint="default"/>
      </w:rPr>
    </w:lvl>
    <w:lvl w:ilvl="3" w:tplc="49FE2C92">
      <w:start w:val="1"/>
      <w:numFmt w:val="bullet"/>
      <w:lvlText w:val=""/>
      <w:lvlJc w:val="left"/>
      <w:pPr>
        <w:ind w:left="2880" w:hanging="360"/>
      </w:pPr>
      <w:rPr>
        <w:rFonts w:ascii="Symbol" w:hAnsi="Symbol" w:hint="default"/>
      </w:rPr>
    </w:lvl>
    <w:lvl w:ilvl="4" w:tplc="442CDA76">
      <w:start w:val="1"/>
      <w:numFmt w:val="bullet"/>
      <w:lvlText w:val="o"/>
      <w:lvlJc w:val="left"/>
      <w:pPr>
        <w:ind w:left="3600" w:hanging="360"/>
      </w:pPr>
      <w:rPr>
        <w:rFonts w:ascii="Courier New" w:hAnsi="Courier New" w:hint="default"/>
      </w:rPr>
    </w:lvl>
    <w:lvl w:ilvl="5" w:tplc="95CAD9EC">
      <w:start w:val="1"/>
      <w:numFmt w:val="bullet"/>
      <w:lvlText w:val=""/>
      <w:lvlJc w:val="left"/>
      <w:pPr>
        <w:ind w:left="4320" w:hanging="360"/>
      </w:pPr>
      <w:rPr>
        <w:rFonts w:ascii="Wingdings" w:hAnsi="Wingdings" w:hint="default"/>
      </w:rPr>
    </w:lvl>
    <w:lvl w:ilvl="6" w:tplc="CA98BA58">
      <w:start w:val="1"/>
      <w:numFmt w:val="bullet"/>
      <w:lvlText w:val=""/>
      <w:lvlJc w:val="left"/>
      <w:pPr>
        <w:ind w:left="5040" w:hanging="360"/>
      </w:pPr>
      <w:rPr>
        <w:rFonts w:ascii="Symbol" w:hAnsi="Symbol" w:hint="default"/>
      </w:rPr>
    </w:lvl>
    <w:lvl w:ilvl="7" w:tplc="365028B6">
      <w:start w:val="1"/>
      <w:numFmt w:val="bullet"/>
      <w:lvlText w:val="o"/>
      <w:lvlJc w:val="left"/>
      <w:pPr>
        <w:ind w:left="5760" w:hanging="360"/>
      </w:pPr>
      <w:rPr>
        <w:rFonts w:ascii="Courier New" w:hAnsi="Courier New" w:hint="default"/>
      </w:rPr>
    </w:lvl>
    <w:lvl w:ilvl="8" w:tplc="3ECEEAD2">
      <w:start w:val="1"/>
      <w:numFmt w:val="bullet"/>
      <w:lvlText w:val=""/>
      <w:lvlJc w:val="left"/>
      <w:pPr>
        <w:ind w:left="6480" w:hanging="360"/>
      </w:pPr>
      <w:rPr>
        <w:rFonts w:ascii="Wingdings" w:hAnsi="Wingdings" w:hint="default"/>
      </w:rPr>
    </w:lvl>
  </w:abstractNum>
  <w:abstractNum w:abstractNumId="53" w15:restartNumberingAfterBreak="0">
    <w:nsid w:val="42711E32"/>
    <w:multiLevelType w:val="hybridMultilevel"/>
    <w:tmpl w:val="10DE91A8"/>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447756EB"/>
    <w:multiLevelType w:val="multilevel"/>
    <w:tmpl w:val="5D8C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58C4978"/>
    <w:multiLevelType w:val="multilevel"/>
    <w:tmpl w:val="ABFA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5F62C9A"/>
    <w:multiLevelType w:val="multilevel"/>
    <w:tmpl w:val="884C4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6BD14FD"/>
    <w:multiLevelType w:val="multilevel"/>
    <w:tmpl w:val="C2D85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77F047E"/>
    <w:multiLevelType w:val="multilevel"/>
    <w:tmpl w:val="0786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7E43769"/>
    <w:multiLevelType w:val="multilevel"/>
    <w:tmpl w:val="C9DC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7FC5734"/>
    <w:multiLevelType w:val="multilevel"/>
    <w:tmpl w:val="63BC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B4D152E"/>
    <w:multiLevelType w:val="multilevel"/>
    <w:tmpl w:val="8C121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C9D762C"/>
    <w:multiLevelType w:val="multilevel"/>
    <w:tmpl w:val="8DBE2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DB151AC"/>
    <w:multiLevelType w:val="hybridMultilevel"/>
    <w:tmpl w:val="11BE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E387658"/>
    <w:multiLevelType w:val="multilevel"/>
    <w:tmpl w:val="C2E4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F5E1CEF"/>
    <w:multiLevelType w:val="multilevel"/>
    <w:tmpl w:val="6BD8AF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26E0D3E"/>
    <w:multiLevelType w:val="multilevel"/>
    <w:tmpl w:val="7742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392CFAB"/>
    <w:multiLevelType w:val="hybridMultilevel"/>
    <w:tmpl w:val="7BD04F68"/>
    <w:lvl w:ilvl="0" w:tplc="DDFCA2EE">
      <w:start w:val="1"/>
      <w:numFmt w:val="bullet"/>
      <w:lvlText w:val=""/>
      <w:lvlJc w:val="left"/>
      <w:pPr>
        <w:ind w:left="720" w:hanging="360"/>
      </w:pPr>
      <w:rPr>
        <w:rFonts w:ascii="Symbol" w:hAnsi="Symbol" w:hint="default"/>
      </w:rPr>
    </w:lvl>
    <w:lvl w:ilvl="1" w:tplc="F678E404">
      <w:start w:val="1"/>
      <w:numFmt w:val="bullet"/>
      <w:lvlText w:val="o"/>
      <w:lvlJc w:val="left"/>
      <w:pPr>
        <w:ind w:left="1440" w:hanging="360"/>
      </w:pPr>
      <w:rPr>
        <w:rFonts w:ascii="Courier New" w:hAnsi="Courier New" w:hint="default"/>
      </w:rPr>
    </w:lvl>
    <w:lvl w:ilvl="2" w:tplc="060C7214">
      <w:start w:val="1"/>
      <w:numFmt w:val="bullet"/>
      <w:lvlText w:val=""/>
      <w:lvlJc w:val="left"/>
      <w:pPr>
        <w:ind w:left="2160" w:hanging="360"/>
      </w:pPr>
      <w:rPr>
        <w:rFonts w:ascii="Wingdings" w:hAnsi="Wingdings" w:hint="default"/>
      </w:rPr>
    </w:lvl>
    <w:lvl w:ilvl="3" w:tplc="C6CC3046">
      <w:start w:val="1"/>
      <w:numFmt w:val="bullet"/>
      <w:lvlText w:val=""/>
      <w:lvlJc w:val="left"/>
      <w:pPr>
        <w:ind w:left="2880" w:hanging="360"/>
      </w:pPr>
      <w:rPr>
        <w:rFonts w:ascii="Symbol" w:hAnsi="Symbol" w:hint="default"/>
      </w:rPr>
    </w:lvl>
    <w:lvl w:ilvl="4" w:tplc="6EFAE358">
      <w:start w:val="1"/>
      <w:numFmt w:val="bullet"/>
      <w:lvlText w:val="o"/>
      <w:lvlJc w:val="left"/>
      <w:pPr>
        <w:ind w:left="3600" w:hanging="360"/>
      </w:pPr>
      <w:rPr>
        <w:rFonts w:ascii="Courier New" w:hAnsi="Courier New" w:hint="default"/>
      </w:rPr>
    </w:lvl>
    <w:lvl w:ilvl="5" w:tplc="3B3001C0">
      <w:start w:val="1"/>
      <w:numFmt w:val="bullet"/>
      <w:lvlText w:val=""/>
      <w:lvlJc w:val="left"/>
      <w:pPr>
        <w:ind w:left="4320" w:hanging="360"/>
      </w:pPr>
      <w:rPr>
        <w:rFonts w:ascii="Wingdings" w:hAnsi="Wingdings" w:hint="default"/>
      </w:rPr>
    </w:lvl>
    <w:lvl w:ilvl="6" w:tplc="71D2FA5E">
      <w:start w:val="1"/>
      <w:numFmt w:val="bullet"/>
      <w:lvlText w:val=""/>
      <w:lvlJc w:val="left"/>
      <w:pPr>
        <w:ind w:left="5040" w:hanging="360"/>
      </w:pPr>
      <w:rPr>
        <w:rFonts w:ascii="Symbol" w:hAnsi="Symbol" w:hint="default"/>
      </w:rPr>
    </w:lvl>
    <w:lvl w:ilvl="7" w:tplc="A792276C">
      <w:start w:val="1"/>
      <w:numFmt w:val="bullet"/>
      <w:lvlText w:val="o"/>
      <w:lvlJc w:val="left"/>
      <w:pPr>
        <w:ind w:left="5760" w:hanging="360"/>
      </w:pPr>
      <w:rPr>
        <w:rFonts w:ascii="Courier New" w:hAnsi="Courier New" w:hint="default"/>
      </w:rPr>
    </w:lvl>
    <w:lvl w:ilvl="8" w:tplc="DE34F824">
      <w:start w:val="1"/>
      <w:numFmt w:val="bullet"/>
      <w:lvlText w:val=""/>
      <w:lvlJc w:val="left"/>
      <w:pPr>
        <w:ind w:left="6480" w:hanging="360"/>
      </w:pPr>
      <w:rPr>
        <w:rFonts w:ascii="Wingdings" w:hAnsi="Wingdings" w:hint="default"/>
      </w:rPr>
    </w:lvl>
  </w:abstractNum>
  <w:abstractNum w:abstractNumId="68" w15:restartNumberingAfterBreak="0">
    <w:nsid w:val="54436220"/>
    <w:multiLevelType w:val="multilevel"/>
    <w:tmpl w:val="774C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4A5103F"/>
    <w:multiLevelType w:val="multilevel"/>
    <w:tmpl w:val="CE8A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6390C8B"/>
    <w:multiLevelType w:val="multilevel"/>
    <w:tmpl w:val="D0DA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7081D7A"/>
    <w:multiLevelType w:val="multilevel"/>
    <w:tmpl w:val="089E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7482FF4"/>
    <w:multiLevelType w:val="multilevel"/>
    <w:tmpl w:val="9D80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AA66420"/>
    <w:multiLevelType w:val="multilevel"/>
    <w:tmpl w:val="D85C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AAC488B"/>
    <w:multiLevelType w:val="multilevel"/>
    <w:tmpl w:val="A10E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B8B39B3"/>
    <w:multiLevelType w:val="multilevel"/>
    <w:tmpl w:val="7EE4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BEC29B0"/>
    <w:multiLevelType w:val="multilevel"/>
    <w:tmpl w:val="E3D04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C11309A"/>
    <w:multiLevelType w:val="multilevel"/>
    <w:tmpl w:val="68805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C38164B"/>
    <w:multiLevelType w:val="multilevel"/>
    <w:tmpl w:val="CE4E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D0B914C"/>
    <w:multiLevelType w:val="hybridMultilevel"/>
    <w:tmpl w:val="926490E8"/>
    <w:lvl w:ilvl="0" w:tplc="97E0FD2A">
      <w:start w:val="1"/>
      <w:numFmt w:val="bullet"/>
      <w:lvlText w:val=""/>
      <w:lvlJc w:val="left"/>
      <w:pPr>
        <w:ind w:left="720" w:hanging="360"/>
      </w:pPr>
      <w:rPr>
        <w:rFonts w:ascii="Symbol" w:hAnsi="Symbol" w:hint="default"/>
      </w:rPr>
    </w:lvl>
    <w:lvl w:ilvl="1" w:tplc="E146FD3A">
      <w:start w:val="1"/>
      <w:numFmt w:val="bullet"/>
      <w:lvlText w:val="o"/>
      <w:lvlJc w:val="left"/>
      <w:pPr>
        <w:ind w:left="1440" w:hanging="360"/>
      </w:pPr>
      <w:rPr>
        <w:rFonts w:ascii="Courier New" w:hAnsi="Courier New" w:hint="default"/>
      </w:rPr>
    </w:lvl>
    <w:lvl w:ilvl="2" w:tplc="659ED1FE">
      <w:start w:val="1"/>
      <w:numFmt w:val="bullet"/>
      <w:lvlText w:val=""/>
      <w:lvlJc w:val="left"/>
      <w:pPr>
        <w:ind w:left="2160" w:hanging="360"/>
      </w:pPr>
      <w:rPr>
        <w:rFonts w:ascii="Wingdings" w:hAnsi="Wingdings" w:hint="default"/>
      </w:rPr>
    </w:lvl>
    <w:lvl w:ilvl="3" w:tplc="8CC62132">
      <w:start w:val="1"/>
      <w:numFmt w:val="bullet"/>
      <w:lvlText w:val=""/>
      <w:lvlJc w:val="left"/>
      <w:pPr>
        <w:ind w:left="2880" w:hanging="360"/>
      </w:pPr>
      <w:rPr>
        <w:rFonts w:ascii="Symbol" w:hAnsi="Symbol" w:hint="default"/>
      </w:rPr>
    </w:lvl>
    <w:lvl w:ilvl="4" w:tplc="D338B79E">
      <w:start w:val="1"/>
      <w:numFmt w:val="bullet"/>
      <w:lvlText w:val="o"/>
      <w:lvlJc w:val="left"/>
      <w:pPr>
        <w:ind w:left="3600" w:hanging="360"/>
      </w:pPr>
      <w:rPr>
        <w:rFonts w:ascii="Courier New" w:hAnsi="Courier New" w:hint="default"/>
      </w:rPr>
    </w:lvl>
    <w:lvl w:ilvl="5" w:tplc="B7048184">
      <w:start w:val="1"/>
      <w:numFmt w:val="bullet"/>
      <w:lvlText w:val=""/>
      <w:lvlJc w:val="left"/>
      <w:pPr>
        <w:ind w:left="4320" w:hanging="360"/>
      </w:pPr>
      <w:rPr>
        <w:rFonts w:ascii="Wingdings" w:hAnsi="Wingdings" w:hint="default"/>
      </w:rPr>
    </w:lvl>
    <w:lvl w:ilvl="6" w:tplc="25D01058">
      <w:start w:val="1"/>
      <w:numFmt w:val="bullet"/>
      <w:lvlText w:val=""/>
      <w:lvlJc w:val="left"/>
      <w:pPr>
        <w:ind w:left="5040" w:hanging="360"/>
      </w:pPr>
      <w:rPr>
        <w:rFonts w:ascii="Symbol" w:hAnsi="Symbol" w:hint="default"/>
      </w:rPr>
    </w:lvl>
    <w:lvl w:ilvl="7" w:tplc="86B42F44">
      <w:start w:val="1"/>
      <w:numFmt w:val="bullet"/>
      <w:lvlText w:val="o"/>
      <w:lvlJc w:val="left"/>
      <w:pPr>
        <w:ind w:left="5760" w:hanging="360"/>
      </w:pPr>
      <w:rPr>
        <w:rFonts w:ascii="Courier New" w:hAnsi="Courier New" w:hint="default"/>
      </w:rPr>
    </w:lvl>
    <w:lvl w:ilvl="8" w:tplc="988A5048">
      <w:start w:val="1"/>
      <w:numFmt w:val="bullet"/>
      <w:lvlText w:val=""/>
      <w:lvlJc w:val="left"/>
      <w:pPr>
        <w:ind w:left="6480" w:hanging="360"/>
      </w:pPr>
      <w:rPr>
        <w:rFonts w:ascii="Wingdings" w:hAnsi="Wingdings" w:hint="default"/>
      </w:rPr>
    </w:lvl>
  </w:abstractNum>
  <w:abstractNum w:abstractNumId="80" w15:restartNumberingAfterBreak="0">
    <w:nsid w:val="5D2F2EC1"/>
    <w:multiLevelType w:val="hybridMultilevel"/>
    <w:tmpl w:val="4984CCC2"/>
    <w:lvl w:ilvl="0" w:tplc="F7DC5286">
      <w:numFmt w:val="bullet"/>
      <w:lvlText w:val=""/>
      <w:lvlJc w:val="left"/>
      <w:pPr>
        <w:ind w:left="720" w:hanging="360"/>
      </w:pPr>
      <w:rPr>
        <w:rFonts w:ascii="Symbol" w:eastAsiaTheme="minorHAnsi" w:hAnsi="Symbo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1" w15:restartNumberingAfterBreak="0">
    <w:nsid w:val="5EDB3B4C"/>
    <w:multiLevelType w:val="multilevel"/>
    <w:tmpl w:val="4192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83" w15:restartNumberingAfterBreak="0">
    <w:nsid w:val="6069718C"/>
    <w:multiLevelType w:val="hybridMultilevel"/>
    <w:tmpl w:val="BF6C3038"/>
    <w:lvl w:ilvl="0" w:tplc="602C178A">
      <w:start w:val="1"/>
      <w:numFmt w:val="bullet"/>
      <w:lvlText w:val=""/>
      <w:lvlJc w:val="left"/>
      <w:pPr>
        <w:ind w:left="720" w:hanging="360"/>
      </w:pPr>
      <w:rPr>
        <w:rFonts w:ascii="Symbol" w:hAnsi="Symbol" w:hint="default"/>
      </w:rPr>
    </w:lvl>
    <w:lvl w:ilvl="1" w:tplc="7A3A769E">
      <w:start w:val="1"/>
      <w:numFmt w:val="bullet"/>
      <w:lvlText w:val="o"/>
      <w:lvlJc w:val="left"/>
      <w:pPr>
        <w:ind w:left="1440" w:hanging="360"/>
      </w:pPr>
      <w:rPr>
        <w:rFonts w:ascii="Courier New" w:hAnsi="Courier New" w:hint="default"/>
      </w:rPr>
    </w:lvl>
    <w:lvl w:ilvl="2" w:tplc="03DA3EA6">
      <w:start w:val="1"/>
      <w:numFmt w:val="bullet"/>
      <w:lvlText w:val=""/>
      <w:lvlJc w:val="left"/>
      <w:pPr>
        <w:ind w:left="2160" w:hanging="360"/>
      </w:pPr>
      <w:rPr>
        <w:rFonts w:ascii="Wingdings" w:hAnsi="Wingdings" w:hint="default"/>
      </w:rPr>
    </w:lvl>
    <w:lvl w:ilvl="3" w:tplc="C4D4AB10">
      <w:start w:val="1"/>
      <w:numFmt w:val="bullet"/>
      <w:lvlText w:val=""/>
      <w:lvlJc w:val="left"/>
      <w:pPr>
        <w:ind w:left="2880" w:hanging="360"/>
      </w:pPr>
      <w:rPr>
        <w:rFonts w:ascii="Symbol" w:hAnsi="Symbol" w:hint="default"/>
      </w:rPr>
    </w:lvl>
    <w:lvl w:ilvl="4" w:tplc="F3A80D88">
      <w:start w:val="1"/>
      <w:numFmt w:val="bullet"/>
      <w:lvlText w:val="o"/>
      <w:lvlJc w:val="left"/>
      <w:pPr>
        <w:ind w:left="3600" w:hanging="360"/>
      </w:pPr>
      <w:rPr>
        <w:rFonts w:ascii="Courier New" w:hAnsi="Courier New" w:hint="default"/>
      </w:rPr>
    </w:lvl>
    <w:lvl w:ilvl="5" w:tplc="74C87F8E">
      <w:start w:val="1"/>
      <w:numFmt w:val="bullet"/>
      <w:lvlText w:val=""/>
      <w:lvlJc w:val="left"/>
      <w:pPr>
        <w:ind w:left="4320" w:hanging="360"/>
      </w:pPr>
      <w:rPr>
        <w:rFonts w:ascii="Wingdings" w:hAnsi="Wingdings" w:hint="default"/>
      </w:rPr>
    </w:lvl>
    <w:lvl w:ilvl="6" w:tplc="0518CF88">
      <w:start w:val="1"/>
      <w:numFmt w:val="bullet"/>
      <w:lvlText w:val=""/>
      <w:lvlJc w:val="left"/>
      <w:pPr>
        <w:ind w:left="5040" w:hanging="360"/>
      </w:pPr>
      <w:rPr>
        <w:rFonts w:ascii="Symbol" w:hAnsi="Symbol" w:hint="default"/>
      </w:rPr>
    </w:lvl>
    <w:lvl w:ilvl="7" w:tplc="2E107F8C">
      <w:start w:val="1"/>
      <w:numFmt w:val="bullet"/>
      <w:lvlText w:val="o"/>
      <w:lvlJc w:val="left"/>
      <w:pPr>
        <w:ind w:left="5760" w:hanging="360"/>
      </w:pPr>
      <w:rPr>
        <w:rFonts w:ascii="Courier New" w:hAnsi="Courier New" w:hint="default"/>
      </w:rPr>
    </w:lvl>
    <w:lvl w:ilvl="8" w:tplc="B90ED4BC">
      <w:start w:val="1"/>
      <w:numFmt w:val="bullet"/>
      <w:lvlText w:val=""/>
      <w:lvlJc w:val="left"/>
      <w:pPr>
        <w:ind w:left="6480" w:hanging="360"/>
      </w:pPr>
      <w:rPr>
        <w:rFonts w:ascii="Wingdings" w:hAnsi="Wingdings" w:hint="default"/>
      </w:rPr>
    </w:lvl>
  </w:abstractNum>
  <w:abstractNum w:abstractNumId="84" w15:restartNumberingAfterBreak="0">
    <w:nsid w:val="611A603D"/>
    <w:multiLevelType w:val="multilevel"/>
    <w:tmpl w:val="7958B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1537884"/>
    <w:multiLevelType w:val="multilevel"/>
    <w:tmpl w:val="40BA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28A1A17"/>
    <w:multiLevelType w:val="hybridMultilevel"/>
    <w:tmpl w:val="DE78606E"/>
    <w:lvl w:ilvl="0" w:tplc="E6341CF0">
      <w:start w:val="1"/>
      <w:numFmt w:val="bullet"/>
      <w:lvlText w:val=""/>
      <w:lvlJc w:val="left"/>
      <w:pPr>
        <w:ind w:left="720" w:hanging="360"/>
      </w:pPr>
      <w:rPr>
        <w:rFonts w:ascii="Symbol" w:hAnsi="Symbol" w:hint="default"/>
      </w:rPr>
    </w:lvl>
    <w:lvl w:ilvl="1" w:tplc="7BD29ECE">
      <w:start w:val="1"/>
      <w:numFmt w:val="bullet"/>
      <w:lvlText w:val="o"/>
      <w:lvlJc w:val="left"/>
      <w:pPr>
        <w:ind w:left="1440" w:hanging="360"/>
      </w:pPr>
      <w:rPr>
        <w:rFonts w:ascii="Courier New" w:hAnsi="Courier New" w:hint="default"/>
      </w:rPr>
    </w:lvl>
    <w:lvl w:ilvl="2" w:tplc="B3DA6A9C">
      <w:start w:val="1"/>
      <w:numFmt w:val="bullet"/>
      <w:lvlText w:val=""/>
      <w:lvlJc w:val="left"/>
      <w:pPr>
        <w:ind w:left="2160" w:hanging="360"/>
      </w:pPr>
      <w:rPr>
        <w:rFonts w:ascii="Wingdings" w:hAnsi="Wingdings" w:hint="default"/>
      </w:rPr>
    </w:lvl>
    <w:lvl w:ilvl="3" w:tplc="69BE25CA">
      <w:start w:val="1"/>
      <w:numFmt w:val="bullet"/>
      <w:lvlText w:val=""/>
      <w:lvlJc w:val="left"/>
      <w:pPr>
        <w:ind w:left="2880" w:hanging="360"/>
      </w:pPr>
      <w:rPr>
        <w:rFonts w:ascii="Symbol" w:hAnsi="Symbol" w:hint="default"/>
      </w:rPr>
    </w:lvl>
    <w:lvl w:ilvl="4" w:tplc="1778AE96">
      <w:start w:val="1"/>
      <w:numFmt w:val="bullet"/>
      <w:lvlText w:val="o"/>
      <w:lvlJc w:val="left"/>
      <w:pPr>
        <w:ind w:left="3600" w:hanging="360"/>
      </w:pPr>
      <w:rPr>
        <w:rFonts w:ascii="Courier New" w:hAnsi="Courier New" w:hint="default"/>
      </w:rPr>
    </w:lvl>
    <w:lvl w:ilvl="5" w:tplc="40AC6A22">
      <w:start w:val="1"/>
      <w:numFmt w:val="bullet"/>
      <w:lvlText w:val=""/>
      <w:lvlJc w:val="left"/>
      <w:pPr>
        <w:ind w:left="4320" w:hanging="360"/>
      </w:pPr>
      <w:rPr>
        <w:rFonts w:ascii="Wingdings" w:hAnsi="Wingdings" w:hint="default"/>
      </w:rPr>
    </w:lvl>
    <w:lvl w:ilvl="6" w:tplc="38F45EC0">
      <w:start w:val="1"/>
      <w:numFmt w:val="bullet"/>
      <w:lvlText w:val=""/>
      <w:lvlJc w:val="left"/>
      <w:pPr>
        <w:ind w:left="5040" w:hanging="360"/>
      </w:pPr>
      <w:rPr>
        <w:rFonts w:ascii="Symbol" w:hAnsi="Symbol" w:hint="default"/>
      </w:rPr>
    </w:lvl>
    <w:lvl w:ilvl="7" w:tplc="48F2CA94">
      <w:start w:val="1"/>
      <w:numFmt w:val="bullet"/>
      <w:lvlText w:val="o"/>
      <w:lvlJc w:val="left"/>
      <w:pPr>
        <w:ind w:left="5760" w:hanging="360"/>
      </w:pPr>
      <w:rPr>
        <w:rFonts w:ascii="Courier New" w:hAnsi="Courier New" w:hint="default"/>
      </w:rPr>
    </w:lvl>
    <w:lvl w:ilvl="8" w:tplc="04C2DF82">
      <w:start w:val="1"/>
      <w:numFmt w:val="bullet"/>
      <w:lvlText w:val=""/>
      <w:lvlJc w:val="left"/>
      <w:pPr>
        <w:ind w:left="6480" w:hanging="360"/>
      </w:pPr>
      <w:rPr>
        <w:rFonts w:ascii="Wingdings" w:hAnsi="Wingdings" w:hint="default"/>
      </w:rPr>
    </w:lvl>
  </w:abstractNum>
  <w:abstractNum w:abstractNumId="87" w15:restartNumberingAfterBreak="0">
    <w:nsid w:val="630C0C76"/>
    <w:multiLevelType w:val="multilevel"/>
    <w:tmpl w:val="84A07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33C3971"/>
    <w:multiLevelType w:val="multilevel"/>
    <w:tmpl w:val="B116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6DA7E0E"/>
    <w:multiLevelType w:val="multilevel"/>
    <w:tmpl w:val="6F28B9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6E02749"/>
    <w:multiLevelType w:val="hybridMultilevel"/>
    <w:tmpl w:val="FFFFFFFF"/>
    <w:lvl w:ilvl="0" w:tplc="172C4426">
      <w:start w:val="1"/>
      <w:numFmt w:val="bullet"/>
      <w:lvlText w:val=""/>
      <w:lvlJc w:val="left"/>
      <w:pPr>
        <w:ind w:left="720" w:hanging="360"/>
      </w:pPr>
      <w:rPr>
        <w:rFonts w:ascii="Symbol" w:hAnsi="Symbol" w:hint="default"/>
      </w:rPr>
    </w:lvl>
    <w:lvl w:ilvl="1" w:tplc="C06A2A9A">
      <w:start w:val="1"/>
      <w:numFmt w:val="bullet"/>
      <w:lvlText w:val="o"/>
      <w:lvlJc w:val="left"/>
      <w:pPr>
        <w:ind w:left="1440" w:hanging="360"/>
      </w:pPr>
      <w:rPr>
        <w:rFonts w:ascii="Courier New" w:hAnsi="Courier New" w:hint="default"/>
      </w:rPr>
    </w:lvl>
    <w:lvl w:ilvl="2" w:tplc="ADF8A4E4">
      <w:start w:val="1"/>
      <w:numFmt w:val="bullet"/>
      <w:lvlText w:val=""/>
      <w:lvlJc w:val="left"/>
      <w:pPr>
        <w:ind w:left="2160" w:hanging="360"/>
      </w:pPr>
      <w:rPr>
        <w:rFonts w:ascii="Wingdings" w:hAnsi="Wingdings" w:hint="default"/>
      </w:rPr>
    </w:lvl>
    <w:lvl w:ilvl="3" w:tplc="3B64DF5C">
      <w:start w:val="1"/>
      <w:numFmt w:val="bullet"/>
      <w:lvlText w:val=""/>
      <w:lvlJc w:val="left"/>
      <w:pPr>
        <w:ind w:left="2880" w:hanging="360"/>
      </w:pPr>
      <w:rPr>
        <w:rFonts w:ascii="Symbol" w:hAnsi="Symbol" w:hint="default"/>
      </w:rPr>
    </w:lvl>
    <w:lvl w:ilvl="4" w:tplc="5FF49068">
      <w:start w:val="1"/>
      <w:numFmt w:val="bullet"/>
      <w:lvlText w:val="o"/>
      <w:lvlJc w:val="left"/>
      <w:pPr>
        <w:ind w:left="3600" w:hanging="360"/>
      </w:pPr>
      <w:rPr>
        <w:rFonts w:ascii="Courier New" w:hAnsi="Courier New" w:hint="default"/>
      </w:rPr>
    </w:lvl>
    <w:lvl w:ilvl="5" w:tplc="831AE56C">
      <w:start w:val="1"/>
      <w:numFmt w:val="bullet"/>
      <w:lvlText w:val=""/>
      <w:lvlJc w:val="left"/>
      <w:pPr>
        <w:ind w:left="4320" w:hanging="360"/>
      </w:pPr>
      <w:rPr>
        <w:rFonts w:ascii="Wingdings" w:hAnsi="Wingdings" w:hint="default"/>
      </w:rPr>
    </w:lvl>
    <w:lvl w:ilvl="6" w:tplc="F5B4A652">
      <w:start w:val="1"/>
      <w:numFmt w:val="bullet"/>
      <w:lvlText w:val=""/>
      <w:lvlJc w:val="left"/>
      <w:pPr>
        <w:ind w:left="5040" w:hanging="360"/>
      </w:pPr>
      <w:rPr>
        <w:rFonts w:ascii="Symbol" w:hAnsi="Symbol" w:hint="default"/>
      </w:rPr>
    </w:lvl>
    <w:lvl w:ilvl="7" w:tplc="233AD654">
      <w:start w:val="1"/>
      <w:numFmt w:val="bullet"/>
      <w:lvlText w:val="o"/>
      <w:lvlJc w:val="left"/>
      <w:pPr>
        <w:ind w:left="5760" w:hanging="360"/>
      </w:pPr>
      <w:rPr>
        <w:rFonts w:ascii="Courier New" w:hAnsi="Courier New" w:hint="default"/>
      </w:rPr>
    </w:lvl>
    <w:lvl w:ilvl="8" w:tplc="EE8C1CC2">
      <w:start w:val="1"/>
      <w:numFmt w:val="bullet"/>
      <w:lvlText w:val=""/>
      <w:lvlJc w:val="left"/>
      <w:pPr>
        <w:ind w:left="6480" w:hanging="360"/>
      </w:pPr>
      <w:rPr>
        <w:rFonts w:ascii="Wingdings" w:hAnsi="Wingdings" w:hint="default"/>
      </w:rPr>
    </w:lvl>
  </w:abstractNum>
  <w:abstractNum w:abstractNumId="91" w15:restartNumberingAfterBreak="0">
    <w:nsid w:val="67F88210"/>
    <w:multiLevelType w:val="hybridMultilevel"/>
    <w:tmpl w:val="64324CB6"/>
    <w:lvl w:ilvl="0" w:tplc="54A0D584">
      <w:start w:val="1"/>
      <w:numFmt w:val="decimal"/>
      <w:lvlText w:val="%1."/>
      <w:lvlJc w:val="left"/>
      <w:pPr>
        <w:ind w:left="720" w:hanging="360"/>
      </w:pPr>
    </w:lvl>
    <w:lvl w:ilvl="1" w:tplc="BC801D82">
      <w:start w:val="1"/>
      <w:numFmt w:val="lowerLetter"/>
      <w:lvlText w:val="%2."/>
      <w:lvlJc w:val="left"/>
      <w:pPr>
        <w:ind w:left="1440" w:hanging="360"/>
      </w:pPr>
    </w:lvl>
    <w:lvl w:ilvl="2" w:tplc="899208AE">
      <w:start w:val="1"/>
      <w:numFmt w:val="lowerRoman"/>
      <w:lvlText w:val="%3."/>
      <w:lvlJc w:val="right"/>
      <w:pPr>
        <w:ind w:left="2160" w:hanging="180"/>
      </w:pPr>
    </w:lvl>
    <w:lvl w:ilvl="3" w:tplc="38404686">
      <w:start w:val="1"/>
      <w:numFmt w:val="decimal"/>
      <w:lvlText w:val="%4."/>
      <w:lvlJc w:val="left"/>
      <w:pPr>
        <w:ind w:left="2880" w:hanging="360"/>
      </w:pPr>
    </w:lvl>
    <w:lvl w:ilvl="4" w:tplc="138414AA">
      <w:start w:val="1"/>
      <w:numFmt w:val="lowerLetter"/>
      <w:lvlText w:val="%5."/>
      <w:lvlJc w:val="left"/>
      <w:pPr>
        <w:ind w:left="3600" w:hanging="360"/>
      </w:pPr>
    </w:lvl>
    <w:lvl w:ilvl="5" w:tplc="208625AC">
      <w:start w:val="1"/>
      <w:numFmt w:val="lowerRoman"/>
      <w:lvlText w:val="%6."/>
      <w:lvlJc w:val="right"/>
      <w:pPr>
        <w:ind w:left="4320" w:hanging="180"/>
      </w:pPr>
    </w:lvl>
    <w:lvl w:ilvl="6" w:tplc="82846EDA">
      <w:start w:val="1"/>
      <w:numFmt w:val="decimal"/>
      <w:lvlText w:val="%7."/>
      <w:lvlJc w:val="left"/>
      <w:pPr>
        <w:ind w:left="5040" w:hanging="360"/>
      </w:pPr>
    </w:lvl>
    <w:lvl w:ilvl="7" w:tplc="0C22B758">
      <w:start w:val="1"/>
      <w:numFmt w:val="lowerLetter"/>
      <w:lvlText w:val="%8."/>
      <w:lvlJc w:val="left"/>
      <w:pPr>
        <w:ind w:left="5760" w:hanging="360"/>
      </w:pPr>
    </w:lvl>
    <w:lvl w:ilvl="8" w:tplc="4DBCA086">
      <w:start w:val="1"/>
      <w:numFmt w:val="lowerRoman"/>
      <w:lvlText w:val="%9."/>
      <w:lvlJc w:val="right"/>
      <w:pPr>
        <w:ind w:left="6480" w:hanging="180"/>
      </w:pPr>
    </w:lvl>
  </w:abstractNum>
  <w:abstractNum w:abstractNumId="92" w15:restartNumberingAfterBreak="0">
    <w:nsid w:val="68543210"/>
    <w:multiLevelType w:val="multilevel"/>
    <w:tmpl w:val="9C68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9275A31"/>
    <w:multiLevelType w:val="multilevel"/>
    <w:tmpl w:val="93F8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9EE0C96"/>
    <w:multiLevelType w:val="multilevel"/>
    <w:tmpl w:val="0332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C9C78EA"/>
    <w:multiLevelType w:val="multilevel"/>
    <w:tmpl w:val="1C8A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CEC76E9"/>
    <w:multiLevelType w:val="multilevel"/>
    <w:tmpl w:val="5B5A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DDDAB91"/>
    <w:multiLevelType w:val="multilevel"/>
    <w:tmpl w:val="8F285EBA"/>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570"/>
        </w:tabs>
        <w:ind w:left="157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8" w15:restartNumberingAfterBreak="0">
    <w:nsid w:val="6ECB32E0"/>
    <w:multiLevelType w:val="multilevel"/>
    <w:tmpl w:val="CB64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EE223FF"/>
    <w:multiLevelType w:val="hybridMultilevel"/>
    <w:tmpl w:val="A8041750"/>
    <w:lvl w:ilvl="0" w:tplc="9A44A4F6">
      <w:start w:val="1"/>
      <w:numFmt w:val="bullet"/>
      <w:lvlText w:val=""/>
      <w:lvlJc w:val="left"/>
      <w:pPr>
        <w:ind w:left="720" w:hanging="360"/>
      </w:pPr>
      <w:rPr>
        <w:rFonts w:ascii="Symbol" w:hAnsi="Symbol" w:hint="default"/>
      </w:rPr>
    </w:lvl>
    <w:lvl w:ilvl="1" w:tplc="1750A896">
      <w:start w:val="1"/>
      <w:numFmt w:val="bullet"/>
      <w:lvlText w:val="o"/>
      <w:lvlJc w:val="left"/>
      <w:pPr>
        <w:ind w:left="1440" w:hanging="360"/>
      </w:pPr>
      <w:rPr>
        <w:rFonts w:ascii="Courier New" w:hAnsi="Courier New" w:hint="default"/>
      </w:rPr>
    </w:lvl>
    <w:lvl w:ilvl="2" w:tplc="2F1478CC">
      <w:start w:val="1"/>
      <w:numFmt w:val="bullet"/>
      <w:lvlText w:val=""/>
      <w:lvlJc w:val="left"/>
      <w:pPr>
        <w:ind w:left="2160" w:hanging="360"/>
      </w:pPr>
      <w:rPr>
        <w:rFonts w:ascii="Wingdings" w:hAnsi="Wingdings" w:hint="default"/>
      </w:rPr>
    </w:lvl>
    <w:lvl w:ilvl="3" w:tplc="962C8216">
      <w:start w:val="1"/>
      <w:numFmt w:val="bullet"/>
      <w:lvlText w:val=""/>
      <w:lvlJc w:val="left"/>
      <w:pPr>
        <w:ind w:left="2880" w:hanging="360"/>
      </w:pPr>
      <w:rPr>
        <w:rFonts w:ascii="Symbol" w:hAnsi="Symbol" w:hint="default"/>
      </w:rPr>
    </w:lvl>
    <w:lvl w:ilvl="4" w:tplc="219E19FE">
      <w:start w:val="1"/>
      <w:numFmt w:val="bullet"/>
      <w:lvlText w:val="o"/>
      <w:lvlJc w:val="left"/>
      <w:pPr>
        <w:ind w:left="3600" w:hanging="360"/>
      </w:pPr>
      <w:rPr>
        <w:rFonts w:ascii="Courier New" w:hAnsi="Courier New" w:hint="default"/>
      </w:rPr>
    </w:lvl>
    <w:lvl w:ilvl="5" w:tplc="65C24892">
      <w:start w:val="1"/>
      <w:numFmt w:val="bullet"/>
      <w:lvlText w:val=""/>
      <w:lvlJc w:val="left"/>
      <w:pPr>
        <w:ind w:left="4320" w:hanging="360"/>
      </w:pPr>
      <w:rPr>
        <w:rFonts w:ascii="Wingdings" w:hAnsi="Wingdings" w:hint="default"/>
      </w:rPr>
    </w:lvl>
    <w:lvl w:ilvl="6" w:tplc="815ABCA6">
      <w:start w:val="1"/>
      <w:numFmt w:val="bullet"/>
      <w:lvlText w:val=""/>
      <w:lvlJc w:val="left"/>
      <w:pPr>
        <w:ind w:left="5040" w:hanging="360"/>
      </w:pPr>
      <w:rPr>
        <w:rFonts w:ascii="Symbol" w:hAnsi="Symbol" w:hint="default"/>
      </w:rPr>
    </w:lvl>
    <w:lvl w:ilvl="7" w:tplc="CF3A6506">
      <w:start w:val="1"/>
      <w:numFmt w:val="bullet"/>
      <w:lvlText w:val="o"/>
      <w:lvlJc w:val="left"/>
      <w:pPr>
        <w:ind w:left="5760" w:hanging="360"/>
      </w:pPr>
      <w:rPr>
        <w:rFonts w:ascii="Courier New" w:hAnsi="Courier New" w:hint="default"/>
      </w:rPr>
    </w:lvl>
    <w:lvl w:ilvl="8" w:tplc="137E3A1E">
      <w:start w:val="1"/>
      <w:numFmt w:val="bullet"/>
      <w:lvlText w:val=""/>
      <w:lvlJc w:val="left"/>
      <w:pPr>
        <w:ind w:left="6480" w:hanging="360"/>
      </w:pPr>
      <w:rPr>
        <w:rFonts w:ascii="Wingdings" w:hAnsi="Wingdings" w:hint="default"/>
      </w:rPr>
    </w:lvl>
  </w:abstractNum>
  <w:abstractNum w:abstractNumId="100" w15:restartNumberingAfterBreak="0">
    <w:nsid w:val="70EBAAF7"/>
    <w:multiLevelType w:val="hybridMultilevel"/>
    <w:tmpl w:val="D25E025E"/>
    <w:lvl w:ilvl="0" w:tplc="3D684730">
      <w:start w:val="1"/>
      <w:numFmt w:val="bullet"/>
      <w:lvlText w:val="-"/>
      <w:lvlJc w:val="left"/>
      <w:pPr>
        <w:ind w:left="720" w:hanging="360"/>
      </w:pPr>
      <w:rPr>
        <w:rFonts w:ascii="Aptos" w:hAnsi="Aptos" w:hint="default"/>
      </w:rPr>
    </w:lvl>
    <w:lvl w:ilvl="1" w:tplc="614AC32A">
      <w:start w:val="1"/>
      <w:numFmt w:val="bullet"/>
      <w:lvlText w:val="o"/>
      <w:lvlJc w:val="left"/>
      <w:pPr>
        <w:ind w:left="1440" w:hanging="360"/>
      </w:pPr>
      <w:rPr>
        <w:rFonts w:ascii="Courier New" w:hAnsi="Courier New" w:hint="default"/>
      </w:rPr>
    </w:lvl>
    <w:lvl w:ilvl="2" w:tplc="C46014C2">
      <w:start w:val="1"/>
      <w:numFmt w:val="bullet"/>
      <w:lvlText w:val=""/>
      <w:lvlJc w:val="left"/>
      <w:pPr>
        <w:ind w:left="2160" w:hanging="360"/>
      </w:pPr>
      <w:rPr>
        <w:rFonts w:ascii="Wingdings" w:hAnsi="Wingdings" w:hint="default"/>
      </w:rPr>
    </w:lvl>
    <w:lvl w:ilvl="3" w:tplc="DEFAC154">
      <w:start w:val="1"/>
      <w:numFmt w:val="bullet"/>
      <w:lvlText w:val=""/>
      <w:lvlJc w:val="left"/>
      <w:pPr>
        <w:ind w:left="2880" w:hanging="360"/>
      </w:pPr>
      <w:rPr>
        <w:rFonts w:ascii="Symbol" w:hAnsi="Symbol" w:hint="default"/>
      </w:rPr>
    </w:lvl>
    <w:lvl w:ilvl="4" w:tplc="4DDAFE22">
      <w:start w:val="1"/>
      <w:numFmt w:val="bullet"/>
      <w:lvlText w:val="o"/>
      <w:lvlJc w:val="left"/>
      <w:pPr>
        <w:ind w:left="3600" w:hanging="360"/>
      </w:pPr>
      <w:rPr>
        <w:rFonts w:ascii="Courier New" w:hAnsi="Courier New" w:hint="default"/>
      </w:rPr>
    </w:lvl>
    <w:lvl w:ilvl="5" w:tplc="F7287F9E">
      <w:start w:val="1"/>
      <w:numFmt w:val="bullet"/>
      <w:lvlText w:val=""/>
      <w:lvlJc w:val="left"/>
      <w:pPr>
        <w:ind w:left="4320" w:hanging="360"/>
      </w:pPr>
      <w:rPr>
        <w:rFonts w:ascii="Wingdings" w:hAnsi="Wingdings" w:hint="default"/>
      </w:rPr>
    </w:lvl>
    <w:lvl w:ilvl="6" w:tplc="4B7C678E">
      <w:start w:val="1"/>
      <w:numFmt w:val="bullet"/>
      <w:lvlText w:val=""/>
      <w:lvlJc w:val="left"/>
      <w:pPr>
        <w:ind w:left="5040" w:hanging="360"/>
      </w:pPr>
      <w:rPr>
        <w:rFonts w:ascii="Symbol" w:hAnsi="Symbol" w:hint="default"/>
      </w:rPr>
    </w:lvl>
    <w:lvl w:ilvl="7" w:tplc="2026C0B0">
      <w:start w:val="1"/>
      <w:numFmt w:val="bullet"/>
      <w:lvlText w:val="o"/>
      <w:lvlJc w:val="left"/>
      <w:pPr>
        <w:ind w:left="5760" w:hanging="360"/>
      </w:pPr>
      <w:rPr>
        <w:rFonts w:ascii="Courier New" w:hAnsi="Courier New" w:hint="default"/>
      </w:rPr>
    </w:lvl>
    <w:lvl w:ilvl="8" w:tplc="A258B22A">
      <w:start w:val="1"/>
      <w:numFmt w:val="bullet"/>
      <w:lvlText w:val=""/>
      <w:lvlJc w:val="left"/>
      <w:pPr>
        <w:ind w:left="6480" w:hanging="360"/>
      </w:pPr>
      <w:rPr>
        <w:rFonts w:ascii="Wingdings" w:hAnsi="Wingdings" w:hint="default"/>
      </w:rPr>
    </w:lvl>
  </w:abstractNum>
  <w:abstractNum w:abstractNumId="101" w15:restartNumberingAfterBreak="0">
    <w:nsid w:val="71BD21C6"/>
    <w:multiLevelType w:val="multilevel"/>
    <w:tmpl w:val="A680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24333C6"/>
    <w:multiLevelType w:val="multilevel"/>
    <w:tmpl w:val="C7E6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33517B9"/>
    <w:multiLevelType w:val="multilevel"/>
    <w:tmpl w:val="7380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34F7ABF"/>
    <w:multiLevelType w:val="multilevel"/>
    <w:tmpl w:val="AC34C8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38F7DE0"/>
    <w:multiLevelType w:val="hybridMultilevel"/>
    <w:tmpl w:val="A6F2136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6" w15:restartNumberingAfterBreak="0">
    <w:nsid w:val="7845329A"/>
    <w:multiLevelType w:val="hybridMultilevel"/>
    <w:tmpl w:val="F30CD730"/>
    <w:lvl w:ilvl="0" w:tplc="5C081974">
      <w:start w:val="14"/>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9190DD2"/>
    <w:multiLevelType w:val="hybridMultilevel"/>
    <w:tmpl w:val="91C25A96"/>
    <w:lvl w:ilvl="0" w:tplc="D8E44CE6">
      <w:start w:val="14"/>
      <w:numFmt w:val="bullet"/>
      <w:lvlText w:val="-"/>
      <w:lvlJc w:val="left"/>
      <w:pPr>
        <w:ind w:left="720" w:hanging="360"/>
      </w:pPr>
      <w:rPr>
        <w:rFonts w:ascii="Aptos" w:eastAsia="Aptos" w:hAnsi="Aptos" w:cs="Apto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9DE0CAE"/>
    <w:multiLevelType w:val="hybridMultilevel"/>
    <w:tmpl w:val="FFFFFFFF"/>
    <w:lvl w:ilvl="0" w:tplc="FA96D27C">
      <w:start w:val="1"/>
      <w:numFmt w:val="bullet"/>
      <w:lvlText w:val=""/>
      <w:lvlJc w:val="left"/>
      <w:pPr>
        <w:ind w:left="720" w:hanging="360"/>
      </w:pPr>
      <w:rPr>
        <w:rFonts w:ascii="Symbol" w:hAnsi="Symbol" w:hint="default"/>
      </w:rPr>
    </w:lvl>
    <w:lvl w:ilvl="1" w:tplc="8C3EA21E">
      <w:start w:val="1"/>
      <w:numFmt w:val="bullet"/>
      <w:lvlText w:val="o"/>
      <w:lvlJc w:val="left"/>
      <w:pPr>
        <w:ind w:left="1440" w:hanging="360"/>
      </w:pPr>
      <w:rPr>
        <w:rFonts w:ascii="Courier New" w:hAnsi="Courier New" w:hint="default"/>
      </w:rPr>
    </w:lvl>
    <w:lvl w:ilvl="2" w:tplc="004E09C6">
      <w:start w:val="1"/>
      <w:numFmt w:val="bullet"/>
      <w:lvlText w:val=""/>
      <w:lvlJc w:val="left"/>
      <w:pPr>
        <w:ind w:left="2160" w:hanging="360"/>
      </w:pPr>
      <w:rPr>
        <w:rFonts w:ascii="Wingdings" w:hAnsi="Wingdings" w:hint="default"/>
      </w:rPr>
    </w:lvl>
    <w:lvl w:ilvl="3" w:tplc="7082BA2A">
      <w:start w:val="1"/>
      <w:numFmt w:val="bullet"/>
      <w:lvlText w:val=""/>
      <w:lvlJc w:val="left"/>
      <w:pPr>
        <w:ind w:left="2880" w:hanging="360"/>
      </w:pPr>
      <w:rPr>
        <w:rFonts w:ascii="Symbol" w:hAnsi="Symbol" w:hint="default"/>
      </w:rPr>
    </w:lvl>
    <w:lvl w:ilvl="4" w:tplc="9496E798">
      <w:start w:val="1"/>
      <w:numFmt w:val="bullet"/>
      <w:lvlText w:val="o"/>
      <w:lvlJc w:val="left"/>
      <w:pPr>
        <w:ind w:left="3600" w:hanging="360"/>
      </w:pPr>
      <w:rPr>
        <w:rFonts w:ascii="Courier New" w:hAnsi="Courier New" w:hint="default"/>
      </w:rPr>
    </w:lvl>
    <w:lvl w:ilvl="5" w:tplc="4552D39A">
      <w:start w:val="1"/>
      <w:numFmt w:val="bullet"/>
      <w:lvlText w:val=""/>
      <w:lvlJc w:val="left"/>
      <w:pPr>
        <w:ind w:left="4320" w:hanging="360"/>
      </w:pPr>
      <w:rPr>
        <w:rFonts w:ascii="Wingdings" w:hAnsi="Wingdings" w:hint="default"/>
      </w:rPr>
    </w:lvl>
    <w:lvl w:ilvl="6" w:tplc="634E3EC0">
      <w:start w:val="1"/>
      <w:numFmt w:val="bullet"/>
      <w:lvlText w:val=""/>
      <w:lvlJc w:val="left"/>
      <w:pPr>
        <w:ind w:left="5040" w:hanging="360"/>
      </w:pPr>
      <w:rPr>
        <w:rFonts w:ascii="Symbol" w:hAnsi="Symbol" w:hint="default"/>
      </w:rPr>
    </w:lvl>
    <w:lvl w:ilvl="7" w:tplc="C46035FA">
      <w:start w:val="1"/>
      <w:numFmt w:val="bullet"/>
      <w:lvlText w:val="o"/>
      <w:lvlJc w:val="left"/>
      <w:pPr>
        <w:ind w:left="5760" w:hanging="360"/>
      </w:pPr>
      <w:rPr>
        <w:rFonts w:ascii="Courier New" w:hAnsi="Courier New" w:hint="default"/>
      </w:rPr>
    </w:lvl>
    <w:lvl w:ilvl="8" w:tplc="031239F2">
      <w:start w:val="1"/>
      <w:numFmt w:val="bullet"/>
      <w:lvlText w:val=""/>
      <w:lvlJc w:val="left"/>
      <w:pPr>
        <w:ind w:left="6480" w:hanging="360"/>
      </w:pPr>
      <w:rPr>
        <w:rFonts w:ascii="Wingdings" w:hAnsi="Wingdings" w:hint="default"/>
      </w:rPr>
    </w:lvl>
  </w:abstractNum>
  <w:abstractNum w:abstractNumId="109" w15:restartNumberingAfterBreak="0">
    <w:nsid w:val="7A918085"/>
    <w:multiLevelType w:val="multilevel"/>
    <w:tmpl w:val="271CC27E"/>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ADB6403"/>
    <w:multiLevelType w:val="multilevel"/>
    <w:tmpl w:val="3424B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7CEB1D37"/>
    <w:multiLevelType w:val="multilevel"/>
    <w:tmpl w:val="EFAA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D2416AA"/>
    <w:multiLevelType w:val="hybridMultilevel"/>
    <w:tmpl w:val="7C58E3F8"/>
    <w:lvl w:ilvl="0" w:tplc="D0FE3AC4">
      <w:start w:val="9"/>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3" w15:restartNumberingAfterBreak="0">
    <w:nsid w:val="7DB0282E"/>
    <w:multiLevelType w:val="multilevel"/>
    <w:tmpl w:val="4A8C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53235045">
    <w:abstractNumId w:val="100"/>
  </w:num>
  <w:num w:numId="2" w16cid:durableId="147400328">
    <w:abstractNumId w:val="91"/>
  </w:num>
  <w:num w:numId="3" w16cid:durableId="585840947">
    <w:abstractNumId w:val="4"/>
  </w:num>
  <w:num w:numId="4" w16cid:durableId="1022434802">
    <w:abstractNumId w:val="20"/>
  </w:num>
  <w:num w:numId="5" w16cid:durableId="1288731166">
    <w:abstractNumId w:val="13"/>
  </w:num>
  <w:num w:numId="6" w16cid:durableId="643199427">
    <w:abstractNumId w:val="99"/>
  </w:num>
  <w:num w:numId="7" w16cid:durableId="10838171">
    <w:abstractNumId w:val="5"/>
  </w:num>
  <w:num w:numId="8" w16cid:durableId="1264529697">
    <w:abstractNumId w:val="24"/>
  </w:num>
  <w:num w:numId="9" w16cid:durableId="170948891">
    <w:abstractNumId w:val="37"/>
  </w:num>
  <w:num w:numId="10" w16cid:durableId="1771467164">
    <w:abstractNumId w:val="83"/>
  </w:num>
  <w:num w:numId="11" w16cid:durableId="1799494003">
    <w:abstractNumId w:val="52"/>
  </w:num>
  <w:num w:numId="12" w16cid:durableId="207690491">
    <w:abstractNumId w:val="67"/>
  </w:num>
  <w:num w:numId="13" w16cid:durableId="1088039078">
    <w:abstractNumId w:val="86"/>
  </w:num>
  <w:num w:numId="14" w16cid:durableId="728648823">
    <w:abstractNumId w:val="79"/>
  </w:num>
  <w:num w:numId="15" w16cid:durableId="78791060">
    <w:abstractNumId w:val="44"/>
  </w:num>
  <w:num w:numId="16" w16cid:durableId="471555826">
    <w:abstractNumId w:val="22"/>
  </w:num>
  <w:num w:numId="17" w16cid:durableId="1555651857">
    <w:abstractNumId w:val="47"/>
  </w:num>
  <w:num w:numId="18" w16cid:durableId="1351177175">
    <w:abstractNumId w:val="82"/>
  </w:num>
  <w:num w:numId="19" w16cid:durableId="1662152869">
    <w:abstractNumId w:val="18"/>
  </w:num>
  <w:num w:numId="20" w16cid:durableId="1042901890">
    <w:abstractNumId w:val="97"/>
  </w:num>
  <w:num w:numId="21" w16cid:durableId="196152269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10138424">
    <w:abstractNumId w:val="18"/>
  </w:num>
  <w:num w:numId="23" w16cid:durableId="523709029">
    <w:abstractNumId w:val="53"/>
  </w:num>
  <w:num w:numId="24" w16cid:durableId="1056855202">
    <w:abstractNumId w:val="33"/>
  </w:num>
  <w:num w:numId="25" w16cid:durableId="1458570173">
    <w:abstractNumId w:val="18"/>
  </w:num>
  <w:num w:numId="26" w16cid:durableId="1574044829">
    <w:abstractNumId w:val="109"/>
  </w:num>
  <w:num w:numId="27" w16cid:durableId="1046874967">
    <w:abstractNumId w:val="63"/>
  </w:num>
  <w:num w:numId="28" w16cid:durableId="1188447800">
    <w:abstractNumId w:val="111"/>
  </w:num>
  <w:num w:numId="29" w16cid:durableId="709190604">
    <w:abstractNumId w:val="14"/>
  </w:num>
  <w:num w:numId="30" w16cid:durableId="74085846">
    <w:abstractNumId w:val="8"/>
  </w:num>
  <w:num w:numId="31" w16cid:durableId="66346532">
    <w:abstractNumId w:val="87"/>
  </w:num>
  <w:num w:numId="32" w16cid:durableId="1796017901">
    <w:abstractNumId w:val="64"/>
  </w:num>
  <w:num w:numId="33" w16cid:durableId="1943801264">
    <w:abstractNumId w:val="9"/>
  </w:num>
  <w:num w:numId="34" w16cid:durableId="181163009">
    <w:abstractNumId w:val="51"/>
  </w:num>
  <w:num w:numId="35" w16cid:durableId="366026883">
    <w:abstractNumId w:val="68"/>
  </w:num>
  <w:num w:numId="36" w16cid:durableId="1141537699">
    <w:abstractNumId w:val="75"/>
  </w:num>
  <w:num w:numId="37" w16cid:durableId="544635164">
    <w:abstractNumId w:val="66"/>
  </w:num>
  <w:num w:numId="38" w16cid:durableId="389153508">
    <w:abstractNumId w:val="12"/>
  </w:num>
  <w:num w:numId="39" w16cid:durableId="924413480">
    <w:abstractNumId w:val="11"/>
  </w:num>
  <w:num w:numId="40" w16cid:durableId="630087828">
    <w:abstractNumId w:val="3"/>
  </w:num>
  <w:num w:numId="41" w16cid:durableId="1446315387">
    <w:abstractNumId w:val="46"/>
  </w:num>
  <w:num w:numId="42" w16cid:durableId="499076285">
    <w:abstractNumId w:val="59"/>
  </w:num>
  <w:num w:numId="43" w16cid:durableId="1154106172">
    <w:abstractNumId w:val="60"/>
  </w:num>
  <w:num w:numId="44" w16cid:durableId="1351763136">
    <w:abstractNumId w:val="62"/>
  </w:num>
  <w:num w:numId="45" w16cid:durableId="91169403">
    <w:abstractNumId w:val="69"/>
  </w:num>
  <w:num w:numId="46" w16cid:durableId="145324514">
    <w:abstractNumId w:val="81"/>
  </w:num>
  <w:num w:numId="47" w16cid:durableId="830878161">
    <w:abstractNumId w:val="76"/>
  </w:num>
  <w:num w:numId="48" w16cid:durableId="392701593">
    <w:abstractNumId w:val="55"/>
  </w:num>
  <w:num w:numId="49" w16cid:durableId="1486585755">
    <w:abstractNumId w:val="74"/>
  </w:num>
  <w:num w:numId="50" w16cid:durableId="452747112">
    <w:abstractNumId w:val="54"/>
  </w:num>
  <w:num w:numId="51" w16cid:durableId="1005131613">
    <w:abstractNumId w:val="35"/>
  </w:num>
  <w:num w:numId="52" w16cid:durableId="1830944786">
    <w:abstractNumId w:val="57"/>
  </w:num>
  <w:num w:numId="53" w16cid:durableId="521164246">
    <w:abstractNumId w:val="16"/>
  </w:num>
  <w:num w:numId="54" w16cid:durableId="364790138">
    <w:abstractNumId w:val="72"/>
  </w:num>
  <w:num w:numId="55" w16cid:durableId="6324117">
    <w:abstractNumId w:val="93"/>
  </w:num>
  <w:num w:numId="56" w16cid:durableId="1607812028">
    <w:abstractNumId w:val="84"/>
  </w:num>
  <w:num w:numId="57" w16cid:durableId="627275745">
    <w:abstractNumId w:val="1"/>
  </w:num>
  <w:num w:numId="58" w16cid:durableId="867568166">
    <w:abstractNumId w:val="28"/>
  </w:num>
  <w:num w:numId="59" w16cid:durableId="1873955277">
    <w:abstractNumId w:val="70"/>
  </w:num>
  <w:num w:numId="60" w16cid:durableId="272834419">
    <w:abstractNumId w:val="58"/>
  </w:num>
  <w:num w:numId="61" w16cid:durableId="144707427">
    <w:abstractNumId w:val="94"/>
  </w:num>
  <w:num w:numId="62" w16cid:durableId="1674795787">
    <w:abstractNumId w:val="113"/>
  </w:num>
  <w:num w:numId="63" w16cid:durableId="754204818">
    <w:abstractNumId w:val="39"/>
  </w:num>
  <w:num w:numId="64" w16cid:durableId="671645195">
    <w:abstractNumId w:val="85"/>
  </w:num>
  <w:num w:numId="65" w16cid:durableId="1670403118">
    <w:abstractNumId w:val="49"/>
  </w:num>
  <w:num w:numId="66" w16cid:durableId="1102913443">
    <w:abstractNumId w:val="0"/>
  </w:num>
  <w:num w:numId="67" w16cid:durableId="435752443">
    <w:abstractNumId w:val="73"/>
  </w:num>
  <w:num w:numId="68" w16cid:durableId="1233588653">
    <w:abstractNumId w:val="48"/>
  </w:num>
  <w:num w:numId="69" w16cid:durableId="1014915093">
    <w:abstractNumId w:val="96"/>
  </w:num>
  <w:num w:numId="70" w16cid:durableId="1688751420">
    <w:abstractNumId w:val="40"/>
  </w:num>
  <w:num w:numId="71" w16cid:durableId="810440966">
    <w:abstractNumId w:val="61"/>
  </w:num>
  <w:num w:numId="72" w16cid:durableId="563183011">
    <w:abstractNumId w:val="56"/>
  </w:num>
  <w:num w:numId="73" w16cid:durableId="495263754">
    <w:abstractNumId w:val="41"/>
  </w:num>
  <w:num w:numId="74" w16cid:durableId="466316337">
    <w:abstractNumId w:val="7"/>
  </w:num>
  <w:num w:numId="75" w16cid:durableId="725421034">
    <w:abstractNumId w:val="101"/>
  </w:num>
  <w:num w:numId="76" w16cid:durableId="315425598">
    <w:abstractNumId w:val="103"/>
  </w:num>
  <w:num w:numId="77" w16cid:durableId="1841651050">
    <w:abstractNumId w:val="42"/>
  </w:num>
  <w:num w:numId="78" w16cid:durableId="974721789">
    <w:abstractNumId w:val="25"/>
  </w:num>
  <w:num w:numId="79" w16cid:durableId="1429035606">
    <w:abstractNumId w:val="17"/>
  </w:num>
  <w:num w:numId="80" w16cid:durableId="732200666">
    <w:abstractNumId w:val="98"/>
  </w:num>
  <w:num w:numId="81" w16cid:durableId="891843543">
    <w:abstractNumId w:val="21"/>
  </w:num>
  <w:num w:numId="82" w16cid:durableId="1955674964">
    <w:abstractNumId w:val="27"/>
  </w:num>
  <w:num w:numId="83" w16cid:durableId="1205824272">
    <w:abstractNumId w:val="88"/>
  </w:num>
  <w:num w:numId="84" w16cid:durableId="772014828">
    <w:abstractNumId w:val="71"/>
  </w:num>
  <w:num w:numId="85" w16cid:durableId="879245596">
    <w:abstractNumId w:val="95"/>
  </w:num>
  <w:num w:numId="86" w16cid:durableId="782265323">
    <w:abstractNumId w:val="77"/>
  </w:num>
  <w:num w:numId="87" w16cid:durableId="1667321085">
    <w:abstractNumId w:val="19"/>
  </w:num>
  <w:num w:numId="88" w16cid:durableId="374157944">
    <w:abstractNumId w:val="110"/>
  </w:num>
  <w:num w:numId="89" w16cid:durableId="520700654">
    <w:abstractNumId w:val="30"/>
  </w:num>
  <w:num w:numId="90" w16cid:durableId="367996154">
    <w:abstractNumId w:val="10"/>
  </w:num>
  <w:num w:numId="91" w16cid:durableId="936326185">
    <w:abstractNumId w:val="78"/>
  </w:num>
  <w:num w:numId="92" w16cid:durableId="93791607">
    <w:abstractNumId w:val="23"/>
  </w:num>
  <w:num w:numId="93" w16cid:durableId="513543313">
    <w:abstractNumId w:val="102"/>
  </w:num>
  <w:num w:numId="94" w16cid:durableId="128329874">
    <w:abstractNumId w:val="32"/>
  </w:num>
  <w:num w:numId="95" w16cid:durableId="1915428943">
    <w:abstractNumId w:val="92"/>
  </w:num>
  <w:num w:numId="96" w16cid:durableId="1330210309">
    <w:abstractNumId w:val="6"/>
  </w:num>
  <w:num w:numId="97" w16cid:durableId="61367137">
    <w:abstractNumId w:val="2"/>
  </w:num>
  <w:num w:numId="98" w16cid:durableId="2131822503">
    <w:abstractNumId w:val="38"/>
  </w:num>
  <w:num w:numId="99" w16cid:durableId="611285838">
    <w:abstractNumId w:val="65"/>
  </w:num>
  <w:num w:numId="100" w16cid:durableId="97650783">
    <w:abstractNumId w:val="104"/>
  </w:num>
  <w:num w:numId="101" w16cid:durableId="724834822">
    <w:abstractNumId w:val="90"/>
  </w:num>
  <w:num w:numId="102" w16cid:durableId="1701206189">
    <w:abstractNumId w:val="108"/>
  </w:num>
  <w:num w:numId="103" w16cid:durableId="649098173">
    <w:abstractNumId w:val="26"/>
  </w:num>
  <w:num w:numId="104" w16cid:durableId="1541670581">
    <w:abstractNumId w:val="36"/>
  </w:num>
  <w:num w:numId="105" w16cid:durableId="1735815068">
    <w:abstractNumId w:val="43"/>
  </w:num>
  <w:num w:numId="106" w16cid:durableId="329261454">
    <w:abstractNumId w:val="45"/>
  </w:num>
  <w:num w:numId="107" w16cid:durableId="1281038149">
    <w:abstractNumId w:val="80"/>
  </w:num>
  <w:num w:numId="108" w16cid:durableId="309677557">
    <w:abstractNumId w:val="105"/>
  </w:num>
  <w:num w:numId="109" w16cid:durableId="200825793">
    <w:abstractNumId w:val="112"/>
  </w:num>
  <w:num w:numId="110" w16cid:durableId="387412539">
    <w:abstractNumId w:val="89"/>
  </w:num>
  <w:num w:numId="111" w16cid:durableId="1690836353">
    <w:abstractNumId w:val="31"/>
  </w:num>
  <w:num w:numId="112" w16cid:durableId="1027750871">
    <w:abstractNumId w:val="29"/>
  </w:num>
  <w:num w:numId="113" w16cid:durableId="821314481">
    <w:abstractNumId w:val="34"/>
    <w:lvlOverride w:ilvl="0">
      <w:startOverride w:val="1"/>
    </w:lvlOverride>
    <w:lvlOverride w:ilvl="1"/>
    <w:lvlOverride w:ilvl="2"/>
    <w:lvlOverride w:ilvl="3"/>
    <w:lvlOverride w:ilvl="4"/>
    <w:lvlOverride w:ilvl="5"/>
    <w:lvlOverride w:ilvl="6"/>
    <w:lvlOverride w:ilvl="7"/>
    <w:lvlOverride w:ilvl="8"/>
  </w:num>
  <w:num w:numId="114" w16cid:durableId="229852122">
    <w:abstractNumId w:val="50"/>
  </w:num>
  <w:num w:numId="115" w16cid:durableId="1470396083">
    <w:abstractNumId w:val="106"/>
  </w:num>
  <w:num w:numId="116" w16cid:durableId="119298936">
    <w:abstractNumId w:val="107"/>
  </w:num>
  <w:num w:numId="117" w16cid:durableId="260266081">
    <w:abstractNumId w:val="15"/>
  </w:num>
  <w:num w:numId="118" w16cid:durableId="2098551562">
    <w:abstractNumId w:val="18"/>
  </w:num>
  <w:num w:numId="119" w16cid:durableId="1812406506">
    <w:abstractNumId w:val="18"/>
  </w:num>
  <w:num w:numId="120" w16cid:durableId="307900059">
    <w:abstractNumId w:val="1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Status" w:val="Green"/>
    <w:docVar w:name="LW_ACCOMPAGNANT.CP" w:val="Accompanying the documents"/>
    <w:docVar w:name="LW_CORRIGENDUM" w:val="&lt;UNUSED&gt;"/>
    <w:docVar w:name="LW_COVERPAGE_EXISTS" w:val="True"/>
    <w:docVar w:name="LW_COVERPAGE_GUID" w:val="36FADBF8-EBA2-42A9-852E-356E7F273330"/>
    <w:docVar w:name="LW_COVERPAGE_TYPE" w:val="1"/>
    <w:docVar w:name="LW_CROSSREFERENCE" w:val="{COM(2025) 543 final} - {COM(2025) 544 final} - {COM(2025) 555 final} - {SEC(2025) 555 final} - {SWD(2025) 556 final}"/>
    <w:docVar w:name="LW_DocType" w:val="NORMAL"/>
    <w:docVar w:name="LW_EMISSION" w:val="16.7.2025"/>
    <w:docVar w:name="LW_EMISSION_ISODATE" w:val="2025-07-16"/>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Proposal for a Regulation of the European Parliament and of the Council_x000d__x000d__x000b_establishing Horizon Europe, the Framework Programme for Research and Innovation, for the period 2028-2034 laying down its rules for participation and dissemination, and repealing Regulation (EU) 2021/695 _x000d__x000b__x000d__x000b_Proposal for a Council Decision_x000d__x000d__x000b_on establishing the Specific Programme implementing Horizon Europe - the Framework Programme for Research and Innovation for the period 2028-2034, laying down the rules for participation and dissemination under that Programme, and repealing Decision (EU) 2021/764"/>
    <w:docVar w:name="LW_PART_NBR" w:val="1"/>
    <w:docVar w:name="LW_PART_NBR_TOTAL" w:val="1"/>
    <w:docVar w:name="LW_REF.INST.NEW" w:val="SWD"/>
    <w:docVar w:name="LW_REF.INST.NEW_ADOPTED" w:val="final"/>
    <w:docVar w:name="LW_REF.INST.NEW_TEXT" w:val="(2025) 555"/>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on the European Competitiveness Fund&lt;/FMT&gt;"/>
    <w:docVar w:name="LW_TYPE.DOC.CP" w:val="COMMISSION STAFF WORKING DOCUMENT_x000b__x000b_IMPACT ASSESSMENT REPORT_x000b_"/>
    <w:docVar w:name="LW_TYPEACTEPRINCIPAL.CP" w:val="Proposal for a Regulation of the European Parliament and of the Council_x000b_on establishing the European Competitiveness Fund ('ECF\u8217?), including the specific programme for defence research and innovation activities, repealing Regulations (EU) 2021/522, (EU) 2021/694, , (EU) 2021/697, (EU) 2021/783, repealing provisions of Regulations (EU) 2021/696, (EU) 2023/588, and amending Regulation (EU) [EDIP]"/>
    <w:docVar w:name="LwApiVersions" w:val="LW4CoDe 1.24.5.0; LW 9.0, Build 20240221"/>
  </w:docVars>
  <w:rsids>
    <w:rsidRoot w:val="006B087E"/>
    <w:rsid w:val="00000494"/>
    <w:rsid w:val="000006DA"/>
    <w:rsid w:val="00000858"/>
    <w:rsid w:val="00000AF5"/>
    <w:rsid w:val="00000D1E"/>
    <w:rsid w:val="00000D2F"/>
    <w:rsid w:val="00000F94"/>
    <w:rsid w:val="00001156"/>
    <w:rsid w:val="000013BD"/>
    <w:rsid w:val="0000148D"/>
    <w:rsid w:val="000015E0"/>
    <w:rsid w:val="0000165C"/>
    <w:rsid w:val="0000173F"/>
    <w:rsid w:val="000017E4"/>
    <w:rsid w:val="00001854"/>
    <w:rsid w:val="000019C6"/>
    <w:rsid w:val="00001A57"/>
    <w:rsid w:val="00001BD6"/>
    <w:rsid w:val="00001CEF"/>
    <w:rsid w:val="00001D36"/>
    <w:rsid w:val="00001FDA"/>
    <w:rsid w:val="000021FA"/>
    <w:rsid w:val="000023BC"/>
    <w:rsid w:val="00002932"/>
    <w:rsid w:val="000029CD"/>
    <w:rsid w:val="00002A85"/>
    <w:rsid w:val="00002BC5"/>
    <w:rsid w:val="00002F04"/>
    <w:rsid w:val="000030AE"/>
    <w:rsid w:val="000030EB"/>
    <w:rsid w:val="00003252"/>
    <w:rsid w:val="000032C5"/>
    <w:rsid w:val="000032CF"/>
    <w:rsid w:val="00003905"/>
    <w:rsid w:val="00003A9E"/>
    <w:rsid w:val="00003AB3"/>
    <w:rsid w:val="00003B9B"/>
    <w:rsid w:val="00003D35"/>
    <w:rsid w:val="00003E37"/>
    <w:rsid w:val="00003F3B"/>
    <w:rsid w:val="00004035"/>
    <w:rsid w:val="000040B5"/>
    <w:rsid w:val="00004152"/>
    <w:rsid w:val="000041C9"/>
    <w:rsid w:val="000041D7"/>
    <w:rsid w:val="00004379"/>
    <w:rsid w:val="0000438A"/>
    <w:rsid w:val="000044AD"/>
    <w:rsid w:val="00004664"/>
    <w:rsid w:val="000046B9"/>
    <w:rsid w:val="00004B28"/>
    <w:rsid w:val="00004B3E"/>
    <w:rsid w:val="00004C79"/>
    <w:rsid w:val="00004D09"/>
    <w:rsid w:val="00004EA7"/>
    <w:rsid w:val="00005197"/>
    <w:rsid w:val="00005376"/>
    <w:rsid w:val="000054CF"/>
    <w:rsid w:val="000054FD"/>
    <w:rsid w:val="00005748"/>
    <w:rsid w:val="00005819"/>
    <w:rsid w:val="00005960"/>
    <w:rsid w:val="00005A09"/>
    <w:rsid w:val="00005A83"/>
    <w:rsid w:val="00005D2D"/>
    <w:rsid w:val="00005EF3"/>
    <w:rsid w:val="00005FAB"/>
    <w:rsid w:val="00006074"/>
    <w:rsid w:val="0000625E"/>
    <w:rsid w:val="000062A8"/>
    <w:rsid w:val="000062E0"/>
    <w:rsid w:val="000063CD"/>
    <w:rsid w:val="0000640A"/>
    <w:rsid w:val="000065C1"/>
    <w:rsid w:val="000065D8"/>
    <w:rsid w:val="00006870"/>
    <w:rsid w:val="000069BF"/>
    <w:rsid w:val="00006AA2"/>
    <w:rsid w:val="00006B6E"/>
    <w:rsid w:val="00006CEF"/>
    <w:rsid w:val="00006DBC"/>
    <w:rsid w:val="00006F24"/>
    <w:rsid w:val="000070D3"/>
    <w:rsid w:val="0000727F"/>
    <w:rsid w:val="000074B5"/>
    <w:rsid w:val="000074B7"/>
    <w:rsid w:val="000077D9"/>
    <w:rsid w:val="000078BE"/>
    <w:rsid w:val="00007AEC"/>
    <w:rsid w:val="00007AFC"/>
    <w:rsid w:val="00007D6E"/>
    <w:rsid w:val="00010227"/>
    <w:rsid w:val="000104A0"/>
    <w:rsid w:val="000104C2"/>
    <w:rsid w:val="00010523"/>
    <w:rsid w:val="0001056D"/>
    <w:rsid w:val="00010746"/>
    <w:rsid w:val="000108AB"/>
    <w:rsid w:val="000109F5"/>
    <w:rsid w:val="00010C8D"/>
    <w:rsid w:val="00010CBF"/>
    <w:rsid w:val="00010FF8"/>
    <w:rsid w:val="00011486"/>
    <w:rsid w:val="00011567"/>
    <w:rsid w:val="000115C6"/>
    <w:rsid w:val="000115C7"/>
    <w:rsid w:val="000115D7"/>
    <w:rsid w:val="00011821"/>
    <w:rsid w:val="00011D04"/>
    <w:rsid w:val="00012066"/>
    <w:rsid w:val="00012118"/>
    <w:rsid w:val="00012412"/>
    <w:rsid w:val="00012436"/>
    <w:rsid w:val="0001248F"/>
    <w:rsid w:val="000124D5"/>
    <w:rsid w:val="0001254D"/>
    <w:rsid w:val="000128F6"/>
    <w:rsid w:val="00012928"/>
    <w:rsid w:val="00012988"/>
    <w:rsid w:val="000129C9"/>
    <w:rsid w:val="00012AEC"/>
    <w:rsid w:val="00012C0D"/>
    <w:rsid w:val="00012C6A"/>
    <w:rsid w:val="00012E49"/>
    <w:rsid w:val="00012EF5"/>
    <w:rsid w:val="00013052"/>
    <w:rsid w:val="0001307D"/>
    <w:rsid w:val="000130D0"/>
    <w:rsid w:val="0001315A"/>
    <w:rsid w:val="0001324A"/>
    <w:rsid w:val="0001327D"/>
    <w:rsid w:val="000132E0"/>
    <w:rsid w:val="000133C9"/>
    <w:rsid w:val="00013487"/>
    <w:rsid w:val="000139DC"/>
    <w:rsid w:val="00013A7B"/>
    <w:rsid w:val="00013ACD"/>
    <w:rsid w:val="00013CA0"/>
    <w:rsid w:val="00013E69"/>
    <w:rsid w:val="00013F3D"/>
    <w:rsid w:val="000140DB"/>
    <w:rsid w:val="00014450"/>
    <w:rsid w:val="00014877"/>
    <w:rsid w:val="00014948"/>
    <w:rsid w:val="00014A02"/>
    <w:rsid w:val="00014B24"/>
    <w:rsid w:val="00014C76"/>
    <w:rsid w:val="00014CA6"/>
    <w:rsid w:val="00014D0D"/>
    <w:rsid w:val="00014D21"/>
    <w:rsid w:val="00014DCA"/>
    <w:rsid w:val="00014E6E"/>
    <w:rsid w:val="0001502E"/>
    <w:rsid w:val="0001509D"/>
    <w:rsid w:val="0001509E"/>
    <w:rsid w:val="000150B7"/>
    <w:rsid w:val="00015106"/>
    <w:rsid w:val="00015205"/>
    <w:rsid w:val="00015765"/>
    <w:rsid w:val="00015780"/>
    <w:rsid w:val="000157D4"/>
    <w:rsid w:val="0001588E"/>
    <w:rsid w:val="000159BA"/>
    <w:rsid w:val="00015AE1"/>
    <w:rsid w:val="00015B10"/>
    <w:rsid w:val="00015BA6"/>
    <w:rsid w:val="00015E01"/>
    <w:rsid w:val="00015E3F"/>
    <w:rsid w:val="000160BE"/>
    <w:rsid w:val="00016304"/>
    <w:rsid w:val="0001630B"/>
    <w:rsid w:val="0001636B"/>
    <w:rsid w:val="0001650E"/>
    <w:rsid w:val="0001656E"/>
    <w:rsid w:val="0001657A"/>
    <w:rsid w:val="000167FE"/>
    <w:rsid w:val="0001682D"/>
    <w:rsid w:val="00016966"/>
    <w:rsid w:val="00016B31"/>
    <w:rsid w:val="00016B77"/>
    <w:rsid w:val="00016F92"/>
    <w:rsid w:val="00016FEA"/>
    <w:rsid w:val="00017194"/>
    <w:rsid w:val="000171DD"/>
    <w:rsid w:val="000171F4"/>
    <w:rsid w:val="000172BF"/>
    <w:rsid w:val="00017376"/>
    <w:rsid w:val="000173ED"/>
    <w:rsid w:val="00017779"/>
    <w:rsid w:val="000177E4"/>
    <w:rsid w:val="000178A7"/>
    <w:rsid w:val="000179D9"/>
    <w:rsid w:val="000179F4"/>
    <w:rsid w:val="00017ACE"/>
    <w:rsid w:val="00017C3B"/>
    <w:rsid w:val="00017C90"/>
    <w:rsid w:val="00017CB3"/>
    <w:rsid w:val="00017DB8"/>
    <w:rsid w:val="0002008E"/>
    <w:rsid w:val="00020192"/>
    <w:rsid w:val="000201D0"/>
    <w:rsid w:val="000204E2"/>
    <w:rsid w:val="000204FD"/>
    <w:rsid w:val="000205E5"/>
    <w:rsid w:val="00020650"/>
    <w:rsid w:val="000206CF"/>
    <w:rsid w:val="000206D3"/>
    <w:rsid w:val="000206E6"/>
    <w:rsid w:val="00020A05"/>
    <w:rsid w:val="00020B74"/>
    <w:rsid w:val="00020C18"/>
    <w:rsid w:val="00020D62"/>
    <w:rsid w:val="00020E5F"/>
    <w:rsid w:val="00020FFE"/>
    <w:rsid w:val="0002106B"/>
    <w:rsid w:val="000210AE"/>
    <w:rsid w:val="000210B7"/>
    <w:rsid w:val="0002131C"/>
    <w:rsid w:val="0002131E"/>
    <w:rsid w:val="0002131F"/>
    <w:rsid w:val="0002136E"/>
    <w:rsid w:val="00021439"/>
    <w:rsid w:val="00021454"/>
    <w:rsid w:val="00021479"/>
    <w:rsid w:val="0002153A"/>
    <w:rsid w:val="000216C6"/>
    <w:rsid w:val="00021811"/>
    <w:rsid w:val="0002195E"/>
    <w:rsid w:val="00021A10"/>
    <w:rsid w:val="00021BC4"/>
    <w:rsid w:val="00021D65"/>
    <w:rsid w:val="00021F26"/>
    <w:rsid w:val="00021FB8"/>
    <w:rsid w:val="00022517"/>
    <w:rsid w:val="0002253A"/>
    <w:rsid w:val="000226D4"/>
    <w:rsid w:val="00022812"/>
    <w:rsid w:val="00022863"/>
    <w:rsid w:val="00022895"/>
    <w:rsid w:val="00022BEB"/>
    <w:rsid w:val="00022C76"/>
    <w:rsid w:val="00022C83"/>
    <w:rsid w:val="00022D86"/>
    <w:rsid w:val="00022FCB"/>
    <w:rsid w:val="000231FA"/>
    <w:rsid w:val="00023216"/>
    <w:rsid w:val="00023234"/>
    <w:rsid w:val="00023419"/>
    <w:rsid w:val="00023501"/>
    <w:rsid w:val="00023550"/>
    <w:rsid w:val="0002371A"/>
    <w:rsid w:val="00023843"/>
    <w:rsid w:val="000239F6"/>
    <w:rsid w:val="00023CD7"/>
    <w:rsid w:val="00023CDE"/>
    <w:rsid w:val="00023D5A"/>
    <w:rsid w:val="00023F5A"/>
    <w:rsid w:val="00024070"/>
    <w:rsid w:val="000240D1"/>
    <w:rsid w:val="0002430A"/>
    <w:rsid w:val="00024324"/>
    <w:rsid w:val="00024793"/>
    <w:rsid w:val="00024934"/>
    <w:rsid w:val="00024B05"/>
    <w:rsid w:val="00024CD1"/>
    <w:rsid w:val="00024DD5"/>
    <w:rsid w:val="000251AE"/>
    <w:rsid w:val="000252D5"/>
    <w:rsid w:val="0002557B"/>
    <w:rsid w:val="000257D4"/>
    <w:rsid w:val="000257E2"/>
    <w:rsid w:val="000259B8"/>
    <w:rsid w:val="00025B0F"/>
    <w:rsid w:val="00025C53"/>
    <w:rsid w:val="00025C90"/>
    <w:rsid w:val="00025CF0"/>
    <w:rsid w:val="00025EA5"/>
    <w:rsid w:val="00025FEE"/>
    <w:rsid w:val="00026039"/>
    <w:rsid w:val="00026208"/>
    <w:rsid w:val="000263B3"/>
    <w:rsid w:val="00026429"/>
    <w:rsid w:val="0002652C"/>
    <w:rsid w:val="0002653D"/>
    <w:rsid w:val="000265E7"/>
    <w:rsid w:val="00026724"/>
    <w:rsid w:val="000268A7"/>
    <w:rsid w:val="000268D6"/>
    <w:rsid w:val="000269C4"/>
    <w:rsid w:val="00026A6B"/>
    <w:rsid w:val="00026A93"/>
    <w:rsid w:val="00026F09"/>
    <w:rsid w:val="00026FE4"/>
    <w:rsid w:val="00027276"/>
    <w:rsid w:val="000272A5"/>
    <w:rsid w:val="0002733B"/>
    <w:rsid w:val="00027667"/>
    <w:rsid w:val="0002769F"/>
    <w:rsid w:val="000277D1"/>
    <w:rsid w:val="00027895"/>
    <w:rsid w:val="000278E4"/>
    <w:rsid w:val="0002794C"/>
    <w:rsid w:val="000279D3"/>
    <w:rsid w:val="00027ACC"/>
    <w:rsid w:val="00027E50"/>
    <w:rsid w:val="00030091"/>
    <w:rsid w:val="0003009D"/>
    <w:rsid w:val="00030226"/>
    <w:rsid w:val="000303AD"/>
    <w:rsid w:val="00030485"/>
    <w:rsid w:val="00030829"/>
    <w:rsid w:val="0003085B"/>
    <w:rsid w:val="000308B5"/>
    <w:rsid w:val="000308F5"/>
    <w:rsid w:val="00030A60"/>
    <w:rsid w:val="00030AA4"/>
    <w:rsid w:val="00030BCD"/>
    <w:rsid w:val="00030D05"/>
    <w:rsid w:val="00030DF1"/>
    <w:rsid w:val="00030E0D"/>
    <w:rsid w:val="00030E50"/>
    <w:rsid w:val="00030ED2"/>
    <w:rsid w:val="00031054"/>
    <w:rsid w:val="00031070"/>
    <w:rsid w:val="00031327"/>
    <w:rsid w:val="0003154B"/>
    <w:rsid w:val="00031634"/>
    <w:rsid w:val="000316FF"/>
    <w:rsid w:val="00031AB2"/>
    <w:rsid w:val="00031AB5"/>
    <w:rsid w:val="00031C2C"/>
    <w:rsid w:val="00031D03"/>
    <w:rsid w:val="00031DD0"/>
    <w:rsid w:val="00031DE1"/>
    <w:rsid w:val="00031DF2"/>
    <w:rsid w:val="00031E49"/>
    <w:rsid w:val="00032027"/>
    <w:rsid w:val="0003208E"/>
    <w:rsid w:val="0003212A"/>
    <w:rsid w:val="0003214B"/>
    <w:rsid w:val="00032179"/>
    <w:rsid w:val="00032395"/>
    <w:rsid w:val="000324DB"/>
    <w:rsid w:val="00032518"/>
    <w:rsid w:val="00032559"/>
    <w:rsid w:val="0003255E"/>
    <w:rsid w:val="00032561"/>
    <w:rsid w:val="00032681"/>
    <w:rsid w:val="000328E3"/>
    <w:rsid w:val="000328EC"/>
    <w:rsid w:val="00032D65"/>
    <w:rsid w:val="00032DFB"/>
    <w:rsid w:val="00033123"/>
    <w:rsid w:val="00033162"/>
    <w:rsid w:val="0003320D"/>
    <w:rsid w:val="0003330B"/>
    <w:rsid w:val="00033412"/>
    <w:rsid w:val="00033632"/>
    <w:rsid w:val="00033711"/>
    <w:rsid w:val="00033A66"/>
    <w:rsid w:val="00033AFC"/>
    <w:rsid w:val="00033C11"/>
    <w:rsid w:val="00033DB2"/>
    <w:rsid w:val="00033EC9"/>
    <w:rsid w:val="00033F0D"/>
    <w:rsid w:val="00033F86"/>
    <w:rsid w:val="00034021"/>
    <w:rsid w:val="00034083"/>
    <w:rsid w:val="00034300"/>
    <w:rsid w:val="00034359"/>
    <w:rsid w:val="0003474D"/>
    <w:rsid w:val="000347DA"/>
    <w:rsid w:val="00034890"/>
    <w:rsid w:val="000348A1"/>
    <w:rsid w:val="00034A6A"/>
    <w:rsid w:val="00034C53"/>
    <w:rsid w:val="00034CB9"/>
    <w:rsid w:val="00034DED"/>
    <w:rsid w:val="00034F81"/>
    <w:rsid w:val="00034FDC"/>
    <w:rsid w:val="000357FC"/>
    <w:rsid w:val="00035828"/>
    <w:rsid w:val="00035A81"/>
    <w:rsid w:val="00035BE8"/>
    <w:rsid w:val="00035E2E"/>
    <w:rsid w:val="00035E5D"/>
    <w:rsid w:val="00036038"/>
    <w:rsid w:val="0003606D"/>
    <w:rsid w:val="0003617B"/>
    <w:rsid w:val="00036428"/>
    <w:rsid w:val="00036611"/>
    <w:rsid w:val="0003670F"/>
    <w:rsid w:val="000367A5"/>
    <w:rsid w:val="000369FF"/>
    <w:rsid w:val="00036A35"/>
    <w:rsid w:val="00036B10"/>
    <w:rsid w:val="00036B95"/>
    <w:rsid w:val="00036D1E"/>
    <w:rsid w:val="00037105"/>
    <w:rsid w:val="000371C7"/>
    <w:rsid w:val="00037292"/>
    <w:rsid w:val="0003755F"/>
    <w:rsid w:val="000375A6"/>
    <w:rsid w:val="00037847"/>
    <w:rsid w:val="000379A0"/>
    <w:rsid w:val="000379CE"/>
    <w:rsid w:val="00037AC1"/>
    <w:rsid w:val="00037B12"/>
    <w:rsid w:val="00037BAB"/>
    <w:rsid w:val="00037D6C"/>
    <w:rsid w:val="00037F71"/>
    <w:rsid w:val="00037FD0"/>
    <w:rsid w:val="000400B9"/>
    <w:rsid w:val="000400FA"/>
    <w:rsid w:val="000401B0"/>
    <w:rsid w:val="00040282"/>
    <w:rsid w:val="000403A1"/>
    <w:rsid w:val="00040420"/>
    <w:rsid w:val="000408C1"/>
    <w:rsid w:val="0004097D"/>
    <w:rsid w:val="00040A09"/>
    <w:rsid w:val="00040A28"/>
    <w:rsid w:val="00040C8D"/>
    <w:rsid w:val="00040D4A"/>
    <w:rsid w:val="00040D65"/>
    <w:rsid w:val="00040E61"/>
    <w:rsid w:val="00040F79"/>
    <w:rsid w:val="00040F9A"/>
    <w:rsid w:val="00041031"/>
    <w:rsid w:val="00041114"/>
    <w:rsid w:val="00041251"/>
    <w:rsid w:val="000412A8"/>
    <w:rsid w:val="0004138B"/>
    <w:rsid w:val="00041403"/>
    <w:rsid w:val="00041473"/>
    <w:rsid w:val="00041722"/>
    <w:rsid w:val="00041AF0"/>
    <w:rsid w:val="00041BA4"/>
    <w:rsid w:val="00041C72"/>
    <w:rsid w:val="00041EA5"/>
    <w:rsid w:val="00041EA7"/>
    <w:rsid w:val="0004206B"/>
    <w:rsid w:val="000420CE"/>
    <w:rsid w:val="0004214D"/>
    <w:rsid w:val="00042274"/>
    <w:rsid w:val="000423B5"/>
    <w:rsid w:val="00042437"/>
    <w:rsid w:val="000425B0"/>
    <w:rsid w:val="000425F1"/>
    <w:rsid w:val="000426D7"/>
    <w:rsid w:val="000426D9"/>
    <w:rsid w:val="00042711"/>
    <w:rsid w:val="00042740"/>
    <w:rsid w:val="00042939"/>
    <w:rsid w:val="00042984"/>
    <w:rsid w:val="00042A5E"/>
    <w:rsid w:val="00042A8B"/>
    <w:rsid w:val="00042AC1"/>
    <w:rsid w:val="00042AC5"/>
    <w:rsid w:val="00042AE2"/>
    <w:rsid w:val="00042C29"/>
    <w:rsid w:val="00042C65"/>
    <w:rsid w:val="00042CA8"/>
    <w:rsid w:val="00042D50"/>
    <w:rsid w:val="00042D83"/>
    <w:rsid w:val="00042EE3"/>
    <w:rsid w:val="00042EE5"/>
    <w:rsid w:val="00042EF6"/>
    <w:rsid w:val="000431DA"/>
    <w:rsid w:val="0004344A"/>
    <w:rsid w:val="000434B5"/>
    <w:rsid w:val="00043781"/>
    <w:rsid w:val="00043B93"/>
    <w:rsid w:val="00043BB8"/>
    <w:rsid w:val="00043C20"/>
    <w:rsid w:val="00043CFC"/>
    <w:rsid w:val="00043DF7"/>
    <w:rsid w:val="00043E2A"/>
    <w:rsid w:val="00043E7F"/>
    <w:rsid w:val="00043EE2"/>
    <w:rsid w:val="00043FBC"/>
    <w:rsid w:val="000440ED"/>
    <w:rsid w:val="000441FC"/>
    <w:rsid w:val="00044310"/>
    <w:rsid w:val="00044327"/>
    <w:rsid w:val="00044535"/>
    <w:rsid w:val="000445CA"/>
    <w:rsid w:val="00044650"/>
    <w:rsid w:val="00044752"/>
    <w:rsid w:val="00044950"/>
    <w:rsid w:val="000449D4"/>
    <w:rsid w:val="00044DAB"/>
    <w:rsid w:val="00044DC5"/>
    <w:rsid w:val="00044E8D"/>
    <w:rsid w:val="0004539B"/>
    <w:rsid w:val="000454BD"/>
    <w:rsid w:val="00045578"/>
    <w:rsid w:val="00045663"/>
    <w:rsid w:val="000456C4"/>
    <w:rsid w:val="0004576C"/>
    <w:rsid w:val="0004587F"/>
    <w:rsid w:val="00045908"/>
    <w:rsid w:val="000459EA"/>
    <w:rsid w:val="00045D24"/>
    <w:rsid w:val="00045D2E"/>
    <w:rsid w:val="00045DF5"/>
    <w:rsid w:val="00045FCA"/>
    <w:rsid w:val="00045FCF"/>
    <w:rsid w:val="00046312"/>
    <w:rsid w:val="0004639E"/>
    <w:rsid w:val="0004672C"/>
    <w:rsid w:val="00046957"/>
    <w:rsid w:val="00046AE0"/>
    <w:rsid w:val="00046BC1"/>
    <w:rsid w:val="00046C9D"/>
    <w:rsid w:val="00046CCE"/>
    <w:rsid w:val="00046DF6"/>
    <w:rsid w:val="00046EF2"/>
    <w:rsid w:val="00046F53"/>
    <w:rsid w:val="00046FC0"/>
    <w:rsid w:val="0004701B"/>
    <w:rsid w:val="00047027"/>
    <w:rsid w:val="000470F7"/>
    <w:rsid w:val="00047353"/>
    <w:rsid w:val="0004744B"/>
    <w:rsid w:val="00047450"/>
    <w:rsid w:val="00047496"/>
    <w:rsid w:val="00047566"/>
    <w:rsid w:val="0004760F"/>
    <w:rsid w:val="00047631"/>
    <w:rsid w:val="00047690"/>
    <w:rsid w:val="00047929"/>
    <w:rsid w:val="00047C51"/>
    <w:rsid w:val="00047C76"/>
    <w:rsid w:val="00047D70"/>
    <w:rsid w:val="00047F01"/>
    <w:rsid w:val="0005007C"/>
    <w:rsid w:val="00050082"/>
    <w:rsid w:val="000500B2"/>
    <w:rsid w:val="000502A2"/>
    <w:rsid w:val="0005046B"/>
    <w:rsid w:val="000504D8"/>
    <w:rsid w:val="0005057E"/>
    <w:rsid w:val="0005061E"/>
    <w:rsid w:val="00050739"/>
    <w:rsid w:val="00050741"/>
    <w:rsid w:val="00050764"/>
    <w:rsid w:val="000508C2"/>
    <w:rsid w:val="00050A23"/>
    <w:rsid w:val="00050B2F"/>
    <w:rsid w:val="00050E3A"/>
    <w:rsid w:val="00050EC8"/>
    <w:rsid w:val="00050ED6"/>
    <w:rsid w:val="00050F6E"/>
    <w:rsid w:val="00050F8C"/>
    <w:rsid w:val="00050F99"/>
    <w:rsid w:val="00050FA8"/>
    <w:rsid w:val="00051082"/>
    <w:rsid w:val="0005118D"/>
    <w:rsid w:val="00051208"/>
    <w:rsid w:val="0005120E"/>
    <w:rsid w:val="000512AF"/>
    <w:rsid w:val="0005142F"/>
    <w:rsid w:val="00051430"/>
    <w:rsid w:val="00051560"/>
    <w:rsid w:val="00051593"/>
    <w:rsid w:val="00051654"/>
    <w:rsid w:val="0005167E"/>
    <w:rsid w:val="000516D8"/>
    <w:rsid w:val="000517E9"/>
    <w:rsid w:val="00051B6A"/>
    <w:rsid w:val="00051CE5"/>
    <w:rsid w:val="00052168"/>
    <w:rsid w:val="000523C6"/>
    <w:rsid w:val="000524D8"/>
    <w:rsid w:val="00052509"/>
    <w:rsid w:val="000525D5"/>
    <w:rsid w:val="000525E7"/>
    <w:rsid w:val="0005261C"/>
    <w:rsid w:val="00052929"/>
    <w:rsid w:val="00052B5E"/>
    <w:rsid w:val="00052BF8"/>
    <w:rsid w:val="00052D11"/>
    <w:rsid w:val="00052DE6"/>
    <w:rsid w:val="00052EC8"/>
    <w:rsid w:val="00052F3E"/>
    <w:rsid w:val="000530BC"/>
    <w:rsid w:val="00053715"/>
    <w:rsid w:val="000537EC"/>
    <w:rsid w:val="00053931"/>
    <w:rsid w:val="00053A3C"/>
    <w:rsid w:val="00053A9E"/>
    <w:rsid w:val="00053ABE"/>
    <w:rsid w:val="00053C1C"/>
    <w:rsid w:val="00053E0E"/>
    <w:rsid w:val="00053EA1"/>
    <w:rsid w:val="00053ED7"/>
    <w:rsid w:val="00053FF4"/>
    <w:rsid w:val="000542E9"/>
    <w:rsid w:val="00054357"/>
    <w:rsid w:val="0005451C"/>
    <w:rsid w:val="00054709"/>
    <w:rsid w:val="0005486E"/>
    <w:rsid w:val="00054B0C"/>
    <w:rsid w:val="00054B9A"/>
    <w:rsid w:val="00054C1D"/>
    <w:rsid w:val="00054C9E"/>
    <w:rsid w:val="00054D10"/>
    <w:rsid w:val="00054E46"/>
    <w:rsid w:val="00054E56"/>
    <w:rsid w:val="00054F45"/>
    <w:rsid w:val="00054F5D"/>
    <w:rsid w:val="00054F93"/>
    <w:rsid w:val="000551B5"/>
    <w:rsid w:val="000552A8"/>
    <w:rsid w:val="0005533D"/>
    <w:rsid w:val="0005538F"/>
    <w:rsid w:val="000558E6"/>
    <w:rsid w:val="00055AD9"/>
    <w:rsid w:val="00055B6A"/>
    <w:rsid w:val="00055C03"/>
    <w:rsid w:val="00055C17"/>
    <w:rsid w:val="00055C6A"/>
    <w:rsid w:val="00055E10"/>
    <w:rsid w:val="00055EE3"/>
    <w:rsid w:val="00055FF3"/>
    <w:rsid w:val="00056176"/>
    <w:rsid w:val="0005619F"/>
    <w:rsid w:val="0005645F"/>
    <w:rsid w:val="000564B3"/>
    <w:rsid w:val="00056575"/>
    <w:rsid w:val="000565BA"/>
    <w:rsid w:val="000565FB"/>
    <w:rsid w:val="00056682"/>
    <w:rsid w:val="0005677F"/>
    <w:rsid w:val="0005690F"/>
    <w:rsid w:val="00056915"/>
    <w:rsid w:val="00056969"/>
    <w:rsid w:val="00056A07"/>
    <w:rsid w:val="00056B04"/>
    <w:rsid w:val="00056D8D"/>
    <w:rsid w:val="00056DB2"/>
    <w:rsid w:val="00056F22"/>
    <w:rsid w:val="00056F74"/>
    <w:rsid w:val="00056F7A"/>
    <w:rsid w:val="00056FF9"/>
    <w:rsid w:val="00057072"/>
    <w:rsid w:val="0005729C"/>
    <w:rsid w:val="000572F4"/>
    <w:rsid w:val="00057322"/>
    <w:rsid w:val="000573F5"/>
    <w:rsid w:val="000577CF"/>
    <w:rsid w:val="00057BC8"/>
    <w:rsid w:val="00057BDC"/>
    <w:rsid w:val="00057DA3"/>
    <w:rsid w:val="00057F53"/>
    <w:rsid w:val="00060067"/>
    <w:rsid w:val="000601CA"/>
    <w:rsid w:val="0006024E"/>
    <w:rsid w:val="000602E7"/>
    <w:rsid w:val="00060593"/>
    <w:rsid w:val="0006076C"/>
    <w:rsid w:val="000608F0"/>
    <w:rsid w:val="00060903"/>
    <w:rsid w:val="00060C7C"/>
    <w:rsid w:val="00060CCD"/>
    <w:rsid w:val="00060DE9"/>
    <w:rsid w:val="00060E9C"/>
    <w:rsid w:val="00060F80"/>
    <w:rsid w:val="00061401"/>
    <w:rsid w:val="0006140F"/>
    <w:rsid w:val="0006174F"/>
    <w:rsid w:val="00061952"/>
    <w:rsid w:val="00061C02"/>
    <w:rsid w:val="00061CF6"/>
    <w:rsid w:val="00061D63"/>
    <w:rsid w:val="00061E7F"/>
    <w:rsid w:val="00061F43"/>
    <w:rsid w:val="00061FC9"/>
    <w:rsid w:val="00062027"/>
    <w:rsid w:val="0006214D"/>
    <w:rsid w:val="00062198"/>
    <w:rsid w:val="0006224A"/>
    <w:rsid w:val="00062421"/>
    <w:rsid w:val="0006244B"/>
    <w:rsid w:val="000624C2"/>
    <w:rsid w:val="000624E9"/>
    <w:rsid w:val="0006256A"/>
    <w:rsid w:val="000626A4"/>
    <w:rsid w:val="00062728"/>
    <w:rsid w:val="00062983"/>
    <w:rsid w:val="00062A80"/>
    <w:rsid w:val="00062AD2"/>
    <w:rsid w:val="00062B84"/>
    <w:rsid w:val="00062BD9"/>
    <w:rsid w:val="00062C4C"/>
    <w:rsid w:val="00062D63"/>
    <w:rsid w:val="00062EA2"/>
    <w:rsid w:val="00063063"/>
    <w:rsid w:val="000631F7"/>
    <w:rsid w:val="00063277"/>
    <w:rsid w:val="00063481"/>
    <w:rsid w:val="0006353B"/>
    <w:rsid w:val="00063571"/>
    <w:rsid w:val="000639D3"/>
    <w:rsid w:val="00063B42"/>
    <w:rsid w:val="00063D6F"/>
    <w:rsid w:val="00064132"/>
    <w:rsid w:val="000641DC"/>
    <w:rsid w:val="0006425D"/>
    <w:rsid w:val="000643B2"/>
    <w:rsid w:val="0006446D"/>
    <w:rsid w:val="0006479F"/>
    <w:rsid w:val="000647B4"/>
    <w:rsid w:val="000647DC"/>
    <w:rsid w:val="0006484A"/>
    <w:rsid w:val="00064DD7"/>
    <w:rsid w:val="00064E01"/>
    <w:rsid w:val="00064ECA"/>
    <w:rsid w:val="00064ED1"/>
    <w:rsid w:val="00064F6E"/>
    <w:rsid w:val="00065067"/>
    <w:rsid w:val="00065220"/>
    <w:rsid w:val="00065326"/>
    <w:rsid w:val="00065388"/>
    <w:rsid w:val="00065437"/>
    <w:rsid w:val="000654C5"/>
    <w:rsid w:val="0006550B"/>
    <w:rsid w:val="00065667"/>
    <w:rsid w:val="0006567E"/>
    <w:rsid w:val="00065747"/>
    <w:rsid w:val="0006579D"/>
    <w:rsid w:val="00065B4A"/>
    <w:rsid w:val="00065C5D"/>
    <w:rsid w:val="00065C94"/>
    <w:rsid w:val="00065E1B"/>
    <w:rsid w:val="00065E59"/>
    <w:rsid w:val="00065F94"/>
    <w:rsid w:val="000660FB"/>
    <w:rsid w:val="00066117"/>
    <w:rsid w:val="000661FC"/>
    <w:rsid w:val="00066242"/>
    <w:rsid w:val="00066264"/>
    <w:rsid w:val="000663ED"/>
    <w:rsid w:val="0006642A"/>
    <w:rsid w:val="00066590"/>
    <w:rsid w:val="000666D6"/>
    <w:rsid w:val="0006674F"/>
    <w:rsid w:val="00066839"/>
    <w:rsid w:val="000668CB"/>
    <w:rsid w:val="00066AB7"/>
    <w:rsid w:val="00066DC5"/>
    <w:rsid w:val="00066DE6"/>
    <w:rsid w:val="00066FE1"/>
    <w:rsid w:val="000670D1"/>
    <w:rsid w:val="000672EE"/>
    <w:rsid w:val="000672FF"/>
    <w:rsid w:val="000673EB"/>
    <w:rsid w:val="00067483"/>
    <w:rsid w:val="00067765"/>
    <w:rsid w:val="000677AE"/>
    <w:rsid w:val="000677B4"/>
    <w:rsid w:val="0006785E"/>
    <w:rsid w:val="00067CCF"/>
    <w:rsid w:val="00067DC4"/>
    <w:rsid w:val="00067E18"/>
    <w:rsid w:val="00067F85"/>
    <w:rsid w:val="00070113"/>
    <w:rsid w:val="0007025D"/>
    <w:rsid w:val="00070306"/>
    <w:rsid w:val="0007059A"/>
    <w:rsid w:val="000705C6"/>
    <w:rsid w:val="0007072A"/>
    <w:rsid w:val="000707A2"/>
    <w:rsid w:val="00070A40"/>
    <w:rsid w:val="00070A4D"/>
    <w:rsid w:val="00070AD6"/>
    <w:rsid w:val="00070E26"/>
    <w:rsid w:val="00071125"/>
    <w:rsid w:val="00071167"/>
    <w:rsid w:val="0007119C"/>
    <w:rsid w:val="0007122B"/>
    <w:rsid w:val="00071254"/>
    <w:rsid w:val="0007174F"/>
    <w:rsid w:val="0007179F"/>
    <w:rsid w:val="00071874"/>
    <w:rsid w:val="00071BBD"/>
    <w:rsid w:val="00071E7B"/>
    <w:rsid w:val="00072089"/>
    <w:rsid w:val="0007209C"/>
    <w:rsid w:val="000723C9"/>
    <w:rsid w:val="000724CE"/>
    <w:rsid w:val="000726D5"/>
    <w:rsid w:val="000727D9"/>
    <w:rsid w:val="000727EC"/>
    <w:rsid w:val="00072956"/>
    <w:rsid w:val="00073344"/>
    <w:rsid w:val="0007364D"/>
    <w:rsid w:val="0007379B"/>
    <w:rsid w:val="00073A3F"/>
    <w:rsid w:val="00073BDE"/>
    <w:rsid w:val="00073BF0"/>
    <w:rsid w:val="00073DE3"/>
    <w:rsid w:val="000740D2"/>
    <w:rsid w:val="000740EA"/>
    <w:rsid w:val="0007422A"/>
    <w:rsid w:val="000742C1"/>
    <w:rsid w:val="000744FF"/>
    <w:rsid w:val="00074546"/>
    <w:rsid w:val="000746B9"/>
    <w:rsid w:val="000748A6"/>
    <w:rsid w:val="00074C4B"/>
    <w:rsid w:val="00074D3A"/>
    <w:rsid w:val="00074DA7"/>
    <w:rsid w:val="00074F49"/>
    <w:rsid w:val="0007507A"/>
    <w:rsid w:val="0007518B"/>
    <w:rsid w:val="0007519A"/>
    <w:rsid w:val="000751A2"/>
    <w:rsid w:val="00075203"/>
    <w:rsid w:val="0007528D"/>
    <w:rsid w:val="0007530F"/>
    <w:rsid w:val="0007536F"/>
    <w:rsid w:val="000753A2"/>
    <w:rsid w:val="00075547"/>
    <w:rsid w:val="00075569"/>
    <w:rsid w:val="000756FC"/>
    <w:rsid w:val="0007580D"/>
    <w:rsid w:val="00075A61"/>
    <w:rsid w:val="00075AC6"/>
    <w:rsid w:val="00075B1F"/>
    <w:rsid w:val="00075B61"/>
    <w:rsid w:val="00075FEC"/>
    <w:rsid w:val="000760B2"/>
    <w:rsid w:val="000760F9"/>
    <w:rsid w:val="00076627"/>
    <w:rsid w:val="00076679"/>
    <w:rsid w:val="0007693B"/>
    <w:rsid w:val="00076B17"/>
    <w:rsid w:val="0007719E"/>
    <w:rsid w:val="000771A9"/>
    <w:rsid w:val="00077229"/>
    <w:rsid w:val="0007757B"/>
    <w:rsid w:val="0007757E"/>
    <w:rsid w:val="000777BA"/>
    <w:rsid w:val="00077C31"/>
    <w:rsid w:val="00077DED"/>
    <w:rsid w:val="000801C8"/>
    <w:rsid w:val="000803E0"/>
    <w:rsid w:val="00080583"/>
    <w:rsid w:val="00080607"/>
    <w:rsid w:val="0008088C"/>
    <w:rsid w:val="00080894"/>
    <w:rsid w:val="000808D5"/>
    <w:rsid w:val="00080909"/>
    <w:rsid w:val="000809D7"/>
    <w:rsid w:val="00080C15"/>
    <w:rsid w:val="00080EC5"/>
    <w:rsid w:val="00080FF4"/>
    <w:rsid w:val="000810CA"/>
    <w:rsid w:val="00081165"/>
    <w:rsid w:val="0008125F"/>
    <w:rsid w:val="00081604"/>
    <w:rsid w:val="000817B0"/>
    <w:rsid w:val="00081924"/>
    <w:rsid w:val="0008192F"/>
    <w:rsid w:val="00081B6E"/>
    <w:rsid w:val="00081DF5"/>
    <w:rsid w:val="00081F15"/>
    <w:rsid w:val="00081FC1"/>
    <w:rsid w:val="00082135"/>
    <w:rsid w:val="000824B1"/>
    <w:rsid w:val="0008258F"/>
    <w:rsid w:val="000825E9"/>
    <w:rsid w:val="0008274C"/>
    <w:rsid w:val="0008284E"/>
    <w:rsid w:val="00082B5C"/>
    <w:rsid w:val="00082BC8"/>
    <w:rsid w:val="00082E37"/>
    <w:rsid w:val="00082EF7"/>
    <w:rsid w:val="00082FBC"/>
    <w:rsid w:val="00083071"/>
    <w:rsid w:val="000830A5"/>
    <w:rsid w:val="0008312F"/>
    <w:rsid w:val="000831BD"/>
    <w:rsid w:val="00083251"/>
    <w:rsid w:val="00083295"/>
    <w:rsid w:val="000832F7"/>
    <w:rsid w:val="00083307"/>
    <w:rsid w:val="00083481"/>
    <w:rsid w:val="00083829"/>
    <w:rsid w:val="000839A2"/>
    <w:rsid w:val="00083B29"/>
    <w:rsid w:val="00083F70"/>
    <w:rsid w:val="00084119"/>
    <w:rsid w:val="00084293"/>
    <w:rsid w:val="000843DE"/>
    <w:rsid w:val="00084420"/>
    <w:rsid w:val="00084501"/>
    <w:rsid w:val="00084626"/>
    <w:rsid w:val="00084AED"/>
    <w:rsid w:val="00084B96"/>
    <w:rsid w:val="00084BA1"/>
    <w:rsid w:val="00084CDE"/>
    <w:rsid w:val="00084D9E"/>
    <w:rsid w:val="00084FE7"/>
    <w:rsid w:val="00085190"/>
    <w:rsid w:val="00085277"/>
    <w:rsid w:val="00085365"/>
    <w:rsid w:val="0008542E"/>
    <w:rsid w:val="0008551C"/>
    <w:rsid w:val="000857A3"/>
    <w:rsid w:val="00085917"/>
    <w:rsid w:val="00085990"/>
    <w:rsid w:val="00085A53"/>
    <w:rsid w:val="00085E9A"/>
    <w:rsid w:val="00085EA2"/>
    <w:rsid w:val="000862BB"/>
    <w:rsid w:val="0008647B"/>
    <w:rsid w:val="000864C7"/>
    <w:rsid w:val="000865E4"/>
    <w:rsid w:val="000866AB"/>
    <w:rsid w:val="000866AE"/>
    <w:rsid w:val="00086787"/>
    <w:rsid w:val="00086821"/>
    <w:rsid w:val="0008695D"/>
    <w:rsid w:val="00086A8E"/>
    <w:rsid w:val="00086D1E"/>
    <w:rsid w:val="00086D3E"/>
    <w:rsid w:val="00086DEB"/>
    <w:rsid w:val="00086DED"/>
    <w:rsid w:val="00086FF6"/>
    <w:rsid w:val="00087193"/>
    <w:rsid w:val="000871EA"/>
    <w:rsid w:val="0008725D"/>
    <w:rsid w:val="000873C3"/>
    <w:rsid w:val="000874BE"/>
    <w:rsid w:val="00087559"/>
    <w:rsid w:val="0008768D"/>
    <w:rsid w:val="000878E1"/>
    <w:rsid w:val="00087920"/>
    <w:rsid w:val="0008798B"/>
    <w:rsid w:val="00087A23"/>
    <w:rsid w:val="00087AC7"/>
    <w:rsid w:val="00087B93"/>
    <w:rsid w:val="00087C98"/>
    <w:rsid w:val="00087D4A"/>
    <w:rsid w:val="00087E49"/>
    <w:rsid w:val="0009004F"/>
    <w:rsid w:val="00090238"/>
    <w:rsid w:val="00090601"/>
    <w:rsid w:val="00090745"/>
    <w:rsid w:val="0009083D"/>
    <w:rsid w:val="0009090C"/>
    <w:rsid w:val="00090BBF"/>
    <w:rsid w:val="00090CD2"/>
    <w:rsid w:val="00090DE0"/>
    <w:rsid w:val="00090EB1"/>
    <w:rsid w:val="00090ECC"/>
    <w:rsid w:val="00090F97"/>
    <w:rsid w:val="00091083"/>
    <w:rsid w:val="00091107"/>
    <w:rsid w:val="000911C8"/>
    <w:rsid w:val="0009120F"/>
    <w:rsid w:val="00091322"/>
    <w:rsid w:val="000914D8"/>
    <w:rsid w:val="00091585"/>
    <w:rsid w:val="0009158F"/>
    <w:rsid w:val="0009159E"/>
    <w:rsid w:val="000915C7"/>
    <w:rsid w:val="0009177F"/>
    <w:rsid w:val="00091A58"/>
    <w:rsid w:val="00091AA2"/>
    <w:rsid w:val="00091B38"/>
    <w:rsid w:val="00091DF8"/>
    <w:rsid w:val="00091ED8"/>
    <w:rsid w:val="00092139"/>
    <w:rsid w:val="0009213A"/>
    <w:rsid w:val="0009215C"/>
    <w:rsid w:val="00092348"/>
    <w:rsid w:val="00092791"/>
    <w:rsid w:val="000927B0"/>
    <w:rsid w:val="00092971"/>
    <w:rsid w:val="00092BBF"/>
    <w:rsid w:val="00092BFF"/>
    <w:rsid w:val="00092D8B"/>
    <w:rsid w:val="00092EA0"/>
    <w:rsid w:val="00093150"/>
    <w:rsid w:val="000931CA"/>
    <w:rsid w:val="00093214"/>
    <w:rsid w:val="00093317"/>
    <w:rsid w:val="000934A8"/>
    <w:rsid w:val="00093517"/>
    <w:rsid w:val="0009362A"/>
    <w:rsid w:val="000936BD"/>
    <w:rsid w:val="000937C4"/>
    <w:rsid w:val="000937FD"/>
    <w:rsid w:val="00093889"/>
    <w:rsid w:val="000939D5"/>
    <w:rsid w:val="00093A5A"/>
    <w:rsid w:val="00093BBA"/>
    <w:rsid w:val="00093BC9"/>
    <w:rsid w:val="00093D88"/>
    <w:rsid w:val="00093E8C"/>
    <w:rsid w:val="00093EA1"/>
    <w:rsid w:val="00094018"/>
    <w:rsid w:val="00094432"/>
    <w:rsid w:val="00094913"/>
    <w:rsid w:val="00094A4A"/>
    <w:rsid w:val="00094C16"/>
    <w:rsid w:val="00094D38"/>
    <w:rsid w:val="00094D3E"/>
    <w:rsid w:val="00094E3B"/>
    <w:rsid w:val="00094F06"/>
    <w:rsid w:val="0009519E"/>
    <w:rsid w:val="000951EB"/>
    <w:rsid w:val="000952A2"/>
    <w:rsid w:val="000956ED"/>
    <w:rsid w:val="000959A3"/>
    <w:rsid w:val="000959C8"/>
    <w:rsid w:val="000959DC"/>
    <w:rsid w:val="00095B6F"/>
    <w:rsid w:val="00095EA0"/>
    <w:rsid w:val="00095F60"/>
    <w:rsid w:val="00096034"/>
    <w:rsid w:val="000960FC"/>
    <w:rsid w:val="00096128"/>
    <w:rsid w:val="00096179"/>
    <w:rsid w:val="00096249"/>
    <w:rsid w:val="000965A7"/>
    <w:rsid w:val="00096671"/>
    <w:rsid w:val="00096673"/>
    <w:rsid w:val="000966D2"/>
    <w:rsid w:val="00096972"/>
    <w:rsid w:val="00096982"/>
    <w:rsid w:val="00096B26"/>
    <w:rsid w:val="00096D5C"/>
    <w:rsid w:val="00096DDF"/>
    <w:rsid w:val="0009704D"/>
    <w:rsid w:val="00097339"/>
    <w:rsid w:val="000973CE"/>
    <w:rsid w:val="00097650"/>
    <w:rsid w:val="000977C7"/>
    <w:rsid w:val="000977FF"/>
    <w:rsid w:val="00097B1E"/>
    <w:rsid w:val="00097CCC"/>
    <w:rsid w:val="00097DE1"/>
    <w:rsid w:val="00097DF1"/>
    <w:rsid w:val="00097E82"/>
    <w:rsid w:val="00097EAF"/>
    <w:rsid w:val="00097FF5"/>
    <w:rsid w:val="000A0026"/>
    <w:rsid w:val="000A0179"/>
    <w:rsid w:val="000A0465"/>
    <w:rsid w:val="000A06BE"/>
    <w:rsid w:val="000A0898"/>
    <w:rsid w:val="000A094D"/>
    <w:rsid w:val="000A0998"/>
    <w:rsid w:val="000A0BAF"/>
    <w:rsid w:val="000A0BED"/>
    <w:rsid w:val="000A120D"/>
    <w:rsid w:val="000A1429"/>
    <w:rsid w:val="000A165B"/>
    <w:rsid w:val="000A17EA"/>
    <w:rsid w:val="000A1805"/>
    <w:rsid w:val="000A184C"/>
    <w:rsid w:val="000A18DB"/>
    <w:rsid w:val="000A1A63"/>
    <w:rsid w:val="000A1B67"/>
    <w:rsid w:val="000A1C29"/>
    <w:rsid w:val="000A1C45"/>
    <w:rsid w:val="000A1F32"/>
    <w:rsid w:val="000A1F93"/>
    <w:rsid w:val="000A222F"/>
    <w:rsid w:val="000A266A"/>
    <w:rsid w:val="000A2789"/>
    <w:rsid w:val="000A2A16"/>
    <w:rsid w:val="000A2A43"/>
    <w:rsid w:val="000A2A7B"/>
    <w:rsid w:val="000A2B61"/>
    <w:rsid w:val="000A2BC9"/>
    <w:rsid w:val="000A2DB0"/>
    <w:rsid w:val="000A2DE2"/>
    <w:rsid w:val="000A2E9E"/>
    <w:rsid w:val="000A2F60"/>
    <w:rsid w:val="000A2F71"/>
    <w:rsid w:val="000A2FCF"/>
    <w:rsid w:val="000A315D"/>
    <w:rsid w:val="000A332F"/>
    <w:rsid w:val="000A3714"/>
    <w:rsid w:val="000A3764"/>
    <w:rsid w:val="000A386D"/>
    <w:rsid w:val="000A38D0"/>
    <w:rsid w:val="000A39A8"/>
    <w:rsid w:val="000A3A30"/>
    <w:rsid w:val="000A405F"/>
    <w:rsid w:val="000A4140"/>
    <w:rsid w:val="000A4249"/>
    <w:rsid w:val="000A43F9"/>
    <w:rsid w:val="000A45C1"/>
    <w:rsid w:val="000A46B2"/>
    <w:rsid w:val="000A4825"/>
    <w:rsid w:val="000A4A5B"/>
    <w:rsid w:val="000A4ADF"/>
    <w:rsid w:val="000A4B44"/>
    <w:rsid w:val="000A4DA0"/>
    <w:rsid w:val="000A4E76"/>
    <w:rsid w:val="000A5302"/>
    <w:rsid w:val="000A538F"/>
    <w:rsid w:val="000A548B"/>
    <w:rsid w:val="000A557A"/>
    <w:rsid w:val="000A567A"/>
    <w:rsid w:val="000A56C0"/>
    <w:rsid w:val="000A5765"/>
    <w:rsid w:val="000A59FE"/>
    <w:rsid w:val="000A5BF8"/>
    <w:rsid w:val="000A5D13"/>
    <w:rsid w:val="000A5E63"/>
    <w:rsid w:val="000A61F9"/>
    <w:rsid w:val="000A6481"/>
    <w:rsid w:val="000A66C3"/>
    <w:rsid w:val="000A66CE"/>
    <w:rsid w:val="000A670B"/>
    <w:rsid w:val="000A67E1"/>
    <w:rsid w:val="000A6883"/>
    <w:rsid w:val="000A6A97"/>
    <w:rsid w:val="000A6C69"/>
    <w:rsid w:val="000A6CBC"/>
    <w:rsid w:val="000A6D6D"/>
    <w:rsid w:val="000A6DEC"/>
    <w:rsid w:val="000A710F"/>
    <w:rsid w:val="000A7136"/>
    <w:rsid w:val="000A7214"/>
    <w:rsid w:val="000A748D"/>
    <w:rsid w:val="000A7562"/>
    <w:rsid w:val="000A75E9"/>
    <w:rsid w:val="000A77B1"/>
    <w:rsid w:val="000A78DF"/>
    <w:rsid w:val="000A7AFC"/>
    <w:rsid w:val="000A7B20"/>
    <w:rsid w:val="000A7C12"/>
    <w:rsid w:val="000A7CBF"/>
    <w:rsid w:val="000A7D45"/>
    <w:rsid w:val="000B012B"/>
    <w:rsid w:val="000B014F"/>
    <w:rsid w:val="000B015C"/>
    <w:rsid w:val="000B019A"/>
    <w:rsid w:val="000B042E"/>
    <w:rsid w:val="000B05DA"/>
    <w:rsid w:val="000B066C"/>
    <w:rsid w:val="000B0684"/>
    <w:rsid w:val="000B06CE"/>
    <w:rsid w:val="000B0899"/>
    <w:rsid w:val="000B0BFE"/>
    <w:rsid w:val="000B1021"/>
    <w:rsid w:val="000B11F9"/>
    <w:rsid w:val="000B13BA"/>
    <w:rsid w:val="000B1513"/>
    <w:rsid w:val="000B160F"/>
    <w:rsid w:val="000B1730"/>
    <w:rsid w:val="000B1EAC"/>
    <w:rsid w:val="000B1FAF"/>
    <w:rsid w:val="000B203D"/>
    <w:rsid w:val="000B205B"/>
    <w:rsid w:val="000B20B4"/>
    <w:rsid w:val="000B20D4"/>
    <w:rsid w:val="000B22A3"/>
    <w:rsid w:val="000B22F4"/>
    <w:rsid w:val="000B23F9"/>
    <w:rsid w:val="000B24FC"/>
    <w:rsid w:val="000B2594"/>
    <w:rsid w:val="000B25D3"/>
    <w:rsid w:val="000B271B"/>
    <w:rsid w:val="000B275B"/>
    <w:rsid w:val="000B2810"/>
    <w:rsid w:val="000B2833"/>
    <w:rsid w:val="000B2909"/>
    <w:rsid w:val="000B2AEB"/>
    <w:rsid w:val="000B2BEC"/>
    <w:rsid w:val="000B2DC1"/>
    <w:rsid w:val="000B2E9C"/>
    <w:rsid w:val="000B2F93"/>
    <w:rsid w:val="000B30D3"/>
    <w:rsid w:val="000B31E4"/>
    <w:rsid w:val="000B3261"/>
    <w:rsid w:val="000B32BD"/>
    <w:rsid w:val="000B32F3"/>
    <w:rsid w:val="000B375E"/>
    <w:rsid w:val="000B3AF3"/>
    <w:rsid w:val="000B3CFE"/>
    <w:rsid w:val="000B3F02"/>
    <w:rsid w:val="000B4179"/>
    <w:rsid w:val="000B42BB"/>
    <w:rsid w:val="000B42BC"/>
    <w:rsid w:val="000B43B9"/>
    <w:rsid w:val="000B43F9"/>
    <w:rsid w:val="000B45B8"/>
    <w:rsid w:val="000B460C"/>
    <w:rsid w:val="000B4643"/>
    <w:rsid w:val="000B4657"/>
    <w:rsid w:val="000B472A"/>
    <w:rsid w:val="000B478F"/>
    <w:rsid w:val="000B489A"/>
    <w:rsid w:val="000B49E1"/>
    <w:rsid w:val="000B4AB8"/>
    <w:rsid w:val="000B4B12"/>
    <w:rsid w:val="000B4B3D"/>
    <w:rsid w:val="000B4CC3"/>
    <w:rsid w:val="000B4CD9"/>
    <w:rsid w:val="000B4DAB"/>
    <w:rsid w:val="000B4DE5"/>
    <w:rsid w:val="000B4F02"/>
    <w:rsid w:val="000B4FA5"/>
    <w:rsid w:val="000B5143"/>
    <w:rsid w:val="000B5178"/>
    <w:rsid w:val="000B51BA"/>
    <w:rsid w:val="000B5378"/>
    <w:rsid w:val="000B540E"/>
    <w:rsid w:val="000B5411"/>
    <w:rsid w:val="000B54F2"/>
    <w:rsid w:val="000B5595"/>
    <w:rsid w:val="000B5659"/>
    <w:rsid w:val="000B579E"/>
    <w:rsid w:val="000B57AE"/>
    <w:rsid w:val="000B598E"/>
    <w:rsid w:val="000B5A21"/>
    <w:rsid w:val="000B5B9F"/>
    <w:rsid w:val="000B5D4C"/>
    <w:rsid w:val="000B5E09"/>
    <w:rsid w:val="000B5E4F"/>
    <w:rsid w:val="000B5F65"/>
    <w:rsid w:val="000B609A"/>
    <w:rsid w:val="000B6124"/>
    <w:rsid w:val="000B623A"/>
    <w:rsid w:val="000B6343"/>
    <w:rsid w:val="000B63BE"/>
    <w:rsid w:val="000B6675"/>
    <w:rsid w:val="000B6911"/>
    <w:rsid w:val="000B694E"/>
    <w:rsid w:val="000B6A11"/>
    <w:rsid w:val="000B6B0A"/>
    <w:rsid w:val="000B6B0F"/>
    <w:rsid w:val="000B6DF1"/>
    <w:rsid w:val="000B7286"/>
    <w:rsid w:val="000B74E8"/>
    <w:rsid w:val="000B758C"/>
    <w:rsid w:val="000B76AA"/>
    <w:rsid w:val="000B76D4"/>
    <w:rsid w:val="000B76FD"/>
    <w:rsid w:val="000B77FA"/>
    <w:rsid w:val="000B7822"/>
    <w:rsid w:val="000B7886"/>
    <w:rsid w:val="000B7B13"/>
    <w:rsid w:val="000B7C36"/>
    <w:rsid w:val="000B7C50"/>
    <w:rsid w:val="000B7FC0"/>
    <w:rsid w:val="000BC198"/>
    <w:rsid w:val="000C018F"/>
    <w:rsid w:val="000C02B6"/>
    <w:rsid w:val="000C02C4"/>
    <w:rsid w:val="000C0433"/>
    <w:rsid w:val="000C0502"/>
    <w:rsid w:val="000C051B"/>
    <w:rsid w:val="000C0635"/>
    <w:rsid w:val="000C0676"/>
    <w:rsid w:val="000C0793"/>
    <w:rsid w:val="000C09FF"/>
    <w:rsid w:val="000C0C8A"/>
    <w:rsid w:val="000C1054"/>
    <w:rsid w:val="000C1389"/>
    <w:rsid w:val="000C1397"/>
    <w:rsid w:val="000C149D"/>
    <w:rsid w:val="000C1A9B"/>
    <w:rsid w:val="000C1B12"/>
    <w:rsid w:val="000C1E3D"/>
    <w:rsid w:val="000C1F3A"/>
    <w:rsid w:val="000C212B"/>
    <w:rsid w:val="000C21BD"/>
    <w:rsid w:val="000C21CF"/>
    <w:rsid w:val="000C2293"/>
    <w:rsid w:val="000C22AD"/>
    <w:rsid w:val="000C2392"/>
    <w:rsid w:val="000C279E"/>
    <w:rsid w:val="000C28FA"/>
    <w:rsid w:val="000C29B3"/>
    <w:rsid w:val="000C2A83"/>
    <w:rsid w:val="000C2E04"/>
    <w:rsid w:val="000C2EF3"/>
    <w:rsid w:val="000C2F19"/>
    <w:rsid w:val="000C2F35"/>
    <w:rsid w:val="000C302C"/>
    <w:rsid w:val="000C3206"/>
    <w:rsid w:val="000C3326"/>
    <w:rsid w:val="000C3373"/>
    <w:rsid w:val="000C3461"/>
    <w:rsid w:val="000C3616"/>
    <w:rsid w:val="000C36A2"/>
    <w:rsid w:val="000C36AC"/>
    <w:rsid w:val="000C372F"/>
    <w:rsid w:val="000C3A05"/>
    <w:rsid w:val="000C3B21"/>
    <w:rsid w:val="000C3CEE"/>
    <w:rsid w:val="000C3D36"/>
    <w:rsid w:val="000C3DE5"/>
    <w:rsid w:val="000C3F9E"/>
    <w:rsid w:val="000C4103"/>
    <w:rsid w:val="000C419E"/>
    <w:rsid w:val="000C425D"/>
    <w:rsid w:val="000C42FE"/>
    <w:rsid w:val="000C4410"/>
    <w:rsid w:val="000C4520"/>
    <w:rsid w:val="000C4568"/>
    <w:rsid w:val="000C45A2"/>
    <w:rsid w:val="000C46A8"/>
    <w:rsid w:val="000C48D4"/>
    <w:rsid w:val="000C48EB"/>
    <w:rsid w:val="000C492B"/>
    <w:rsid w:val="000C492E"/>
    <w:rsid w:val="000C4A60"/>
    <w:rsid w:val="000C4C99"/>
    <w:rsid w:val="000C4D16"/>
    <w:rsid w:val="000C4DA2"/>
    <w:rsid w:val="000C4FD6"/>
    <w:rsid w:val="000C5004"/>
    <w:rsid w:val="000C5182"/>
    <w:rsid w:val="000C51B6"/>
    <w:rsid w:val="000C53A0"/>
    <w:rsid w:val="000C55D1"/>
    <w:rsid w:val="000C5713"/>
    <w:rsid w:val="000C57E4"/>
    <w:rsid w:val="000C57F2"/>
    <w:rsid w:val="000C599A"/>
    <w:rsid w:val="000C5E0D"/>
    <w:rsid w:val="000C5E39"/>
    <w:rsid w:val="000C5E80"/>
    <w:rsid w:val="000C5F6A"/>
    <w:rsid w:val="000C6061"/>
    <w:rsid w:val="000C6590"/>
    <w:rsid w:val="000C65C5"/>
    <w:rsid w:val="000C65D2"/>
    <w:rsid w:val="000C668B"/>
    <w:rsid w:val="000C6820"/>
    <w:rsid w:val="000C6828"/>
    <w:rsid w:val="000C6AA7"/>
    <w:rsid w:val="000C6AD5"/>
    <w:rsid w:val="000C6D29"/>
    <w:rsid w:val="000C6D62"/>
    <w:rsid w:val="000C6DA9"/>
    <w:rsid w:val="000C7004"/>
    <w:rsid w:val="000C70C8"/>
    <w:rsid w:val="000C72B2"/>
    <w:rsid w:val="000C7384"/>
    <w:rsid w:val="000C75D3"/>
    <w:rsid w:val="000C77F8"/>
    <w:rsid w:val="000C7840"/>
    <w:rsid w:val="000C78FB"/>
    <w:rsid w:val="000C79C4"/>
    <w:rsid w:val="000C7A4F"/>
    <w:rsid w:val="000C7B1F"/>
    <w:rsid w:val="000C7D48"/>
    <w:rsid w:val="000C7DB2"/>
    <w:rsid w:val="000C7FF7"/>
    <w:rsid w:val="000C7FF9"/>
    <w:rsid w:val="000D01EA"/>
    <w:rsid w:val="000D02AB"/>
    <w:rsid w:val="000D0459"/>
    <w:rsid w:val="000D0540"/>
    <w:rsid w:val="000D059B"/>
    <w:rsid w:val="000D0790"/>
    <w:rsid w:val="000D07A4"/>
    <w:rsid w:val="000D07AF"/>
    <w:rsid w:val="000D0837"/>
    <w:rsid w:val="000D0893"/>
    <w:rsid w:val="000D08F9"/>
    <w:rsid w:val="000D0972"/>
    <w:rsid w:val="000D0A5F"/>
    <w:rsid w:val="000D0B24"/>
    <w:rsid w:val="000D0BEC"/>
    <w:rsid w:val="000D0C10"/>
    <w:rsid w:val="000D0D42"/>
    <w:rsid w:val="000D0E79"/>
    <w:rsid w:val="000D1086"/>
    <w:rsid w:val="000D1180"/>
    <w:rsid w:val="000D12A2"/>
    <w:rsid w:val="000D1387"/>
    <w:rsid w:val="000D1581"/>
    <w:rsid w:val="000D16D8"/>
    <w:rsid w:val="000D170C"/>
    <w:rsid w:val="000D18A2"/>
    <w:rsid w:val="000D1953"/>
    <w:rsid w:val="000D19F2"/>
    <w:rsid w:val="000D1A44"/>
    <w:rsid w:val="000D1B89"/>
    <w:rsid w:val="000D1B8F"/>
    <w:rsid w:val="000D1C37"/>
    <w:rsid w:val="000D1F70"/>
    <w:rsid w:val="000D202E"/>
    <w:rsid w:val="000D222D"/>
    <w:rsid w:val="000D2358"/>
    <w:rsid w:val="000D24EE"/>
    <w:rsid w:val="000D2531"/>
    <w:rsid w:val="000D2961"/>
    <w:rsid w:val="000D2983"/>
    <w:rsid w:val="000D2B9D"/>
    <w:rsid w:val="000D2C99"/>
    <w:rsid w:val="000D2D1D"/>
    <w:rsid w:val="000D2D5C"/>
    <w:rsid w:val="000D3030"/>
    <w:rsid w:val="000D3323"/>
    <w:rsid w:val="000D33B3"/>
    <w:rsid w:val="000D33BB"/>
    <w:rsid w:val="000D3889"/>
    <w:rsid w:val="000D38B9"/>
    <w:rsid w:val="000D396E"/>
    <w:rsid w:val="000D3A42"/>
    <w:rsid w:val="000D3F0C"/>
    <w:rsid w:val="000D4017"/>
    <w:rsid w:val="000D42CF"/>
    <w:rsid w:val="000D439B"/>
    <w:rsid w:val="000D4431"/>
    <w:rsid w:val="000D44F0"/>
    <w:rsid w:val="000D4506"/>
    <w:rsid w:val="000D4559"/>
    <w:rsid w:val="000D4878"/>
    <w:rsid w:val="000D498A"/>
    <w:rsid w:val="000D4AF9"/>
    <w:rsid w:val="000D4B2F"/>
    <w:rsid w:val="000D4FE6"/>
    <w:rsid w:val="000D5105"/>
    <w:rsid w:val="000D52A4"/>
    <w:rsid w:val="000D52CF"/>
    <w:rsid w:val="000D5335"/>
    <w:rsid w:val="000D54E7"/>
    <w:rsid w:val="000D5743"/>
    <w:rsid w:val="000D575B"/>
    <w:rsid w:val="000D59A7"/>
    <w:rsid w:val="000D5A47"/>
    <w:rsid w:val="000D5BA6"/>
    <w:rsid w:val="000D5BA9"/>
    <w:rsid w:val="000D5BF9"/>
    <w:rsid w:val="000D5CA9"/>
    <w:rsid w:val="000D5D01"/>
    <w:rsid w:val="000D5D17"/>
    <w:rsid w:val="000D5DC8"/>
    <w:rsid w:val="000D5DED"/>
    <w:rsid w:val="000D5F89"/>
    <w:rsid w:val="000D63AB"/>
    <w:rsid w:val="000D6412"/>
    <w:rsid w:val="000D691A"/>
    <w:rsid w:val="000D6925"/>
    <w:rsid w:val="000D69D6"/>
    <w:rsid w:val="000D6A4A"/>
    <w:rsid w:val="000D6AA5"/>
    <w:rsid w:val="000D6D7B"/>
    <w:rsid w:val="000D6D83"/>
    <w:rsid w:val="000D6DE9"/>
    <w:rsid w:val="000D6E35"/>
    <w:rsid w:val="000D6E75"/>
    <w:rsid w:val="000D6E7D"/>
    <w:rsid w:val="000D6F88"/>
    <w:rsid w:val="000D705C"/>
    <w:rsid w:val="000D7070"/>
    <w:rsid w:val="000D7359"/>
    <w:rsid w:val="000D75D0"/>
    <w:rsid w:val="000D767D"/>
    <w:rsid w:val="000D77DD"/>
    <w:rsid w:val="000D787B"/>
    <w:rsid w:val="000D7A1D"/>
    <w:rsid w:val="000D7A4C"/>
    <w:rsid w:val="000D7B38"/>
    <w:rsid w:val="000D7B6F"/>
    <w:rsid w:val="000D7BE5"/>
    <w:rsid w:val="000D886E"/>
    <w:rsid w:val="000E00A0"/>
    <w:rsid w:val="000E042C"/>
    <w:rsid w:val="000E04B8"/>
    <w:rsid w:val="000E05B8"/>
    <w:rsid w:val="000E05D8"/>
    <w:rsid w:val="000E0671"/>
    <w:rsid w:val="000E0685"/>
    <w:rsid w:val="000E0689"/>
    <w:rsid w:val="000E07FE"/>
    <w:rsid w:val="000E08C7"/>
    <w:rsid w:val="000E0AD9"/>
    <w:rsid w:val="000E0B6D"/>
    <w:rsid w:val="000E0C61"/>
    <w:rsid w:val="000E0D32"/>
    <w:rsid w:val="000E0F59"/>
    <w:rsid w:val="000E0F64"/>
    <w:rsid w:val="000E0FD5"/>
    <w:rsid w:val="000E1025"/>
    <w:rsid w:val="000E13EA"/>
    <w:rsid w:val="000E1455"/>
    <w:rsid w:val="000E1549"/>
    <w:rsid w:val="000E174E"/>
    <w:rsid w:val="000E17C3"/>
    <w:rsid w:val="000E1CF3"/>
    <w:rsid w:val="000E1E16"/>
    <w:rsid w:val="000E2116"/>
    <w:rsid w:val="000E246C"/>
    <w:rsid w:val="000E2523"/>
    <w:rsid w:val="000E266B"/>
    <w:rsid w:val="000E278A"/>
    <w:rsid w:val="000E27F6"/>
    <w:rsid w:val="000E28F8"/>
    <w:rsid w:val="000E292E"/>
    <w:rsid w:val="000E2A51"/>
    <w:rsid w:val="000E2BDC"/>
    <w:rsid w:val="000E2FBB"/>
    <w:rsid w:val="000E3024"/>
    <w:rsid w:val="000E3086"/>
    <w:rsid w:val="000E3109"/>
    <w:rsid w:val="000E324C"/>
    <w:rsid w:val="000E345B"/>
    <w:rsid w:val="000E3549"/>
    <w:rsid w:val="000E3587"/>
    <w:rsid w:val="000E35D8"/>
    <w:rsid w:val="000E3607"/>
    <w:rsid w:val="000E36BF"/>
    <w:rsid w:val="000E378E"/>
    <w:rsid w:val="000E3885"/>
    <w:rsid w:val="000E3906"/>
    <w:rsid w:val="000E3B7B"/>
    <w:rsid w:val="000E3BF6"/>
    <w:rsid w:val="000E3C35"/>
    <w:rsid w:val="000E3C9D"/>
    <w:rsid w:val="000E3CE5"/>
    <w:rsid w:val="000E40F5"/>
    <w:rsid w:val="000E422D"/>
    <w:rsid w:val="000E4370"/>
    <w:rsid w:val="000E439B"/>
    <w:rsid w:val="000E45E6"/>
    <w:rsid w:val="000E4684"/>
    <w:rsid w:val="000E49A9"/>
    <w:rsid w:val="000E4A9C"/>
    <w:rsid w:val="000E4ADB"/>
    <w:rsid w:val="000E4B01"/>
    <w:rsid w:val="000E4B8C"/>
    <w:rsid w:val="000E4B97"/>
    <w:rsid w:val="000E4CCC"/>
    <w:rsid w:val="000E4D72"/>
    <w:rsid w:val="000E4E09"/>
    <w:rsid w:val="000E4E39"/>
    <w:rsid w:val="000E4E7A"/>
    <w:rsid w:val="000E4E7C"/>
    <w:rsid w:val="000E4E91"/>
    <w:rsid w:val="000E4F89"/>
    <w:rsid w:val="000E5068"/>
    <w:rsid w:val="000E5184"/>
    <w:rsid w:val="000E52D9"/>
    <w:rsid w:val="000E52E6"/>
    <w:rsid w:val="000E568B"/>
    <w:rsid w:val="000E58D3"/>
    <w:rsid w:val="000E59AA"/>
    <w:rsid w:val="000E59C1"/>
    <w:rsid w:val="000E5A55"/>
    <w:rsid w:val="000E5ABA"/>
    <w:rsid w:val="000E5B3C"/>
    <w:rsid w:val="000E5BEB"/>
    <w:rsid w:val="000E5C09"/>
    <w:rsid w:val="000E5C55"/>
    <w:rsid w:val="000E5D57"/>
    <w:rsid w:val="000E5E08"/>
    <w:rsid w:val="000E5FEA"/>
    <w:rsid w:val="000E6090"/>
    <w:rsid w:val="000E62BF"/>
    <w:rsid w:val="000E6388"/>
    <w:rsid w:val="000E638F"/>
    <w:rsid w:val="000E64DC"/>
    <w:rsid w:val="000E6555"/>
    <w:rsid w:val="000E6703"/>
    <w:rsid w:val="000E68AC"/>
    <w:rsid w:val="000E68B0"/>
    <w:rsid w:val="000E6DCE"/>
    <w:rsid w:val="000E6EEF"/>
    <w:rsid w:val="000E6F84"/>
    <w:rsid w:val="000E707F"/>
    <w:rsid w:val="000E735F"/>
    <w:rsid w:val="000E7361"/>
    <w:rsid w:val="000E73C0"/>
    <w:rsid w:val="000E7478"/>
    <w:rsid w:val="000E7570"/>
    <w:rsid w:val="000E7665"/>
    <w:rsid w:val="000E7745"/>
    <w:rsid w:val="000E7765"/>
    <w:rsid w:val="000E794A"/>
    <w:rsid w:val="000E79AA"/>
    <w:rsid w:val="000E7C2D"/>
    <w:rsid w:val="000E7D38"/>
    <w:rsid w:val="000E7D52"/>
    <w:rsid w:val="000E7F6C"/>
    <w:rsid w:val="000F0083"/>
    <w:rsid w:val="000F02F7"/>
    <w:rsid w:val="000F041A"/>
    <w:rsid w:val="000F044B"/>
    <w:rsid w:val="000F0453"/>
    <w:rsid w:val="000F04F8"/>
    <w:rsid w:val="000F05E2"/>
    <w:rsid w:val="000F0672"/>
    <w:rsid w:val="000F0737"/>
    <w:rsid w:val="000F0941"/>
    <w:rsid w:val="000F09DA"/>
    <w:rsid w:val="000F0A79"/>
    <w:rsid w:val="000F0AC1"/>
    <w:rsid w:val="000F0B0C"/>
    <w:rsid w:val="000F0BAA"/>
    <w:rsid w:val="000F0BB6"/>
    <w:rsid w:val="000F0D51"/>
    <w:rsid w:val="000F0DF4"/>
    <w:rsid w:val="000F0EF5"/>
    <w:rsid w:val="000F11AC"/>
    <w:rsid w:val="000F1283"/>
    <w:rsid w:val="000F12EB"/>
    <w:rsid w:val="000F13C8"/>
    <w:rsid w:val="000F160E"/>
    <w:rsid w:val="000F171B"/>
    <w:rsid w:val="000F171F"/>
    <w:rsid w:val="000F17CA"/>
    <w:rsid w:val="000F1899"/>
    <w:rsid w:val="000F19A8"/>
    <w:rsid w:val="000F1BE2"/>
    <w:rsid w:val="000F1E65"/>
    <w:rsid w:val="000F1F87"/>
    <w:rsid w:val="000F226D"/>
    <w:rsid w:val="000F2286"/>
    <w:rsid w:val="000F2425"/>
    <w:rsid w:val="000F25B0"/>
    <w:rsid w:val="000F25F8"/>
    <w:rsid w:val="000F26B2"/>
    <w:rsid w:val="000F2972"/>
    <w:rsid w:val="000F29B1"/>
    <w:rsid w:val="000F29F2"/>
    <w:rsid w:val="000F2A02"/>
    <w:rsid w:val="000F2ABC"/>
    <w:rsid w:val="000F2B06"/>
    <w:rsid w:val="000F2CDD"/>
    <w:rsid w:val="000F2D64"/>
    <w:rsid w:val="000F2D82"/>
    <w:rsid w:val="000F2FF9"/>
    <w:rsid w:val="000F3019"/>
    <w:rsid w:val="000F30C0"/>
    <w:rsid w:val="000F31D8"/>
    <w:rsid w:val="000F31FF"/>
    <w:rsid w:val="000F3360"/>
    <w:rsid w:val="000F3481"/>
    <w:rsid w:val="000F34FE"/>
    <w:rsid w:val="000F357A"/>
    <w:rsid w:val="000F395E"/>
    <w:rsid w:val="000F39EE"/>
    <w:rsid w:val="000F39F2"/>
    <w:rsid w:val="000F3AE4"/>
    <w:rsid w:val="000F3C3B"/>
    <w:rsid w:val="000F4420"/>
    <w:rsid w:val="000F447A"/>
    <w:rsid w:val="000F44BA"/>
    <w:rsid w:val="000F4503"/>
    <w:rsid w:val="000F45A2"/>
    <w:rsid w:val="000F46DC"/>
    <w:rsid w:val="000F4A76"/>
    <w:rsid w:val="000F4BD6"/>
    <w:rsid w:val="000F4C08"/>
    <w:rsid w:val="000F4CF2"/>
    <w:rsid w:val="000F4D9B"/>
    <w:rsid w:val="000F4E96"/>
    <w:rsid w:val="000F4E9B"/>
    <w:rsid w:val="000F4F2C"/>
    <w:rsid w:val="000F4F43"/>
    <w:rsid w:val="000F4F54"/>
    <w:rsid w:val="000F5061"/>
    <w:rsid w:val="000F50CD"/>
    <w:rsid w:val="000F5207"/>
    <w:rsid w:val="000F53C2"/>
    <w:rsid w:val="000F5482"/>
    <w:rsid w:val="000F5598"/>
    <w:rsid w:val="000F55C8"/>
    <w:rsid w:val="000F586D"/>
    <w:rsid w:val="000F58DC"/>
    <w:rsid w:val="000F59BC"/>
    <w:rsid w:val="000F5ABC"/>
    <w:rsid w:val="000F5AF0"/>
    <w:rsid w:val="000F5C23"/>
    <w:rsid w:val="000F5CD5"/>
    <w:rsid w:val="000F5E3D"/>
    <w:rsid w:val="000F5E94"/>
    <w:rsid w:val="000F5F63"/>
    <w:rsid w:val="000F62AB"/>
    <w:rsid w:val="000F630A"/>
    <w:rsid w:val="000F6383"/>
    <w:rsid w:val="000F639D"/>
    <w:rsid w:val="000F63B8"/>
    <w:rsid w:val="000F6674"/>
    <w:rsid w:val="000F674C"/>
    <w:rsid w:val="000F684D"/>
    <w:rsid w:val="000F6B30"/>
    <w:rsid w:val="000F6C3E"/>
    <w:rsid w:val="000F6D0A"/>
    <w:rsid w:val="000F6DAE"/>
    <w:rsid w:val="000F7135"/>
    <w:rsid w:val="000F7314"/>
    <w:rsid w:val="000F731F"/>
    <w:rsid w:val="000F7469"/>
    <w:rsid w:val="000F74D9"/>
    <w:rsid w:val="000F759F"/>
    <w:rsid w:val="000F764A"/>
    <w:rsid w:val="000F776B"/>
    <w:rsid w:val="000F77BF"/>
    <w:rsid w:val="000F784D"/>
    <w:rsid w:val="000F7A6A"/>
    <w:rsid w:val="000F7AE8"/>
    <w:rsid w:val="000F7C28"/>
    <w:rsid w:val="000F7C80"/>
    <w:rsid w:val="000F7C96"/>
    <w:rsid w:val="000F7DC4"/>
    <w:rsid w:val="000F7E8C"/>
    <w:rsid w:val="001000EC"/>
    <w:rsid w:val="00100109"/>
    <w:rsid w:val="0010024D"/>
    <w:rsid w:val="00100259"/>
    <w:rsid w:val="00100382"/>
    <w:rsid w:val="00100394"/>
    <w:rsid w:val="001004A0"/>
    <w:rsid w:val="00100579"/>
    <w:rsid w:val="0010057F"/>
    <w:rsid w:val="00100618"/>
    <w:rsid w:val="00100829"/>
    <w:rsid w:val="001008BC"/>
    <w:rsid w:val="00100A03"/>
    <w:rsid w:val="00100A6E"/>
    <w:rsid w:val="001014C4"/>
    <w:rsid w:val="001016C0"/>
    <w:rsid w:val="00101745"/>
    <w:rsid w:val="00101747"/>
    <w:rsid w:val="00101970"/>
    <w:rsid w:val="0010198B"/>
    <w:rsid w:val="00101B67"/>
    <w:rsid w:val="00101EAE"/>
    <w:rsid w:val="00102105"/>
    <w:rsid w:val="0010216F"/>
    <w:rsid w:val="0010231F"/>
    <w:rsid w:val="00102612"/>
    <w:rsid w:val="00102882"/>
    <w:rsid w:val="001028C0"/>
    <w:rsid w:val="0010295C"/>
    <w:rsid w:val="00102A2D"/>
    <w:rsid w:val="00102AD2"/>
    <w:rsid w:val="00102C36"/>
    <w:rsid w:val="00102C3A"/>
    <w:rsid w:val="00102E03"/>
    <w:rsid w:val="00102F5A"/>
    <w:rsid w:val="00103481"/>
    <w:rsid w:val="001034BC"/>
    <w:rsid w:val="001034DB"/>
    <w:rsid w:val="00103613"/>
    <w:rsid w:val="0010362B"/>
    <w:rsid w:val="00103793"/>
    <w:rsid w:val="00103875"/>
    <w:rsid w:val="0010389F"/>
    <w:rsid w:val="0010399B"/>
    <w:rsid w:val="00103E2F"/>
    <w:rsid w:val="00103E50"/>
    <w:rsid w:val="00103EE2"/>
    <w:rsid w:val="0010407E"/>
    <w:rsid w:val="0010413A"/>
    <w:rsid w:val="00104141"/>
    <w:rsid w:val="001044BB"/>
    <w:rsid w:val="00104774"/>
    <w:rsid w:val="001048F3"/>
    <w:rsid w:val="00104B6D"/>
    <w:rsid w:val="00104DBF"/>
    <w:rsid w:val="00104E67"/>
    <w:rsid w:val="00105050"/>
    <w:rsid w:val="00105102"/>
    <w:rsid w:val="001051ED"/>
    <w:rsid w:val="001052CA"/>
    <w:rsid w:val="00105365"/>
    <w:rsid w:val="00105637"/>
    <w:rsid w:val="00105881"/>
    <w:rsid w:val="001058C9"/>
    <w:rsid w:val="001058F0"/>
    <w:rsid w:val="00105938"/>
    <w:rsid w:val="00105942"/>
    <w:rsid w:val="001059E4"/>
    <w:rsid w:val="00105A1A"/>
    <w:rsid w:val="00105A5D"/>
    <w:rsid w:val="00105DEE"/>
    <w:rsid w:val="00105EE9"/>
    <w:rsid w:val="00105FF6"/>
    <w:rsid w:val="0010610B"/>
    <w:rsid w:val="001061B1"/>
    <w:rsid w:val="00106266"/>
    <w:rsid w:val="00106300"/>
    <w:rsid w:val="001064C4"/>
    <w:rsid w:val="001066D2"/>
    <w:rsid w:val="001067D7"/>
    <w:rsid w:val="001068C3"/>
    <w:rsid w:val="00106A9F"/>
    <w:rsid w:val="00106C3F"/>
    <w:rsid w:val="00106DE0"/>
    <w:rsid w:val="00106EF2"/>
    <w:rsid w:val="00106FF1"/>
    <w:rsid w:val="00107013"/>
    <w:rsid w:val="00107069"/>
    <w:rsid w:val="001071D9"/>
    <w:rsid w:val="0010720B"/>
    <w:rsid w:val="001075C3"/>
    <w:rsid w:val="0010775B"/>
    <w:rsid w:val="00107892"/>
    <w:rsid w:val="001078C3"/>
    <w:rsid w:val="0010798C"/>
    <w:rsid w:val="001079D5"/>
    <w:rsid w:val="00107B61"/>
    <w:rsid w:val="00107D46"/>
    <w:rsid w:val="00107EC1"/>
    <w:rsid w:val="00107FD7"/>
    <w:rsid w:val="00107FE3"/>
    <w:rsid w:val="00110212"/>
    <w:rsid w:val="00110449"/>
    <w:rsid w:val="0011046F"/>
    <w:rsid w:val="00110527"/>
    <w:rsid w:val="0011053B"/>
    <w:rsid w:val="001105DD"/>
    <w:rsid w:val="00110670"/>
    <w:rsid w:val="00110720"/>
    <w:rsid w:val="001107D2"/>
    <w:rsid w:val="00110831"/>
    <w:rsid w:val="00110A27"/>
    <w:rsid w:val="00110A75"/>
    <w:rsid w:val="00110C1C"/>
    <w:rsid w:val="00110C56"/>
    <w:rsid w:val="00110C62"/>
    <w:rsid w:val="00110DF4"/>
    <w:rsid w:val="00110E16"/>
    <w:rsid w:val="00111022"/>
    <w:rsid w:val="001110AB"/>
    <w:rsid w:val="001110CB"/>
    <w:rsid w:val="00111152"/>
    <w:rsid w:val="00111165"/>
    <w:rsid w:val="001111CC"/>
    <w:rsid w:val="001113E0"/>
    <w:rsid w:val="0011144A"/>
    <w:rsid w:val="00111777"/>
    <w:rsid w:val="0011183F"/>
    <w:rsid w:val="0011191D"/>
    <w:rsid w:val="001119E4"/>
    <w:rsid w:val="00111BAE"/>
    <w:rsid w:val="00111C59"/>
    <w:rsid w:val="00111C6E"/>
    <w:rsid w:val="00111CA1"/>
    <w:rsid w:val="00111CC5"/>
    <w:rsid w:val="00111DC6"/>
    <w:rsid w:val="00112157"/>
    <w:rsid w:val="00112244"/>
    <w:rsid w:val="001125A5"/>
    <w:rsid w:val="00112640"/>
    <w:rsid w:val="001126EC"/>
    <w:rsid w:val="001128CF"/>
    <w:rsid w:val="0011293F"/>
    <w:rsid w:val="0011296B"/>
    <w:rsid w:val="00112B95"/>
    <w:rsid w:val="00112C7F"/>
    <w:rsid w:val="00112CA9"/>
    <w:rsid w:val="00112D2D"/>
    <w:rsid w:val="0011315D"/>
    <w:rsid w:val="00113162"/>
    <w:rsid w:val="001132FA"/>
    <w:rsid w:val="00113347"/>
    <w:rsid w:val="001133EC"/>
    <w:rsid w:val="00113466"/>
    <w:rsid w:val="001136F7"/>
    <w:rsid w:val="00113961"/>
    <w:rsid w:val="00113A72"/>
    <w:rsid w:val="00113B86"/>
    <w:rsid w:val="00113BB4"/>
    <w:rsid w:val="00113CAB"/>
    <w:rsid w:val="00113D0C"/>
    <w:rsid w:val="00113D4E"/>
    <w:rsid w:val="00113DF5"/>
    <w:rsid w:val="00113EBA"/>
    <w:rsid w:val="0011426C"/>
    <w:rsid w:val="001142A7"/>
    <w:rsid w:val="001142E8"/>
    <w:rsid w:val="001146DE"/>
    <w:rsid w:val="001148B2"/>
    <w:rsid w:val="001148FB"/>
    <w:rsid w:val="00114950"/>
    <w:rsid w:val="0011495E"/>
    <w:rsid w:val="00114AA0"/>
    <w:rsid w:val="001150A2"/>
    <w:rsid w:val="001150A4"/>
    <w:rsid w:val="001150B9"/>
    <w:rsid w:val="0011517D"/>
    <w:rsid w:val="001154E5"/>
    <w:rsid w:val="00115747"/>
    <w:rsid w:val="001159E3"/>
    <w:rsid w:val="00115AC4"/>
    <w:rsid w:val="00115B27"/>
    <w:rsid w:val="00115B6E"/>
    <w:rsid w:val="00115D38"/>
    <w:rsid w:val="00115E9F"/>
    <w:rsid w:val="00115F13"/>
    <w:rsid w:val="001162AF"/>
    <w:rsid w:val="00116402"/>
    <w:rsid w:val="00116644"/>
    <w:rsid w:val="001166DE"/>
    <w:rsid w:val="00116A2C"/>
    <w:rsid w:val="00116A44"/>
    <w:rsid w:val="00116E4B"/>
    <w:rsid w:val="00117073"/>
    <w:rsid w:val="00117116"/>
    <w:rsid w:val="001171B4"/>
    <w:rsid w:val="001173D7"/>
    <w:rsid w:val="0011750B"/>
    <w:rsid w:val="00117597"/>
    <w:rsid w:val="0011764B"/>
    <w:rsid w:val="0011773C"/>
    <w:rsid w:val="001177E3"/>
    <w:rsid w:val="001179F0"/>
    <w:rsid w:val="00117BDE"/>
    <w:rsid w:val="00117CCD"/>
    <w:rsid w:val="00117D26"/>
    <w:rsid w:val="00117D82"/>
    <w:rsid w:val="0011FDDD"/>
    <w:rsid w:val="00120209"/>
    <w:rsid w:val="00120393"/>
    <w:rsid w:val="00120494"/>
    <w:rsid w:val="00120517"/>
    <w:rsid w:val="00120810"/>
    <w:rsid w:val="0012093E"/>
    <w:rsid w:val="00120A8F"/>
    <w:rsid w:val="00120B5D"/>
    <w:rsid w:val="00120DAF"/>
    <w:rsid w:val="00120F26"/>
    <w:rsid w:val="00120FD9"/>
    <w:rsid w:val="00121293"/>
    <w:rsid w:val="00121364"/>
    <w:rsid w:val="001213B3"/>
    <w:rsid w:val="00121510"/>
    <w:rsid w:val="00121677"/>
    <w:rsid w:val="001216A3"/>
    <w:rsid w:val="001218FF"/>
    <w:rsid w:val="001219FC"/>
    <w:rsid w:val="00121B17"/>
    <w:rsid w:val="00121BFF"/>
    <w:rsid w:val="00121C74"/>
    <w:rsid w:val="00121C8B"/>
    <w:rsid w:val="00121CB2"/>
    <w:rsid w:val="00121D11"/>
    <w:rsid w:val="00121E06"/>
    <w:rsid w:val="00121E7B"/>
    <w:rsid w:val="00122008"/>
    <w:rsid w:val="001221EF"/>
    <w:rsid w:val="0012250C"/>
    <w:rsid w:val="00122649"/>
    <w:rsid w:val="00122675"/>
    <w:rsid w:val="00122A52"/>
    <w:rsid w:val="00122AE4"/>
    <w:rsid w:val="00122C09"/>
    <w:rsid w:val="00122C76"/>
    <w:rsid w:val="00122CF8"/>
    <w:rsid w:val="00122D4A"/>
    <w:rsid w:val="00122D76"/>
    <w:rsid w:val="00122EEA"/>
    <w:rsid w:val="001230BF"/>
    <w:rsid w:val="001232A8"/>
    <w:rsid w:val="00123424"/>
    <w:rsid w:val="0012349A"/>
    <w:rsid w:val="001234C6"/>
    <w:rsid w:val="001236F7"/>
    <w:rsid w:val="00123804"/>
    <w:rsid w:val="0012391E"/>
    <w:rsid w:val="00123AA0"/>
    <w:rsid w:val="00123BD8"/>
    <w:rsid w:val="00123BE1"/>
    <w:rsid w:val="00123E6E"/>
    <w:rsid w:val="00123E7F"/>
    <w:rsid w:val="00124047"/>
    <w:rsid w:val="00124076"/>
    <w:rsid w:val="0012412A"/>
    <w:rsid w:val="00124218"/>
    <w:rsid w:val="0012423C"/>
    <w:rsid w:val="001244A8"/>
    <w:rsid w:val="001245C5"/>
    <w:rsid w:val="001246A8"/>
    <w:rsid w:val="00124788"/>
    <w:rsid w:val="001249CE"/>
    <w:rsid w:val="00124A20"/>
    <w:rsid w:val="00124A7E"/>
    <w:rsid w:val="00124DAF"/>
    <w:rsid w:val="00125053"/>
    <w:rsid w:val="001250B9"/>
    <w:rsid w:val="001250F0"/>
    <w:rsid w:val="00125248"/>
    <w:rsid w:val="001252BC"/>
    <w:rsid w:val="001252F1"/>
    <w:rsid w:val="001253CD"/>
    <w:rsid w:val="00125427"/>
    <w:rsid w:val="001255F5"/>
    <w:rsid w:val="00125989"/>
    <w:rsid w:val="00125A37"/>
    <w:rsid w:val="00125AD1"/>
    <w:rsid w:val="00125ADE"/>
    <w:rsid w:val="00125C1F"/>
    <w:rsid w:val="00125E27"/>
    <w:rsid w:val="00125E2F"/>
    <w:rsid w:val="00125E34"/>
    <w:rsid w:val="00125F0F"/>
    <w:rsid w:val="00125F25"/>
    <w:rsid w:val="00125FF6"/>
    <w:rsid w:val="00125FFC"/>
    <w:rsid w:val="00126168"/>
    <w:rsid w:val="00126174"/>
    <w:rsid w:val="00126187"/>
    <w:rsid w:val="001261B7"/>
    <w:rsid w:val="001261BF"/>
    <w:rsid w:val="00126461"/>
    <w:rsid w:val="001266B0"/>
    <w:rsid w:val="0012684D"/>
    <w:rsid w:val="0012686F"/>
    <w:rsid w:val="0012694B"/>
    <w:rsid w:val="00126A5C"/>
    <w:rsid w:val="00126ADC"/>
    <w:rsid w:val="00126C0D"/>
    <w:rsid w:val="00126C56"/>
    <w:rsid w:val="00126C69"/>
    <w:rsid w:val="00126DF5"/>
    <w:rsid w:val="00126E95"/>
    <w:rsid w:val="00126F62"/>
    <w:rsid w:val="00126FA3"/>
    <w:rsid w:val="00127223"/>
    <w:rsid w:val="0012737B"/>
    <w:rsid w:val="00127390"/>
    <w:rsid w:val="001273B8"/>
    <w:rsid w:val="00127449"/>
    <w:rsid w:val="00127492"/>
    <w:rsid w:val="001274A5"/>
    <w:rsid w:val="0012762C"/>
    <w:rsid w:val="00127A45"/>
    <w:rsid w:val="00127AB9"/>
    <w:rsid w:val="00127AC3"/>
    <w:rsid w:val="00127E5D"/>
    <w:rsid w:val="00127EA0"/>
    <w:rsid w:val="00127EC3"/>
    <w:rsid w:val="00127F5D"/>
    <w:rsid w:val="00130094"/>
    <w:rsid w:val="00130107"/>
    <w:rsid w:val="0013013E"/>
    <w:rsid w:val="00130198"/>
    <w:rsid w:val="001301CA"/>
    <w:rsid w:val="00130292"/>
    <w:rsid w:val="00130352"/>
    <w:rsid w:val="00130497"/>
    <w:rsid w:val="001305AD"/>
    <w:rsid w:val="001305DC"/>
    <w:rsid w:val="001305E2"/>
    <w:rsid w:val="0013064E"/>
    <w:rsid w:val="00130821"/>
    <w:rsid w:val="0013082F"/>
    <w:rsid w:val="001308B5"/>
    <w:rsid w:val="00130AC4"/>
    <w:rsid w:val="00130B6B"/>
    <w:rsid w:val="00130C29"/>
    <w:rsid w:val="00130F62"/>
    <w:rsid w:val="00131157"/>
    <w:rsid w:val="001311A0"/>
    <w:rsid w:val="001311AE"/>
    <w:rsid w:val="001312AB"/>
    <w:rsid w:val="00131374"/>
    <w:rsid w:val="0013140A"/>
    <w:rsid w:val="001314E0"/>
    <w:rsid w:val="0013161F"/>
    <w:rsid w:val="00131645"/>
    <w:rsid w:val="001316CD"/>
    <w:rsid w:val="00131B09"/>
    <w:rsid w:val="00131C13"/>
    <w:rsid w:val="00131CF6"/>
    <w:rsid w:val="00131FCE"/>
    <w:rsid w:val="001323DA"/>
    <w:rsid w:val="00132594"/>
    <w:rsid w:val="0013260A"/>
    <w:rsid w:val="00132647"/>
    <w:rsid w:val="001326A5"/>
    <w:rsid w:val="0013277A"/>
    <w:rsid w:val="001327E9"/>
    <w:rsid w:val="00132835"/>
    <w:rsid w:val="001328A4"/>
    <w:rsid w:val="00132B13"/>
    <w:rsid w:val="00132C96"/>
    <w:rsid w:val="00132D63"/>
    <w:rsid w:val="00132DC1"/>
    <w:rsid w:val="00132F29"/>
    <w:rsid w:val="00133046"/>
    <w:rsid w:val="001330A7"/>
    <w:rsid w:val="001330DD"/>
    <w:rsid w:val="001332D6"/>
    <w:rsid w:val="0013331D"/>
    <w:rsid w:val="001335DF"/>
    <w:rsid w:val="00133605"/>
    <w:rsid w:val="00133B32"/>
    <w:rsid w:val="00133C62"/>
    <w:rsid w:val="00133D25"/>
    <w:rsid w:val="00133D4A"/>
    <w:rsid w:val="00133D4B"/>
    <w:rsid w:val="00133D83"/>
    <w:rsid w:val="00133F7E"/>
    <w:rsid w:val="00134015"/>
    <w:rsid w:val="0013426F"/>
    <w:rsid w:val="001345C6"/>
    <w:rsid w:val="001347CE"/>
    <w:rsid w:val="00134909"/>
    <w:rsid w:val="0013497F"/>
    <w:rsid w:val="00134992"/>
    <w:rsid w:val="00134AB8"/>
    <w:rsid w:val="00134AC6"/>
    <w:rsid w:val="00134ADB"/>
    <w:rsid w:val="00134C90"/>
    <w:rsid w:val="00134CE1"/>
    <w:rsid w:val="00135012"/>
    <w:rsid w:val="00135126"/>
    <w:rsid w:val="00135265"/>
    <w:rsid w:val="00135276"/>
    <w:rsid w:val="0013534C"/>
    <w:rsid w:val="001353EB"/>
    <w:rsid w:val="001354A4"/>
    <w:rsid w:val="00135520"/>
    <w:rsid w:val="00135527"/>
    <w:rsid w:val="00135623"/>
    <w:rsid w:val="001357A1"/>
    <w:rsid w:val="00135BBA"/>
    <w:rsid w:val="00135D8B"/>
    <w:rsid w:val="00136280"/>
    <w:rsid w:val="001364D9"/>
    <w:rsid w:val="0013656B"/>
    <w:rsid w:val="0013660E"/>
    <w:rsid w:val="00136688"/>
    <w:rsid w:val="00136757"/>
    <w:rsid w:val="0013677E"/>
    <w:rsid w:val="001367FE"/>
    <w:rsid w:val="001368EB"/>
    <w:rsid w:val="0013696D"/>
    <w:rsid w:val="001369AB"/>
    <w:rsid w:val="001369C2"/>
    <w:rsid w:val="00136A35"/>
    <w:rsid w:val="00136A3C"/>
    <w:rsid w:val="00136A44"/>
    <w:rsid w:val="00136A45"/>
    <w:rsid w:val="00136C7B"/>
    <w:rsid w:val="00136CDE"/>
    <w:rsid w:val="00136D2D"/>
    <w:rsid w:val="00136D45"/>
    <w:rsid w:val="00136D80"/>
    <w:rsid w:val="00136DF0"/>
    <w:rsid w:val="00136E03"/>
    <w:rsid w:val="00136E64"/>
    <w:rsid w:val="00136F57"/>
    <w:rsid w:val="00136F5C"/>
    <w:rsid w:val="00136FB1"/>
    <w:rsid w:val="00137003"/>
    <w:rsid w:val="0013708A"/>
    <w:rsid w:val="00137205"/>
    <w:rsid w:val="00137297"/>
    <w:rsid w:val="0013733A"/>
    <w:rsid w:val="0013741C"/>
    <w:rsid w:val="00137567"/>
    <w:rsid w:val="001375E9"/>
    <w:rsid w:val="00137654"/>
    <w:rsid w:val="001376A7"/>
    <w:rsid w:val="001376B8"/>
    <w:rsid w:val="0013778E"/>
    <w:rsid w:val="00137BF5"/>
    <w:rsid w:val="00137D06"/>
    <w:rsid w:val="00137E53"/>
    <w:rsid w:val="00137ECF"/>
    <w:rsid w:val="00137EE2"/>
    <w:rsid w:val="001400D5"/>
    <w:rsid w:val="00140155"/>
    <w:rsid w:val="00140529"/>
    <w:rsid w:val="0014059B"/>
    <w:rsid w:val="0014059E"/>
    <w:rsid w:val="00140767"/>
    <w:rsid w:val="0014080B"/>
    <w:rsid w:val="00140874"/>
    <w:rsid w:val="001409CC"/>
    <w:rsid w:val="00140A93"/>
    <w:rsid w:val="00140BB4"/>
    <w:rsid w:val="00140D3D"/>
    <w:rsid w:val="00140E0C"/>
    <w:rsid w:val="0014113C"/>
    <w:rsid w:val="0014115F"/>
    <w:rsid w:val="001412E8"/>
    <w:rsid w:val="00141457"/>
    <w:rsid w:val="00141551"/>
    <w:rsid w:val="001415CE"/>
    <w:rsid w:val="00141615"/>
    <w:rsid w:val="00141669"/>
    <w:rsid w:val="001417B0"/>
    <w:rsid w:val="0014186B"/>
    <w:rsid w:val="00141907"/>
    <w:rsid w:val="00141F93"/>
    <w:rsid w:val="0014208F"/>
    <w:rsid w:val="001420B3"/>
    <w:rsid w:val="001422A2"/>
    <w:rsid w:val="00142344"/>
    <w:rsid w:val="00142384"/>
    <w:rsid w:val="00142465"/>
    <w:rsid w:val="00142547"/>
    <w:rsid w:val="0014257B"/>
    <w:rsid w:val="001425D1"/>
    <w:rsid w:val="00142778"/>
    <w:rsid w:val="001428E5"/>
    <w:rsid w:val="00142999"/>
    <w:rsid w:val="00142AF2"/>
    <w:rsid w:val="00142C71"/>
    <w:rsid w:val="00142DA5"/>
    <w:rsid w:val="00142E5C"/>
    <w:rsid w:val="00142EC1"/>
    <w:rsid w:val="00142FA9"/>
    <w:rsid w:val="00142FAF"/>
    <w:rsid w:val="00143451"/>
    <w:rsid w:val="001434A2"/>
    <w:rsid w:val="0014356C"/>
    <w:rsid w:val="00143590"/>
    <w:rsid w:val="001437C1"/>
    <w:rsid w:val="00143823"/>
    <w:rsid w:val="0014382D"/>
    <w:rsid w:val="001439FA"/>
    <w:rsid w:val="00143B2F"/>
    <w:rsid w:val="00143D34"/>
    <w:rsid w:val="00143DF4"/>
    <w:rsid w:val="00143ED1"/>
    <w:rsid w:val="001441EF"/>
    <w:rsid w:val="00144292"/>
    <w:rsid w:val="00144494"/>
    <w:rsid w:val="00144587"/>
    <w:rsid w:val="00144684"/>
    <w:rsid w:val="00144730"/>
    <w:rsid w:val="0014483D"/>
    <w:rsid w:val="00144874"/>
    <w:rsid w:val="00144AD4"/>
    <w:rsid w:val="00144F3F"/>
    <w:rsid w:val="00145122"/>
    <w:rsid w:val="00145127"/>
    <w:rsid w:val="00145196"/>
    <w:rsid w:val="0014521F"/>
    <w:rsid w:val="00145395"/>
    <w:rsid w:val="00145513"/>
    <w:rsid w:val="001455D3"/>
    <w:rsid w:val="001455F0"/>
    <w:rsid w:val="0014571E"/>
    <w:rsid w:val="00145741"/>
    <w:rsid w:val="001459E5"/>
    <w:rsid w:val="00145B46"/>
    <w:rsid w:val="00145B49"/>
    <w:rsid w:val="00145B5C"/>
    <w:rsid w:val="00145C86"/>
    <w:rsid w:val="00145D1A"/>
    <w:rsid w:val="00145D38"/>
    <w:rsid w:val="00145D71"/>
    <w:rsid w:val="00145DC8"/>
    <w:rsid w:val="00145EF8"/>
    <w:rsid w:val="0014601E"/>
    <w:rsid w:val="00146229"/>
    <w:rsid w:val="00146313"/>
    <w:rsid w:val="0014631E"/>
    <w:rsid w:val="00146378"/>
    <w:rsid w:val="001463D4"/>
    <w:rsid w:val="00146483"/>
    <w:rsid w:val="001465AE"/>
    <w:rsid w:val="001465E3"/>
    <w:rsid w:val="0014671A"/>
    <w:rsid w:val="001467F4"/>
    <w:rsid w:val="00146804"/>
    <w:rsid w:val="00146AFB"/>
    <w:rsid w:val="00146B27"/>
    <w:rsid w:val="00146B29"/>
    <w:rsid w:val="00146B43"/>
    <w:rsid w:val="00146B96"/>
    <w:rsid w:val="00146C8F"/>
    <w:rsid w:val="00146D2F"/>
    <w:rsid w:val="00146DD0"/>
    <w:rsid w:val="00146DDC"/>
    <w:rsid w:val="00146ED4"/>
    <w:rsid w:val="00146EF6"/>
    <w:rsid w:val="00146F04"/>
    <w:rsid w:val="00146F42"/>
    <w:rsid w:val="00147075"/>
    <w:rsid w:val="001470E5"/>
    <w:rsid w:val="00147592"/>
    <w:rsid w:val="00147598"/>
    <w:rsid w:val="001476A0"/>
    <w:rsid w:val="0014777A"/>
    <w:rsid w:val="0014785F"/>
    <w:rsid w:val="001478FA"/>
    <w:rsid w:val="00147A45"/>
    <w:rsid w:val="00147A6F"/>
    <w:rsid w:val="00147AB9"/>
    <w:rsid w:val="00147B7B"/>
    <w:rsid w:val="00147C8F"/>
    <w:rsid w:val="00147EE2"/>
    <w:rsid w:val="00147F41"/>
    <w:rsid w:val="001502A1"/>
    <w:rsid w:val="001502D2"/>
    <w:rsid w:val="001502D5"/>
    <w:rsid w:val="0015037A"/>
    <w:rsid w:val="0015075E"/>
    <w:rsid w:val="00150775"/>
    <w:rsid w:val="00150BBE"/>
    <w:rsid w:val="00150C86"/>
    <w:rsid w:val="0015102B"/>
    <w:rsid w:val="00151097"/>
    <w:rsid w:val="00151164"/>
    <w:rsid w:val="00151342"/>
    <w:rsid w:val="00151377"/>
    <w:rsid w:val="00151380"/>
    <w:rsid w:val="001514CF"/>
    <w:rsid w:val="001515E7"/>
    <w:rsid w:val="00151769"/>
    <w:rsid w:val="001518B0"/>
    <w:rsid w:val="0015196F"/>
    <w:rsid w:val="00151A97"/>
    <w:rsid w:val="00151B6D"/>
    <w:rsid w:val="00151C6D"/>
    <w:rsid w:val="00151EA2"/>
    <w:rsid w:val="00151ECF"/>
    <w:rsid w:val="00151EFD"/>
    <w:rsid w:val="00151F15"/>
    <w:rsid w:val="00151F6F"/>
    <w:rsid w:val="00151F78"/>
    <w:rsid w:val="00151FE6"/>
    <w:rsid w:val="00151FFE"/>
    <w:rsid w:val="001521D5"/>
    <w:rsid w:val="001522E5"/>
    <w:rsid w:val="00152397"/>
    <w:rsid w:val="001524B4"/>
    <w:rsid w:val="0015259B"/>
    <w:rsid w:val="00152671"/>
    <w:rsid w:val="00152A49"/>
    <w:rsid w:val="00152BC8"/>
    <w:rsid w:val="00152E35"/>
    <w:rsid w:val="00152FE7"/>
    <w:rsid w:val="00153052"/>
    <w:rsid w:val="00153224"/>
    <w:rsid w:val="00153493"/>
    <w:rsid w:val="001534D4"/>
    <w:rsid w:val="00153589"/>
    <w:rsid w:val="001535A0"/>
    <w:rsid w:val="00153677"/>
    <w:rsid w:val="00153723"/>
    <w:rsid w:val="0015387D"/>
    <w:rsid w:val="00153898"/>
    <w:rsid w:val="001538E6"/>
    <w:rsid w:val="001538F5"/>
    <w:rsid w:val="0015396D"/>
    <w:rsid w:val="00153A5A"/>
    <w:rsid w:val="00153A9B"/>
    <w:rsid w:val="00153B46"/>
    <w:rsid w:val="00153C00"/>
    <w:rsid w:val="00153D32"/>
    <w:rsid w:val="00153D36"/>
    <w:rsid w:val="00153EA9"/>
    <w:rsid w:val="00154000"/>
    <w:rsid w:val="00154092"/>
    <w:rsid w:val="001540BB"/>
    <w:rsid w:val="00154950"/>
    <w:rsid w:val="001549E1"/>
    <w:rsid w:val="00154AD8"/>
    <w:rsid w:val="00154C6D"/>
    <w:rsid w:val="00154C94"/>
    <w:rsid w:val="00154D70"/>
    <w:rsid w:val="00154E24"/>
    <w:rsid w:val="00154E66"/>
    <w:rsid w:val="00155469"/>
    <w:rsid w:val="00155551"/>
    <w:rsid w:val="001558F8"/>
    <w:rsid w:val="00155A0D"/>
    <w:rsid w:val="00155A27"/>
    <w:rsid w:val="00156057"/>
    <w:rsid w:val="001560EA"/>
    <w:rsid w:val="001561D4"/>
    <w:rsid w:val="00156450"/>
    <w:rsid w:val="00156856"/>
    <w:rsid w:val="00156938"/>
    <w:rsid w:val="001569FA"/>
    <w:rsid w:val="00156C21"/>
    <w:rsid w:val="00156C28"/>
    <w:rsid w:val="00156CC4"/>
    <w:rsid w:val="00156EC3"/>
    <w:rsid w:val="00156F98"/>
    <w:rsid w:val="001573B3"/>
    <w:rsid w:val="00157461"/>
    <w:rsid w:val="0015757F"/>
    <w:rsid w:val="00157589"/>
    <w:rsid w:val="00157602"/>
    <w:rsid w:val="00157793"/>
    <w:rsid w:val="001577AD"/>
    <w:rsid w:val="00160005"/>
    <w:rsid w:val="00160047"/>
    <w:rsid w:val="001602E4"/>
    <w:rsid w:val="001604C1"/>
    <w:rsid w:val="001604CB"/>
    <w:rsid w:val="0016077C"/>
    <w:rsid w:val="00160A1A"/>
    <w:rsid w:val="00160A67"/>
    <w:rsid w:val="00160AD2"/>
    <w:rsid w:val="00160CAB"/>
    <w:rsid w:val="00160DD5"/>
    <w:rsid w:val="00160EC9"/>
    <w:rsid w:val="00160F5B"/>
    <w:rsid w:val="0016123E"/>
    <w:rsid w:val="00161463"/>
    <w:rsid w:val="00161786"/>
    <w:rsid w:val="00161832"/>
    <w:rsid w:val="00161979"/>
    <w:rsid w:val="00161A16"/>
    <w:rsid w:val="00161AA7"/>
    <w:rsid w:val="00161AF8"/>
    <w:rsid w:val="00161B3D"/>
    <w:rsid w:val="00161B47"/>
    <w:rsid w:val="00161B74"/>
    <w:rsid w:val="00161E66"/>
    <w:rsid w:val="00161EAD"/>
    <w:rsid w:val="0016231F"/>
    <w:rsid w:val="0016235D"/>
    <w:rsid w:val="001623B7"/>
    <w:rsid w:val="00162594"/>
    <w:rsid w:val="00162709"/>
    <w:rsid w:val="0016275B"/>
    <w:rsid w:val="0016296C"/>
    <w:rsid w:val="001629B7"/>
    <w:rsid w:val="001629BE"/>
    <w:rsid w:val="00162A8A"/>
    <w:rsid w:val="00162E65"/>
    <w:rsid w:val="00162E8C"/>
    <w:rsid w:val="001630C5"/>
    <w:rsid w:val="00163698"/>
    <w:rsid w:val="0016382F"/>
    <w:rsid w:val="00163AB9"/>
    <w:rsid w:val="00163DB5"/>
    <w:rsid w:val="00163E1E"/>
    <w:rsid w:val="00163EAD"/>
    <w:rsid w:val="001641A2"/>
    <w:rsid w:val="001643C5"/>
    <w:rsid w:val="0016444E"/>
    <w:rsid w:val="001645BC"/>
    <w:rsid w:val="001645CF"/>
    <w:rsid w:val="001645E8"/>
    <w:rsid w:val="00164676"/>
    <w:rsid w:val="001646A9"/>
    <w:rsid w:val="0016473A"/>
    <w:rsid w:val="00164822"/>
    <w:rsid w:val="00164CB4"/>
    <w:rsid w:val="00164D75"/>
    <w:rsid w:val="00164F7E"/>
    <w:rsid w:val="001651EA"/>
    <w:rsid w:val="00165285"/>
    <w:rsid w:val="00165378"/>
    <w:rsid w:val="0016541E"/>
    <w:rsid w:val="00165524"/>
    <w:rsid w:val="0016573E"/>
    <w:rsid w:val="001658E0"/>
    <w:rsid w:val="0016596F"/>
    <w:rsid w:val="00165BEF"/>
    <w:rsid w:val="00165DDA"/>
    <w:rsid w:val="001660D6"/>
    <w:rsid w:val="001661CA"/>
    <w:rsid w:val="001661D8"/>
    <w:rsid w:val="001662EE"/>
    <w:rsid w:val="001663E9"/>
    <w:rsid w:val="00166464"/>
    <w:rsid w:val="001667F9"/>
    <w:rsid w:val="00166990"/>
    <w:rsid w:val="0016719D"/>
    <w:rsid w:val="001671AD"/>
    <w:rsid w:val="0016763E"/>
    <w:rsid w:val="00167650"/>
    <w:rsid w:val="001676F9"/>
    <w:rsid w:val="0016778C"/>
    <w:rsid w:val="00167834"/>
    <w:rsid w:val="00167885"/>
    <w:rsid w:val="00167A8C"/>
    <w:rsid w:val="00167B22"/>
    <w:rsid w:val="00167B76"/>
    <w:rsid w:val="00167BA8"/>
    <w:rsid w:val="00167D40"/>
    <w:rsid w:val="00167EB1"/>
    <w:rsid w:val="00167FC4"/>
    <w:rsid w:val="001700A8"/>
    <w:rsid w:val="001701D2"/>
    <w:rsid w:val="0017041B"/>
    <w:rsid w:val="0017048F"/>
    <w:rsid w:val="001705DB"/>
    <w:rsid w:val="00170732"/>
    <w:rsid w:val="0017079D"/>
    <w:rsid w:val="0017089D"/>
    <w:rsid w:val="001708CB"/>
    <w:rsid w:val="001708D5"/>
    <w:rsid w:val="0017095B"/>
    <w:rsid w:val="00170BA6"/>
    <w:rsid w:val="00170E66"/>
    <w:rsid w:val="00170F45"/>
    <w:rsid w:val="00170FA7"/>
    <w:rsid w:val="0017100B"/>
    <w:rsid w:val="0017111D"/>
    <w:rsid w:val="001711CC"/>
    <w:rsid w:val="00171233"/>
    <w:rsid w:val="00171624"/>
    <w:rsid w:val="001716F7"/>
    <w:rsid w:val="0017193F"/>
    <w:rsid w:val="001719BB"/>
    <w:rsid w:val="00171A23"/>
    <w:rsid w:val="00171A61"/>
    <w:rsid w:val="00171B34"/>
    <w:rsid w:val="00171B5A"/>
    <w:rsid w:val="00171BF3"/>
    <w:rsid w:val="00171DA5"/>
    <w:rsid w:val="00171E98"/>
    <w:rsid w:val="00171F37"/>
    <w:rsid w:val="00171FC1"/>
    <w:rsid w:val="00171FE5"/>
    <w:rsid w:val="00172066"/>
    <w:rsid w:val="001721A9"/>
    <w:rsid w:val="001721C9"/>
    <w:rsid w:val="001722D8"/>
    <w:rsid w:val="001722DC"/>
    <w:rsid w:val="0017232B"/>
    <w:rsid w:val="001725BE"/>
    <w:rsid w:val="00172723"/>
    <w:rsid w:val="0017287C"/>
    <w:rsid w:val="00172916"/>
    <w:rsid w:val="00172B2D"/>
    <w:rsid w:val="00172BA3"/>
    <w:rsid w:val="00172BDC"/>
    <w:rsid w:val="00172C2F"/>
    <w:rsid w:val="00172C74"/>
    <w:rsid w:val="00172DD0"/>
    <w:rsid w:val="00172E13"/>
    <w:rsid w:val="00172EEA"/>
    <w:rsid w:val="00173215"/>
    <w:rsid w:val="00173223"/>
    <w:rsid w:val="00173291"/>
    <w:rsid w:val="00173306"/>
    <w:rsid w:val="00173364"/>
    <w:rsid w:val="00173387"/>
    <w:rsid w:val="001733F3"/>
    <w:rsid w:val="001735F7"/>
    <w:rsid w:val="00173794"/>
    <w:rsid w:val="001737B9"/>
    <w:rsid w:val="00173864"/>
    <w:rsid w:val="00173900"/>
    <w:rsid w:val="00173960"/>
    <w:rsid w:val="00173A77"/>
    <w:rsid w:val="00173A99"/>
    <w:rsid w:val="00173BE1"/>
    <w:rsid w:val="00173E70"/>
    <w:rsid w:val="0017400A"/>
    <w:rsid w:val="0017408F"/>
    <w:rsid w:val="001742CB"/>
    <w:rsid w:val="001742FA"/>
    <w:rsid w:val="00174358"/>
    <w:rsid w:val="00174420"/>
    <w:rsid w:val="00174692"/>
    <w:rsid w:val="001747A0"/>
    <w:rsid w:val="0017495B"/>
    <w:rsid w:val="00174965"/>
    <w:rsid w:val="001749F5"/>
    <w:rsid w:val="00174A48"/>
    <w:rsid w:val="00174C5F"/>
    <w:rsid w:val="00174D33"/>
    <w:rsid w:val="00174D84"/>
    <w:rsid w:val="00174DF5"/>
    <w:rsid w:val="00174EAD"/>
    <w:rsid w:val="00175124"/>
    <w:rsid w:val="00175188"/>
    <w:rsid w:val="001751AE"/>
    <w:rsid w:val="001751EC"/>
    <w:rsid w:val="00175217"/>
    <w:rsid w:val="0017523D"/>
    <w:rsid w:val="00175310"/>
    <w:rsid w:val="00175333"/>
    <w:rsid w:val="00175344"/>
    <w:rsid w:val="0017534E"/>
    <w:rsid w:val="001753DD"/>
    <w:rsid w:val="00175410"/>
    <w:rsid w:val="001754F4"/>
    <w:rsid w:val="00175524"/>
    <w:rsid w:val="00175540"/>
    <w:rsid w:val="0017554D"/>
    <w:rsid w:val="001756E0"/>
    <w:rsid w:val="00175725"/>
    <w:rsid w:val="001757CA"/>
    <w:rsid w:val="00175A4D"/>
    <w:rsid w:val="00175AEA"/>
    <w:rsid w:val="00175D22"/>
    <w:rsid w:val="00175DD1"/>
    <w:rsid w:val="00175E46"/>
    <w:rsid w:val="00176311"/>
    <w:rsid w:val="00176476"/>
    <w:rsid w:val="00176665"/>
    <w:rsid w:val="00176695"/>
    <w:rsid w:val="0017688E"/>
    <w:rsid w:val="0017689F"/>
    <w:rsid w:val="00176A5F"/>
    <w:rsid w:val="00176B94"/>
    <w:rsid w:val="00176C99"/>
    <w:rsid w:val="00176CAE"/>
    <w:rsid w:val="001771C6"/>
    <w:rsid w:val="00177236"/>
    <w:rsid w:val="00177415"/>
    <w:rsid w:val="00177524"/>
    <w:rsid w:val="001775B5"/>
    <w:rsid w:val="001775D1"/>
    <w:rsid w:val="001777E6"/>
    <w:rsid w:val="00177939"/>
    <w:rsid w:val="0017794B"/>
    <w:rsid w:val="00177BF4"/>
    <w:rsid w:val="00177D35"/>
    <w:rsid w:val="00177FBF"/>
    <w:rsid w:val="00177FDF"/>
    <w:rsid w:val="00180040"/>
    <w:rsid w:val="0018005D"/>
    <w:rsid w:val="0018034A"/>
    <w:rsid w:val="0018035F"/>
    <w:rsid w:val="001803A6"/>
    <w:rsid w:val="00180430"/>
    <w:rsid w:val="00180459"/>
    <w:rsid w:val="001804B4"/>
    <w:rsid w:val="0018069E"/>
    <w:rsid w:val="00180761"/>
    <w:rsid w:val="00180827"/>
    <w:rsid w:val="00180835"/>
    <w:rsid w:val="00180A54"/>
    <w:rsid w:val="00180AEA"/>
    <w:rsid w:val="00180EF8"/>
    <w:rsid w:val="00180F3C"/>
    <w:rsid w:val="00181086"/>
    <w:rsid w:val="0018129F"/>
    <w:rsid w:val="00181334"/>
    <w:rsid w:val="0018142B"/>
    <w:rsid w:val="001814F6"/>
    <w:rsid w:val="00181543"/>
    <w:rsid w:val="001815D4"/>
    <w:rsid w:val="00181675"/>
    <w:rsid w:val="001816B4"/>
    <w:rsid w:val="001816EA"/>
    <w:rsid w:val="0018184E"/>
    <w:rsid w:val="0018192C"/>
    <w:rsid w:val="00181A4A"/>
    <w:rsid w:val="00181C07"/>
    <w:rsid w:val="00181E55"/>
    <w:rsid w:val="00181EEB"/>
    <w:rsid w:val="00181F20"/>
    <w:rsid w:val="00181F64"/>
    <w:rsid w:val="0018209F"/>
    <w:rsid w:val="00182434"/>
    <w:rsid w:val="001824B6"/>
    <w:rsid w:val="00182633"/>
    <w:rsid w:val="0018264D"/>
    <w:rsid w:val="0018272E"/>
    <w:rsid w:val="00182771"/>
    <w:rsid w:val="001828AC"/>
    <w:rsid w:val="001829B0"/>
    <w:rsid w:val="001829C3"/>
    <w:rsid w:val="00182DE2"/>
    <w:rsid w:val="00182EF8"/>
    <w:rsid w:val="00182F3B"/>
    <w:rsid w:val="00183026"/>
    <w:rsid w:val="001831E4"/>
    <w:rsid w:val="00183258"/>
    <w:rsid w:val="00183321"/>
    <w:rsid w:val="00183395"/>
    <w:rsid w:val="00183632"/>
    <w:rsid w:val="0018372D"/>
    <w:rsid w:val="0018378C"/>
    <w:rsid w:val="00183818"/>
    <w:rsid w:val="0018381E"/>
    <w:rsid w:val="001838DF"/>
    <w:rsid w:val="001838E3"/>
    <w:rsid w:val="00183A73"/>
    <w:rsid w:val="00183ABC"/>
    <w:rsid w:val="00183B8A"/>
    <w:rsid w:val="00183E05"/>
    <w:rsid w:val="00183F53"/>
    <w:rsid w:val="00184154"/>
    <w:rsid w:val="0018423A"/>
    <w:rsid w:val="0018426B"/>
    <w:rsid w:val="00184301"/>
    <w:rsid w:val="001843AC"/>
    <w:rsid w:val="00184487"/>
    <w:rsid w:val="00184856"/>
    <w:rsid w:val="00184C3D"/>
    <w:rsid w:val="00184CD3"/>
    <w:rsid w:val="00184F66"/>
    <w:rsid w:val="00184FCE"/>
    <w:rsid w:val="00185034"/>
    <w:rsid w:val="001851DA"/>
    <w:rsid w:val="0018522D"/>
    <w:rsid w:val="001852C9"/>
    <w:rsid w:val="0018535F"/>
    <w:rsid w:val="00185388"/>
    <w:rsid w:val="00185412"/>
    <w:rsid w:val="00185580"/>
    <w:rsid w:val="00185586"/>
    <w:rsid w:val="001855A5"/>
    <w:rsid w:val="001855AC"/>
    <w:rsid w:val="001856FA"/>
    <w:rsid w:val="00185767"/>
    <w:rsid w:val="001857CC"/>
    <w:rsid w:val="001857E3"/>
    <w:rsid w:val="001858EB"/>
    <w:rsid w:val="0018597E"/>
    <w:rsid w:val="00185986"/>
    <w:rsid w:val="00185A36"/>
    <w:rsid w:val="00185B34"/>
    <w:rsid w:val="00185B81"/>
    <w:rsid w:val="00185D22"/>
    <w:rsid w:val="00185D9B"/>
    <w:rsid w:val="00185DB0"/>
    <w:rsid w:val="00185DCC"/>
    <w:rsid w:val="00185E25"/>
    <w:rsid w:val="00185F2E"/>
    <w:rsid w:val="00185F74"/>
    <w:rsid w:val="00185FC9"/>
    <w:rsid w:val="0018606A"/>
    <w:rsid w:val="0018619C"/>
    <w:rsid w:val="001861E7"/>
    <w:rsid w:val="0018634B"/>
    <w:rsid w:val="001863A3"/>
    <w:rsid w:val="0018647B"/>
    <w:rsid w:val="0018655A"/>
    <w:rsid w:val="00186584"/>
    <w:rsid w:val="001865AB"/>
    <w:rsid w:val="00186728"/>
    <w:rsid w:val="0018676E"/>
    <w:rsid w:val="00186C43"/>
    <w:rsid w:val="00186CA5"/>
    <w:rsid w:val="00186CEB"/>
    <w:rsid w:val="00186D19"/>
    <w:rsid w:val="00186D65"/>
    <w:rsid w:val="00186EEE"/>
    <w:rsid w:val="00186F16"/>
    <w:rsid w:val="0018704A"/>
    <w:rsid w:val="001870BB"/>
    <w:rsid w:val="001870EE"/>
    <w:rsid w:val="0018714A"/>
    <w:rsid w:val="0018718F"/>
    <w:rsid w:val="00187272"/>
    <w:rsid w:val="00187350"/>
    <w:rsid w:val="001873BC"/>
    <w:rsid w:val="001873CD"/>
    <w:rsid w:val="0018764B"/>
    <w:rsid w:val="00187785"/>
    <w:rsid w:val="0018782D"/>
    <w:rsid w:val="00187976"/>
    <w:rsid w:val="00187D2D"/>
    <w:rsid w:val="00187EF2"/>
    <w:rsid w:val="001901EC"/>
    <w:rsid w:val="0019028C"/>
    <w:rsid w:val="001902C7"/>
    <w:rsid w:val="00190321"/>
    <w:rsid w:val="0019052D"/>
    <w:rsid w:val="001905A0"/>
    <w:rsid w:val="001909D4"/>
    <w:rsid w:val="00190A53"/>
    <w:rsid w:val="00190B69"/>
    <w:rsid w:val="00190BED"/>
    <w:rsid w:val="00190C4D"/>
    <w:rsid w:val="00190CB0"/>
    <w:rsid w:val="00190CFD"/>
    <w:rsid w:val="00190DAC"/>
    <w:rsid w:val="00190EDB"/>
    <w:rsid w:val="00190F72"/>
    <w:rsid w:val="00190FA4"/>
    <w:rsid w:val="00190FF7"/>
    <w:rsid w:val="00191187"/>
    <w:rsid w:val="001914A2"/>
    <w:rsid w:val="001914B6"/>
    <w:rsid w:val="00191749"/>
    <w:rsid w:val="001917AA"/>
    <w:rsid w:val="00191883"/>
    <w:rsid w:val="00191A8D"/>
    <w:rsid w:val="00191B09"/>
    <w:rsid w:val="00191B19"/>
    <w:rsid w:val="00191C76"/>
    <w:rsid w:val="001921B4"/>
    <w:rsid w:val="00192703"/>
    <w:rsid w:val="00192794"/>
    <w:rsid w:val="001928A3"/>
    <w:rsid w:val="001928EE"/>
    <w:rsid w:val="001929AD"/>
    <w:rsid w:val="00192A29"/>
    <w:rsid w:val="00192A91"/>
    <w:rsid w:val="00192B64"/>
    <w:rsid w:val="00192D04"/>
    <w:rsid w:val="0019330B"/>
    <w:rsid w:val="00193325"/>
    <w:rsid w:val="001933A8"/>
    <w:rsid w:val="0019357A"/>
    <w:rsid w:val="00193690"/>
    <w:rsid w:val="00193767"/>
    <w:rsid w:val="00193819"/>
    <w:rsid w:val="00193879"/>
    <w:rsid w:val="00193975"/>
    <w:rsid w:val="00193999"/>
    <w:rsid w:val="00193A29"/>
    <w:rsid w:val="00193B65"/>
    <w:rsid w:val="00193C8A"/>
    <w:rsid w:val="00193F3E"/>
    <w:rsid w:val="00193FC8"/>
    <w:rsid w:val="001942A9"/>
    <w:rsid w:val="0019441A"/>
    <w:rsid w:val="001945D9"/>
    <w:rsid w:val="00194666"/>
    <w:rsid w:val="0019484B"/>
    <w:rsid w:val="00194861"/>
    <w:rsid w:val="00194906"/>
    <w:rsid w:val="0019492C"/>
    <w:rsid w:val="00194AB4"/>
    <w:rsid w:val="00194B03"/>
    <w:rsid w:val="00194F9B"/>
    <w:rsid w:val="00195136"/>
    <w:rsid w:val="00195160"/>
    <w:rsid w:val="00195413"/>
    <w:rsid w:val="00195414"/>
    <w:rsid w:val="001954E3"/>
    <w:rsid w:val="001955C7"/>
    <w:rsid w:val="00195616"/>
    <w:rsid w:val="00195707"/>
    <w:rsid w:val="001957F4"/>
    <w:rsid w:val="001957F8"/>
    <w:rsid w:val="00195B62"/>
    <w:rsid w:val="00195DBA"/>
    <w:rsid w:val="00195EA4"/>
    <w:rsid w:val="00195EB4"/>
    <w:rsid w:val="00195FDD"/>
    <w:rsid w:val="0019601C"/>
    <w:rsid w:val="0019637B"/>
    <w:rsid w:val="00196400"/>
    <w:rsid w:val="001965B8"/>
    <w:rsid w:val="00196618"/>
    <w:rsid w:val="0019666D"/>
    <w:rsid w:val="00196970"/>
    <w:rsid w:val="00196A72"/>
    <w:rsid w:val="00196AC2"/>
    <w:rsid w:val="00196CED"/>
    <w:rsid w:val="00196D7C"/>
    <w:rsid w:val="00196E1D"/>
    <w:rsid w:val="00197107"/>
    <w:rsid w:val="0019721D"/>
    <w:rsid w:val="001973EE"/>
    <w:rsid w:val="001975DC"/>
    <w:rsid w:val="001976B2"/>
    <w:rsid w:val="0019776C"/>
    <w:rsid w:val="00197787"/>
    <w:rsid w:val="00197890"/>
    <w:rsid w:val="00197922"/>
    <w:rsid w:val="001979F2"/>
    <w:rsid w:val="00197CB9"/>
    <w:rsid w:val="00197D1F"/>
    <w:rsid w:val="00197DEF"/>
    <w:rsid w:val="00197F52"/>
    <w:rsid w:val="00197FE9"/>
    <w:rsid w:val="001A0041"/>
    <w:rsid w:val="001A005A"/>
    <w:rsid w:val="001A0182"/>
    <w:rsid w:val="001A01A3"/>
    <w:rsid w:val="001A023D"/>
    <w:rsid w:val="001A02FA"/>
    <w:rsid w:val="001A0345"/>
    <w:rsid w:val="001A03D9"/>
    <w:rsid w:val="001A0482"/>
    <w:rsid w:val="001A0686"/>
    <w:rsid w:val="001A08B7"/>
    <w:rsid w:val="001A08DF"/>
    <w:rsid w:val="001A0943"/>
    <w:rsid w:val="001A0B14"/>
    <w:rsid w:val="001A0BF2"/>
    <w:rsid w:val="001A0D1E"/>
    <w:rsid w:val="001A0D51"/>
    <w:rsid w:val="001A0F40"/>
    <w:rsid w:val="001A0F49"/>
    <w:rsid w:val="001A1064"/>
    <w:rsid w:val="001A109D"/>
    <w:rsid w:val="001A1269"/>
    <w:rsid w:val="001A13E7"/>
    <w:rsid w:val="001A14BD"/>
    <w:rsid w:val="001A169C"/>
    <w:rsid w:val="001A17C8"/>
    <w:rsid w:val="001A1BA4"/>
    <w:rsid w:val="001A2073"/>
    <w:rsid w:val="001A22CE"/>
    <w:rsid w:val="001A22E2"/>
    <w:rsid w:val="001A2351"/>
    <w:rsid w:val="001A23AB"/>
    <w:rsid w:val="001A23F4"/>
    <w:rsid w:val="001A23FE"/>
    <w:rsid w:val="001A240A"/>
    <w:rsid w:val="001A2769"/>
    <w:rsid w:val="001A277A"/>
    <w:rsid w:val="001A27BC"/>
    <w:rsid w:val="001A27C6"/>
    <w:rsid w:val="001A287B"/>
    <w:rsid w:val="001A2951"/>
    <w:rsid w:val="001A29C0"/>
    <w:rsid w:val="001A29DF"/>
    <w:rsid w:val="001A29E6"/>
    <w:rsid w:val="001A2AC6"/>
    <w:rsid w:val="001A2B86"/>
    <w:rsid w:val="001A2BBE"/>
    <w:rsid w:val="001A2C8E"/>
    <w:rsid w:val="001A2D32"/>
    <w:rsid w:val="001A2DE3"/>
    <w:rsid w:val="001A2F89"/>
    <w:rsid w:val="001A2FA4"/>
    <w:rsid w:val="001A2FA8"/>
    <w:rsid w:val="001A3085"/>
    <w:rsid w:val="001A3145"/>
    <w:rsid w:val="001A315C"/>
    <w:rsid w:val="001A321B"/>
    <w:rsid w:val="001A35E3"/>
    <w:rsid w:val="001A3642"/>
    <w:rsid w:val="001A36B3"/>
    <w:rsid w:val="001A384D"/>
    <w:rsid w:val="001A38C1"/>
    <w:rsid w:val="001A3A45"/>
    <w:rsid w:val="001A3B61"/>
    <w:rsid w:val="001A3BC1"/>
    <w:rsid w:val="001A406E"/>
    <w:rsid w:val="001A40C3"/>
    <w:rsid w:val="001A445A"/>
    <w:rsid w:val="001A45A8"/>
    <w:rsid w:val="001A45E3"/>
    <w:rsid w:val="001A461A"/>
    <w:rsid w:val="001A486B"/>
    <w:rsid w:val="001A49FE"/>
    <w:rsid w:val="001A4AE4"/>
    <w:rsid w:val="001A4B46"/>
    <w:rsid w:val="001A4BA7"/>
    <w:rsid w:val="001A4BFD"/>
    <w:rsid w:val="001A4CD4"/>
    <w:rsid w:val="001A4E77"/>
    <w:rsid w:val="001A4EBD"/>
    <w:rsid w:val="001A50B6"/>
    <w:rsid w:val="001A50FF"/>
    <w:rsid w:val="001A51A2"/>
    <w:rsid w:val="001A51B1"/>
    <w:rsid w:val="001A529A"/>
    <w:rsid w:val="001A52C5"/>
    <w:rsid w:val="001A52F8"/>
    <w:rsid w:val="001A5469"/>
    <w:rsid w:val="001A55EF"/>
    <w:rsid w:val="001A5943"/>
    <w:rsid w:val="001A5A43"/>
    <w:rsid w:val="001A5ABF"/>
    <w:rsid w:val="001A5B2A"/>
    <w:rsid w:val="001A5C3A"/>
    <w:rsid w:val="001A5D0B"/>
    <w:rsid w:val="001A5D3D"/>
    <w:rsid w:val="001A5DF7"/>
    <w:rsid w:val="001A5E53"/>
    <w:rsid w:val="001A5E9E"/>
    <w:rsid w:val="001A5FE2"/>
    <w:rsid w:val="001A6124"/>
    <w:rsid w:val="001A61CC"/>
    <w:rsid w:val="001A6511"/>
    <w:rsid w:val="001A655A"/>
    <w:rsid w:val="001A669A"/>
    <w:rsid w:val="001A67CE"/>
    <w:rsid w:val="001A6939"/>
    <w:rsid w:val="001A6955"/>
    <w:rsid w:val="001A69BD"/>
    <w:rsid w:val="001A6B4F"/>
    <w:rsid w:val="001A6CBD"/>
    <w:rsid w:val="001A6EFA"/>
    <w:rsid w:val="001A6F34"/>
    <w:rsid w:val="001A72E3"/>
    <w:rsid w:val="001A74DB"/>
    <w:rsid w:val="001A7502"/>
    <w:rsid w:val="001A7816"/>
    <w:rsid w:val="001A784F"/>
    <w:rsid w:val="001A78C3"/>
    <w:rsid w:val="001A7B50"/>
    <w:rsid w:val="001A7BA0"/>
    <w:rsid w:val="001A7BEF"/>
    <w:rsid w:val="001A7BFA"/>
    <w:rsid w:val="001A7C03"/>
    <w:rsid w:val="001A7CEF"/>
    <w:rsid w:val="001A7D64"/>
    <w:rsid w:val="001B0161"/>
    <w:rsid w:val="001B0214"/>
    <w:rsid w:val="001B02E4"/>
    <w:rsid w:val="001B03C0"/>
    <w:rsid w:val="001B04DE"/>
    <w:rsid w:val="001B0A2F"/>
    <w:rsid w:val="001B0B7F"/>
    <w:rsid w:val="001B0CBB"/>
    <w:rsid w:val="001B0D93"/>
    <w:rsid w:val="001B11F3"/>
    <w:rsid w:val="001B1369"/>
    <w:rsid w:val="001B137F"/>
    <w:rsid w:val="001B1409"/>
    <w:rsid w:val="001B17F8"/>
    <w:rsid w:val="001B1DF0"/>
    <w:rsid w:val="001B1E9A"/>
    <w:rsid w:val="001B1F2B"/>
    <w:rsid w:val="001B225D"/>
    <w:rsid w:val="001B22E1"/>
    <w:rsid w:val="001B2540"/>
    <w:rsid w:val="001B262F"/>
    <w:rsid w:val="001B26DF"/>
    <w:rsid w:val="001B2910"/>
    <w:rsid w:val="001B29D4"/>
    <w:rsid w:val="001B2C07"/>
    <w:rsid w:val="001B2C0A"/>
    <w:rsid w:val="001B2C40"/>
    <w:rsid w:val="001B2CE4"/>
    <w:rsid w:val="001B2D2E"/>
    <w:rsid w:val="001B2F24"/>
    <w:rsid w:val="001B32DE"/>
    <w:rsid w:val="001B3373"/>
    <w:rsid w:val="001B33A0"/>
    <w:rsid w:val="001B349F"/>
    <w:rsid w:val="001B34F6"/>
    <w:rsid w:val="001B351F"/>
    <w:rsid w:val="001B360F"/>
    <w:rsid w:val="001B3626"/>
    <w:rsid w:val="001B3855"/>
    <w:rsid w:val="001B3940"/>
    <w:rsid w:val="001B3994"/>
    <w:rsid w:val="001B3B1A"/>
    <w:rsid w:val="001B3C57"/>
    <w:rsid w:val="001B3DC3"/>
    <w:rsid w:val="001B3FB3"/>
    <w:rsid w:val="001B4152"/>
    <w:rsid w:val="001B42E3"/>
    <w:rsid w:val="001B42F1"/>
    <w:rsid w:val="001B442E"/>
    <w:rsid w:val="001B4611"/>
    <w:rsid w:val="001B46AB"/>
    <w:rsid w:val="001B473C"/>
    <w:rsid w:val="001B476D"/>
    <w:rsid w:val="001B483B"/>
    <w:rsid w:val="001B48B1"/>
    <w:rsid w:val="001B4B0E"/>
    <w:rsid w:val="001B4C7F"/>
    <w:rsid w:val="001B4D6C"/>
    <w:rsid w:val="001B4E03"/>
    <w:rsid w:val="001B503B"/>
    <w:rsid w:val="001B51A0"/>
    <w:rsid w:val="001B5677"/>
    <w:rsid w:val="001B5783"/>
    <w:rsid w:val="001B58D9"/>
    <w:rsid w:val="001B5969"/>
    <w:rsid w:val="001B5BBA"/>
    <w:rsid w:val="001B5CC5"/>
    <w:rsid w:val="001B5CD1"/>
    <w:rsid w:val="001B5FBC"/>
    <w:rsid w:val="001B607E"/>
    <w:rsid w:val="001B6151"/>
    <w:rsid w:val="001B6262"/>
    <w:rsid w:val="001B6338"/>
    <w:rsid w:val="001B64DA"/>
    <w:rsid w:val="001B6641"/>
    <w:rsid w:val="001B6700"/>
    <w:rsid w:val="001B67AB"/>
    <w:rsid w:val="001B6982"/>
    <w:rsid w:val="001B698F"/>
    <w:rsid w:val="001B6AC9"/>
    <w:rsid w:val="001B6DD0"/>
    <w:rsid w:val="001B700D"/>
    <w:rsid w:val="001B7021"/>
    <w:rsid w:val="001B7078"/>
    <w:rsid w:val="001B7159"/>
    <w:rsid w:val="001B7249"/>
    <w:rsid w:val="001B726D"/>
    <w:rsid w:val="001B7278"/>
    <w:rsid w:val="001B7674"/>
    <w:rsid w:val="001B76D9"/>
    <w:rsid w:val="001B7734"/>
    <w:rsid w:val="001B782D"/>
    <w:rsid w:val="001B789D"/>
    <w:rsid w:val="001B7921"/>
    <w:rsid w:val="001B7A91"/>
    <w:rsid w:val="001B7B0E"/>
    <w:rsid w:val="001B7D0F"/>
    <w:rsid w:val="001B7D6C"/>
    <w:rsid w:val="001B7D71"/>
    <w:rsid w:val="001B7FF7"/>
    <w:rsid w:val="001C0288"/>
    <w:rsid w:val="001C040E"/>
    <w:rsid w:val="001C044D"/>
    <w:rsid w:val="001C0502"/>
    <w:rsid w:val="001C0786"/>
    <w:rsid w:val="001C0809"/>
    <w:rsid w:val="001C0A48"/>
    <w:rsid w:val="001C0A4F"/>
    <w:rsid w:val="001C0ACD"/>
    <w:rsid w:val="001C0C2C"/>
    <w:rsid w:val="001C0C79"/>
    <w:rsid w:val="001C0E9D"/>
    <w:rsid w:val="001C0F48"/>
    <w:rsid w:val="001C109B"/>
    <w:rsid w:val="001C10E7"/>
    <w:rsid w:val="001C126C"/>
    <w:rsid w:val="001C132F"/>
    <w:rsid w:val="001C1355"/>
    <w:rsid w:val="001C13D8"/>
    <w:rsid w:val="001C13EC"/>
    <w:rsid w:val="001C1894"/>
    <w:rsid w:val="001C1AD8"/>
    <w:rsid w:val="001C1C55"/>
    <w:rsid w:val="001C1C6E"/>
    <w:rsid w:val="001C1D90"/>
    <w:rsid w:val="001C1E7A"/>
    <w:rsid w:val="001C1F8D"/>
    <w:rsid w:val="001C2062"/>
    <w:rsid w:val="001C2289"/>
    <w:rsid w:val="001C234F"/>
    <w:rsid w:val="001C2789"/>
    <w:rsid w:val="001C27DA"/>
    <w:rsid w:val="001C2885"/>
    <w:rsid w:val="001C2AFE"/>
    <w:rsid w:val="001C2C3A"/>
    <w:rsid w:val="001C2C8B"/>
    <w:rsid w:val="001C2CFC"/>
    <w:rsid w:val="001C2DE3"/>
    <w:rsid w:val="001C2DFB"/>
    <w:rsid w:val="001C2E7F"/>
    <w:rsid w:val="001C2EF3"/>
    <w:rsid w:val="001C2F75"/>
    <w:rsid w:val="001C31CE"/>
    <w:rsid w:val="001C3255"/>
    <w:rsid w:val="001C327C"/>
    <w:rsid w:val="001C33A6"/>
    <w:rsid w:val="001C3419"/>
    <w:rsid w:val="001C343F"/>
    <w:rsid w:val="001C3473"/>
    <w:rsid w:val="001C34D9"/>
    <w:rsid w:val="001C34E8"/>
    <w:rsid w:val="001C3698"/>
    <w:rsid w:val="001C36F9"/>
    <w:rsid w:val="001C386B"/>
    <w:rsid w:val="001C38AD"/>
    <w:rsid w:val="001C38D3"/>
    <w:rsid w:val="001C3A19"/>
    <w:rsid w:val="001C3A89"/>
    <w:rsid w:val="001C3C0A"/>
    <w:rsid w:val="001C3C42"/>
    <w:rsid w:val="001C3F31"/>
    <w:rsid w:val="001C4209"/>
    <w:rsid w:val="001C4317"/>
    <w:rsid w:val="001C4361"/>
    <w:rsid w:val="001C438F"/>
    <w:rsid w:val="001C43A8"/>
    <w:rsid w:val="001C4420"/>
    <w:rsid w:val="001C444D"/>
    <w:rsid w:val="001C459F"/>
    <w:rsid w:val="001C47FA"/>
    <w:rsid w:val="001C48EB"/>
    <w:rsid w:val="001C4C37"/>
    <w:rsid w:val="001C4D58"/>
    <w:rsid w:val="001C5088"/>
    <w:rsid w:val="001C508D"/>
    <w:rsid w:val="001C50BA"/>
    <w:rsid w:val="001C50C6"/>
    <w:rsid w:val="001C557B"/>
    <w:rsid w:val="001C5645"/>
    <w:rsid w:val="001C571C"/>
    <w:rsid w:val="001C580C"/>
    <w:rsid w:val="001C580D"/>
    <w:rsid w:val="001C589A"/>
    <w:rsid w:val="001C5F45"/>
    <w:rsid w:val="001C60CF"/>
    <w:rsid w:val="001C6286"/>
    <w:rsid w:val="001C6335"/>
    <w:rsid w:val="001C6711"/>
    <w:rsid w:val="001C67DC"/>
    <w:rsid w:val="001C68FC"/>
    <w:rsid w:val="001C69B1"/>
    <w:rsid w:val="001C6AF1"/>
    <w:rsid w:val="001C6E61"/>
    <w:rsid w:val="001C6E74"/>
    <w:rsid w:val="001C71CD"/>
    <w:rsid w:val="001C7629"/>
    <w:rsid w:val="001C7647"/>
    <w:rsid w:val="001C7870"/>
    <w:rsid w:val="001C79EB"/>
    <w:rsid w:val="001C7A02"/>
    <w:rsid w:val="001C7A91"/>
    <w:rsid w:val="001C7C2C"/>
    <w:rsid w:val="001C7C52"/>
    <w:rsid w:val="001C7CC9"/>
    <w:rsid w:val="001C7CE3"/>
    <w:rsid w:val="001C7D21"/>
    <w:rsid w:val="001D00AF"/>
    <w:rsid w:val="001D00F1"/>
    <w:rsid w:val="001D01F8"/>
    <w:rsid w:val="001D035E"/>
    <w:rsid w:val="001D0867"/>
    <w:rsid w:val="001D0A03"/>
    <w:rsid w:val="001D0AFE"/>
    <w:rsid w:val="001D0C3E"/>
    <w:rsid w:val="001D0D5E"/>
    <w:rsid w:val="001D0EA4"/>
    <w:rsid w:val="001D1056"/>
    <w:rsid w:val="001D114E"/>
    <w:rsid w:val="001D1274"/>
    <w:rsid w:val="001D12A8"/>
    <w:rsid w:val="001D133B"/>
    <w:rsid w:val="001D1399"/>
    <w:rsid w:val="001D14D7"/>
    <w:rsid w:val="001D15C4"/>
    <w:rsid w:val="001D161B"/>
    <w:rsid w:val="001D18F6"/>
    <w:rsid w:val="001D1B30"/>
    <w:rsid w:val="001D1C89"/>
    <w:rsid w:val="001D1D62"/>
    <w:rsid w:val="001D1E5C"/>
    <w:rsid w:val="001D2163"/>
    <w:rsid w:val="001D2466"/>
    <w:rsid w:val="001D2491"/>
    <w:rsid w:val="001D24B1"/>
    <w:rsid w:val="001D25D1"/>
    <w:rsid w:val="001D25FC"/>
    <w:rsid w:val="001D2662"/>
    <w:rsid w:val="001D2907"/>
    <w:rsid w:val="001D29AA"/>
    <w:rsid w:val="001D2A0D"/>
    <w:rsid w:val="001D2B4A"/>
    <w:rsid w:val="001D2E2A"/>
    <w:rsid w:val="001D301C"/>
    <w:rsid w:val="001D3396"/>
    <w:rsid w:val="001D3530"/>
    <w:rsid w:val="001D394A"/>
    <w:rsid w:val="001D3A17"/>
    <w:rsid w:val="001D3A54"/>
    <w:rsid w:val="001D3DC7"/>
    <w:rsid w:val="001D3E9E"/>
    <w:rsid w:val="001D3F8D"/>
    <w:rsid w:val="001D40D6"/>
    <w:rsid w:val="001D40F7"/>
    <w:rsid w:val="001D41F9"/>
    <w:rsid w:val="001D4309"/>
    <w:rsid w:val="001D4324"/>
    <w:rsid w:val="001D44E7"/>
    <w:rsid w:val="001D4552"/>
    <w:rsid w:val="001D4611"/>
    <w:rsid w:val="001D4779"/>
    <w:rsid w:val="001D4C07"/>
    <w:rsid w:val="001D4C36"/>
    <w:rsid w:val="001D4DCB"/>
    <w:rsid w:val="001D4F46"/>
    <w:rsid w:val="001D5076"/>
    <w:rsid w:val="001D5088"/>
    <w:rsid w:val="001D509F"/>
    <w:rsid w:val="001D51F3"/>
    <w:rsid w:val="001D52CB"/>
    <w:rsid w:val="001D5308"/>
    <w:rsid w:val="001D5671"/>
    <w:rsid w:val="001D576A"/>
    <w:rsid w:val="001D5C03"/>
    <w:rsid w:val="001D602F"/>
    <w:rsid w:val="001D627D"/>
    <w:rsid w:val="001D62BC"/>
    <w:rsid w:val="001D6525"/>
    <w:rsid w:val="001D667C"/>
    <w:rsid w:val="001D6703"/>
    <w:rsid w:val="001D6964"/>
    <w:rsid w:val="001D69F6"/>
    <w:rsid w:val="001D6AD1"/>
    <w:rsid w:val="001D6D44"/>
    <w:rsid w:val="001D6E1E"/>
    <w:rsid w:val="001D733C"/>
    <w:rsid w:val="001D75C6"/>
    <w:rsid w:val="001D77B6"/>
    <w:rsid w:val="001D7820"/>
    <w:rsid w:val="001D78DE"/>
    <w:rsid w:val="001D7955"/>
    <w:rsid w:val="001D7A32"/>
    <w:rsid w:val="001D7A8F"/>
    <w:rsid w:val="001D7AF5"/>
    <w:rsid w:val="001D7B43"/>
    <w:rsid w:val="001D7CFE"/>
    <w:rsid w:val="001D7DA8"/>
    <w:rsid w:val="001D7F46"/>
    <w:rsid w:val="001E0059"/>
    <w:rsid w:val="001E007B"/>
    <w:rsid w:val="001E0231"/>
    <w:rsid w:val="001E04F8"/>
    <w:rsid w:val="001E05D0"/>
    <w:rsid w:val="001E06AB"/>
    <w:rsid w:val="001E0709"/>
    <w:rsid w:val="001E074E"/>
    <w:rsid w:val="001E07BA"/>
    <w:rsid w:val="001E0906"/>
    <w:rsid w:val="001E0BDC"/>
    <w:rsid w:val="001E0CC9"/>
    <w:rsid w:val="001E0ECF"/>
    <w:rsid w:val="001E0F12"/>
    <w:rsid w:val="001E0FB3"/>
    <w:rsid w:val="001E100A"/>
    <w:rsid w:val="001E1021"/>
    <w:rsid w:val="001E1123"/>
    <w:rsid w:val="001E1293"/>
    <w:rsid w:val="001E1527"/>
    <w:rsid w:val="001E15E3"/>
    <w:rsid w:val="001E1679"/>
    <w:rsid w:val="001E1A21"/>
    <w:rsid w:val="001E1C29"/>
    <w:rsid w:val="001E1F5D"/>
    <w:rsid w:val="001E20EF"/>
    <w:rsid w:val="001E210A"/>
    <w:rsid w:val="001E22C2"/>
    <w:rsid w:val="001E22D3"/>
    <w:rsid w:val="001E23BA"/>
    <w:rsid w:val="001E244E"/>
    <w:rsid w:val="001E2458"/>
    <w:rsid w:val="001E2A19"/>
    <w:rsid w:val="001E2BC8"/>
    <w:rsid w:val="001E2DC8"/>
    <w:rsid w:val="001E2DE3"/>
    <w:rsid w:val="001E31B3"/>
    <w:rsid w:val="001E34EF"/>
    <w:rsid w:val="001E35C0"/>
    <w:rsid w:val="001E367C"/>
    <w:rsid w:val="001E36EE"/>
    <w:rsid w:val="001E37E0"/>
    <w:rsid w:val="001E391D"/>
    <w:rsid w:val="001E39E9"/>
    <w:rsid w:val="001E3ACF"/>
    <w:rsid w:val="001E3AE6"/>
    <w:rsid w:val="001E3B25"/>
    <w:rsid w:val="001E3B99"/>
    <w:rsid w:val="001E3BAD"/>
    <w:rsid w:val="001E3BFB"/>
    <w:rsid w:val="001E3EB0"/>
    <w:rsid w:val="001E3F8A"/>
    <w:rsid w:val="001E3FA5"/>
    <w:rsid w:val="001E4221"/>
    <w:rsid w:val="001E4528"/>
    <w:rsid w:val="001E455A"/>
    <w:rsid w:val="001E46B9"/>
    <w:rsid w:val="001E46F3"/>
    <w:rsid w:val="001E47AD"/>
    <w:rsid w:val="001E4820"/>
    <w:rsid w:val="001E48FD"/>
    <w:rsid w:val="001E4AAD"/>
    <w:rsid w:val="001E4B84"/>
    <w:rsid w:val="001E4BE1"/>
    <w:rsid w:val="001E4C48"/>
    <w:rsid w:val="001E4D6D"/>
    <w:rsid w:val="001E4DC2"/>
    <w:rsid w:val="001E50F0"/>
    <w:rsid w:val="001E54CD"/>
    <w:rsid w:val="001E5807"/>
    <w:rsid w:val="001E5855"/>
    <w:rsid w:val="001E5874"/>
    <w:rsid w:val="001E5D54"/>
    <w:rsid w:val="001E5EDE"/>
    <w:rsid w:val="001E5EE9"/>
    <w:rsid w:val="001E5F8D"/>
    <w:rsid w:val="001E613E"/>
    <w:rsid w:val="001E62CE"/>
    <w:rsid w:val="001E63E5"/>
    <w:rsid w:val="001E6422"/>
    <w:rsid w:val="001E66DF"/>
    <w:rsid w:val="001E66F3"/>
    <w:rsid w:val="001E673D"/>
    <w:rsid w:val="001E674A"/>
    <w:rsid w:val="001E67C9"/>
    <w:rsid w:val="001E67FE"/>
    <w:rsid w:val="001E6CED"/>
    <w:rsid w:val="001E6E5F"/>
    <w:rsid w:val="001E759C"/>
    <w:rsid w:val="001E75B9"/>
    <w:rsid w:val="001E7635"/>
    <w:rsid w:val="001E768F"/>
    <w:rsid w:val="001E770A"/>
    <w:rsid w:val="001E7858"/>
    <w:rsid w:val="001E79A1"/>
    <w:rsid w:val="001E79D9"/>
    <w:rsid w:val="001E7A0B"/>
    <w:rsid w:val="001E7A10"/>
    <w:rsid w:val="001E7AE4"/>
    <w:rsid w:val="001E7B46"/>
    <w:rsid w:val="001E7C1B"/>
    <w:rsid w:val="001E7E75"/>
    <w:rsid w:val="001E7EFD"/>
    <w:rsid w:val="001F013D"/>
    <w:rsid w:val="001F01F6"/>
    <w:rsid w:val="001F0233"/>
    <w:rsid w:val="001F0368"/>
    <w:rsid w:val="001F0370"/>
    <w:rsid w:val="001F0377"/>
    <w:rsid w:val="001F03D4"/>
    <w:rsid w:val="001F0477"/>
    <w:rsid w:val="001F066B"/>
    <w:rsid w:val="001F06A1"/>
    <w:rsid w:val="001F06B9"/>
    <w:rsid w:val="001F0786"/>
    <w:rsid w:val="001F0922"/>
    <w:rsid w:val="001F0995"/>
    <w:rsid w:val="001F0A55"/>
    <w:rsid w:val="001F0AAE"/>
    <w:rsid w:val="001F0AFF"/>
    <w:rsid w:val="001F0B6C"/>
    <w:rsid w:val="001F0C2C"/>
    <w:rsid w:val="001F0C38"/>
    <w:rsid w:val="001F0CE2"/>
    <w:rsid w:val="001F0D6C"/>
    <w:rsid w:val="001F0E48"/>
    <w:rsid w:val="001F0EC4"/>
    <w:rsid w:val="001F0F38"/>
    <w:rsid w:val="001F1080"/>
    <w:rsid w:val="001F10C1"/>
    <w:rsid w:val="001F1140"/>
    <w:rsid w:val="001F11E7"/>
    <w:rsid w:val="001F1493"/>
    <w:rsid w:val="001F1CA3"/>
    <w:rsid w:val="001F1D58"/>
    <w:rsid w:val="001F1EBF"/>
    <w:rsid w:val="001F1FF3"/>
    <w:rsid w:val="001F212B"/>
    <w:rsid w:val="001F213A"/>
    <w:rsid w:val="001F221B"/>
    <w:rsid w:val="001F22ED"/>
    <w:rsid w:val="001F237F"/>
    <w:rsid w:val="001F238E"/>
    <w:rsid w:val="001F2504"/>
    <w:rsid w:val="001F2523"/>
    <w:rsid w:val="001F2716"/>
    <w:rsid w:val="001F2A0D"/>
    <w:rsid w:val="001F2ACD"/>
    <w:rsid w:val="001F2AFA"/>
    <w:rsid w:val="001F2BED"/>
    <w:rsid w:val="001F2C0D"/>
    <w:rsid w:val="001F2D6D"/>
    <w:rsid w:val="001F2ECE"/>
    <w:rsid w:val="001F2F21"/>
    <w:rsid w:val="001F2FAF"/>
    <w:rsid w:val="001F2FBB"/>
    <w:rsid w:val="001F32B1"/>
    <w:rsid w:val="001F33C9"/>
    <w:rsid w:val="001F34C7"/>
    <w:rsid w:val="001F34DA"/>
    <w:rsid w:val="001F34E0"/>
    <w:rsid w:val="001F3551"/>
    <w:rsid w:val="001F3669"/>
    <w:rsid w:val="001F3843"/>
    <w:rsid w:val="001F3ADD"/>
    <w:rsid w:val="001F3B43"/>
    <w:rsid w:val="001F3B47"/>
    <w:rsid w:val="001F40E5"/>
    <w:rsid w:val="001F41C0"/>
    <w:rsid w:val="001F423E"/>
    <w:rsid w:val="001F4288"/>
    <w:rsid w:val="001F4399"/>
    <w:rsid w:val="001F449B"/>
    <w:rsid w:val="001F4666"/>
    <w:rsid w:val="001F4762"/>
    <w:rsid w:val="001F481B"/>
    <w:rsid w:val="001F4998"/>
    <w:rsid w:val="001F499E"/>
    <w:rsid w:val="001F4C3E"/>
    <w:rsid w:val="001F4C4C"/>
    <w:rsid w:val="001F4CB3"/>
    <w:rsid w:val="001F4D97"/>
    <w:rsid w:val="001F4E1E"/>
    <w:rsid w:val="001F4E95"/>
    <w:rsid w:val="001F4FEA"/>
    <w:rsid w:val="001F50D8"/>
    <w:rsid w:val="001F5100"/>
    <w:rsid w:val="001F5145"/>
    <w:rsid w:val="001F51B0"/>
    <w:rsid w:val="001F51ED"/>
    <w:rsid w:val="001F5349"/>
    <w:rsid w:val="001F539C"/>
    <w:rsid w:val="001F5608"/>
    <w:rsid w:val="001F57EA"/>
    <w:rsid w:val="001F58C1"/>
    <w:rsid w:val="001F5902"/>
    <w:rsid w:val="001F5A8F"/>
    <w:rsid w:val="001F5A97"/>
    <w:rsid w:val="001F5B1F"/>
    <w:rsid w:val="001F5C6C"/>
    <w:rsid w:val="001F5D3D"/>
    <w:rsid w:val="001F5F85"/>
    <w:rsid w:val="001F60AE"/>
    <w:rsid w:val="001F6278"/>
    <w:rsid w:val="001F628E"/>
    <w:rsid w:val="001F62A7"/>
    <w:rsid w:val="001F6399"/>
    <w:rsid w:val="001F66C5"/>
    <w:rsid w:val="001F6911"/>
    <w:rsid w:val="001F6970"/>
    <w:rsid w:val="001F6DFA"/>
    <w:rsid w:val="001F6F5D"/>
    <w:rsid w:val="001F7073"/>
    <w:rsid w:val="001F7098"/>
    <w:rsid w:val="001F70A9"/>
    <w:rsid w:val="001F71CF"/>
    <w:rsid w:val="001F73FF"/>
    <w:rsid w:val="001F740E"/>
    <w:rsid w:val="001F74B1"/>
    <w:rsid w:val="001F74C0"/>
    <w:rsid w:val="001F7528"/>
    <w:rsid w:val="001F75DF"/>
    <w:rsid w:val="001F7691"/>
    <w:rsid w:val="001F7699"/>
    <w:rsid w:val="001F778E"/>
    <w:rsid w:val="001F77EC"/>
    <w:rsid w:val="001F780D"/>
    <w:rsid w:val="001F788D"/>
    <w:rsid w:val="001F7A4A"/>
    <w:rsid w:val="001F7A7C"/>
    <w:rsid w:val="001F7C83"/>
    <w:rsid w:val="0020007D"/>
    <w:rsid w:val="002002FB"/>
    <w:rsid w:val="002003AD"/>
    <w:rsid w:val="00200531"/>
    <w:rsid w:val="0020066D"/>
    <w:rsid w:val="00200795"/>
    <w:rsid w:val="00200828"/>
    <w:rsid w:val="0020097E"/>
    <w:rsid w:val="00200A75"/>
    <w:rsid w:val="00200A7D"/>
    <w:rsid w:val="00200B28"/>
    <w:rsid w:val="00200BCA"/>
    <w:rsid w:val="00200BE1"/>
    <w:rsid w:val="00200CC0"/>
    <w:rsid w:val="00200D0C"/>
    <w:rsid w:val="00200D97"/>
    <w:rsid w:val="00201126"/>
    <w:rsid w:val="0020112A"/>
    <w:rsid w:val="0020124F"/>
    <w:rsid w:val="0020135E"/>
    <w:rsid w:val="002013D0"/>
    <w:rsid w:val="002013EE"/>
    <w:rsid w:val="002013F7"/>
    <w:rsid w:val="0020163F"/>
    <w:rsid w:val="002016AA"/>
    <w:rsid w:val="0020171F"/>
    <w:rsid w:val="00201CB1"/>
    <w:rsid w:val="00202008"/>
    <w:rsid w:val="00202037"/>
    <w:rsid w:val="0020207D"/>
    <w:rsid w:val="0020227B"/>
    <w:rsid w:val="00202368"/>
    <w:rsid w:val="00202570"/>
    <w:rsid w:val="0020271E"/>
    <w:rsid w:val="00202773"/>
    <w:rsid w:val="00202910"/>
    <w:rsid w:val="00202A29"/>
    <w:rsid w:val="00202C4E"/>
    <w:rsid w:val="00202CC4"/>
    <w:rsid w:val="00202CEF"/>
    <w:rsid w:val="00202D4E"/>
    <w:rsid w:val="00202E01"/>
    <w:rsid w:val="00202E58"/>
    <w:rsid w:val="00202E8A"/>
    <w:rsid w:val="00202EAF"/>
    <w:rsid w:val="00202F8F"/>
    <w:rsid w:val="00203451"/>
    <w:rsid w:val="00203465"/>
    <w:rsid w:val="00203509"/>
    <w:rsid w:val="0020388D"/>
    <w:rsid w:val="002038FE"/>
    <w:rsid w:val="002039FF"/>
    <w:rsid w:val="00203A2E"/>
    <w:rsid w:val="00203C91"/>
    <w:rsid w:val="00203DD0"/>
    <w:rsid w:val="00203FE2"/>
    <w:rsid w:val="002040B0"/>
    <w:rsid w:val="002041F0"/>
    <w:rsid w:val="002042A2"/>
    <w:rsid w:val="0020447E"/>
    <w:rsid w:val="00204550"/>
    <w:rsid w:val="00204597"/>
    <w:rsid w:val="002047FF"/>
    <w:rsid w:val="002049ED"/>
    <w:rsid w:val="00204A41"/>
    <w:rsid w:val="00204E7F"/>
    <w:rsid w:val="00204F49"/>
    <w:rsid w:val="00204F4C"/>
    <w:rsid w:val="002050DB"/>
    <w:rsid w:val="00205141"/>
    <w:rsid w:val="0020560A"/>
    <w:rsid w:val="002056E5"/>
    <w:rsid w:val="002057A7"/>
    <w:rsid w:val="00205840"/>
    <w:rsid w:val="00205A58"/>
    <w:rsid w:val="00205C96"/>
    <w:rsid w:val="00205FC7"/>
    <w:rsid w:val="00205FF4"/>
    <w:rsid w:val="002060C9"/>
    <w:rsid w:val="00206104"/>
    <w:rsid w:val="002062ED"/>
    <w:rsid w:val="002063EF"/>
    <w:rsid w:val="00206422"/>
    <w:rsid w:val="0020656B"/>
    <w:rsid w:val="002065EF"/>
    <w:rsid w:val="002066D2"/>
    <w:rsid w:val="00206708"/>
    <w:rsid w:val="0020681B"/>
    <w:rsid w:val="00206956"/>
    <w:rsid w:val="00206B7C"/>
    <w:rsid w:val="00206C31"/>
    <w:rsid w:val="00206E10"/>
    <w:rsid w:val="00206EF0"/>
    <w:rsid w:val="00207323"/>
    <w:rsid w:val="00207450"/>
    <w:rsid w:val="002074E6"/>
    <w:rsid w:val="00207723"/>
    <w:rsid w:val="002077C5"/>
    <w:rsid w:val="002078BC"/>
    <w:rsid w:val="002078C8"/>
    <w:rsid w:val="002079CE"/>
    <w:rsid w:val="00207AD8"/>
    <w:rsid w:val="00207CFA"/>
    <w:rsid w:val="00207EBA"/>
    <w:rsid w:val="00207F30"/>
    <w:rsid w:val="00210224"/>
    <w:rsid w:val="002103E0"/>
    <w:rsid w:val="0021049C"/>
    <w:rsid w:val="002105CA"/>
    <w:rsid w:val="002105E0"/>
    <w:rsid w:val="00210888"/>
    <w:rsid w:val="00210A39"/>
    <w:rsid w:val="00210A5F"/>
    <w:rsid w:val="00210AC0"/>
    <w:rsid w:val="00210F79"/>
    <w:rsid w:val="00211013"/>
    <w:rsid w:val="00211065"/>
    <w:rsid w:val="00211086"/>
    <w:rsid w:val="0021138A"/>
    <w:rsid w:val="002114FA"/>
    <w:rsid w:val="0021190A"/>
    <w:rsid w:val="0021191C"/>
    <w:rsid w:val="00211CFA"/>
    <w:rsid w:val="00211E93"/>
    <w:rsid w:val="00211F90"/>
    <w:rsid w:val="002122A1"/>
    <w:rsid w:val="00212369"/>
    <w:rsid w:val="00212509"/>
    <w:rsid w:val="002125EA"/>
    <w:rsid w:val="0021277F"/>
    <w:rsid w:val="00212871"/>
    <w:rsid w:val="002128EC"/>
    <w:rsid w:val="00212919"/>
    <w:rsid w:val="0021296A"/>
    <w:rsid w:val="0021299C"/>
    <w:rsid w:val="00212C3C"/>
    <w:rsid w:val="00212CE1"/>
    <w:rsid w:val="00212D0B"/>
    <w:rsid w:val="00212F16"/>
    <w:rsid w:val="00212F8C"/>
    <w:rsid w:val="002130E6"/>
    <w:rsid w:val="002130EA"/>
    <w:rsid w:val="0021334D"/>
    <w:rsid w:val="0021350A"/>
    <w:rsid w:val="00213584"/>
    <w:rsid w:val="00213666"/>
    <w:rsid w:val="00213735"/>
    <w:rsid w:val="002137FD"/>
    <w:rsid w:val="0021386E"/>
    <w:rsid w:val="002138D5"/>
    <w:rsid w:val="00213997"/>
    <w:rsid w:val="00213A08"/>
    <w:rsid w:val="00213A5D"/>
    <w:rsid w:val="00213CC2"/>
    <w:rsid w:val="00213E17"/>
    <w:rsid w:val="00214346"/>
    <w:rsid w:val="00214454"/>
    <w:rsid w:val="002144B9"/>
    <w:rsid w:val="0021492C"/>
    <w:rsid w:val="0021495C"/>
    <w:rsid w:val="00214A7B"/>
    <w:rsid w:val="00214B3F"/>
    <w:rsid w:val="00214DFB"/>
    <w:rsid w:val="00214E4B"/>
    <w:rsid w:val="00214ED9"/>
    <w:rsid w:val="00214EE1"/>
    <w:rsid w:val="00214F45"/>
    <w:rsid w:val="0021502E"/>
    <w:rsid w:val="00215032"/>
    <w:rsid w:val="0021514C"/>
    <w:rsid w:val="00215200"/>
    <w:rsid w:val="002152AC"/>
    <w:rsid w:val="002152B1"/>
    <w:rsid w:val="002152C9"/>
    <w:rsid w:val="0021557F"/>
    <w:rsid w:val="002156A9"/>
    <w:rsid w:val="002158EC"/>
    <w:rsid w:val="0021598A"/>
    <w:rsid w:val="002159DC"/>
    <w:rsid w:val="002159E5"/>
    <w:rsid w:val="00215A03"/>
    <w:rsid w:val="00215B73"/>
    <w:rsid w:val="00215CF9"/>
    <w:rsid w:val="00215D9C"/>
    <w:rsid w:val="00215E19"/>
    <w:rsid w:val="002160EE"/>
    <w:rsid w:val="00216296"/>
    <w:rsid w:val="0021640E"/>
    <w:rsid w:val="002168C7"/>
    <w:rsid w:val="00216915"/>
    <w:rsid w:val="0021697D"/>
    <w:rsid w:val="00216A45"/>
    <w:rsid w:val="00216AB7"/>
    <w:rsid w:val="00216B92"/>
    <w:rsid w:val="00216EC7"/>
    <w:rsid w:val="002171E8"/>
    <w:rsid w:val="00217338"/>
    <w:rsid w:val="002173AB"/>
    <w:rsid w:val="00217419"/>
    <w:rsid w:val="002175AE"/>
    <w:rsid w:val="002175B6"/>
    <w:rsid w:val="002175BF"/>
    <w:rsid w:val="00217763"/>
    <w:rsid w:val="002177D9"/>
    <w:rsid w:val="002178EA"/>
    <w:rsid w:val="0021790D"/>
    <w:rsid w:val="00217990"/>
    <w:rsid w:val="00217A55"/>
    <w:rsid w:val="00217C04"/>
    <w:rsid w:val="00217FA6"/>
    <w:rsid w:val="0022006D"/>
    <w:rsid w:val="00220522"/>
    <w:rsid w:val="00220568"/>
    <w:rsid w:val="002206E6"/>
    <w:rsid w:val="002207B0"/>
    <w:rsid w:val="002207BC"/>
    <w:rsid w:val="00220E49"/>
    <w:rsid w:val="00220E6D"/>
    <w:rsid w:val="00220F1C"/>
    <w:rsid w:val="002211B7"/>
    <w:rsid w:val="00221624"/>
    <w:rsid w:val="00221796"/>
    <w:rsid w:val="00221860"/>
    <w:rsid w:val="00221865"/>
    <w:rsid w:val="00221927"/>
    <w:rsid w:val="002219A1"/>
    <w:rsid w:val="00221A0D"/>
    <w:rsid w:val="00221C12"/>
    <w:rsid w:val="0022211D"/>
    <w:rsid w:val="0022215B"/>
    <w:rsid w:val="00222195"/>
    <w:rsid w:val="002221F4"/>
    <w:rsid w:val="00222230"/>
    <w:rsid w:val="00222279"/>
    <w:rsid w:val="00222598"/>
    <w:rsid w:val="002225A8"/>
    <w:rsid w:val="002227AA"/>
    <w:rsid w:val="0022285B"/>
    <w:rsid w:val="00222A0F"/>
    <w:rsid w:val="00222A70"/>
    <w:rsid w:val="00222AC0"/>
    <w:rsid w:val="00222B95"/>
    <w:rsid w:val="00222E18"/>
    <w:rsid w:val="0022306B"/>
    <w:rsid w:val="00223508"/>
    <w:rsid w:val="00223531"/>
    <w:rsid w:val="002235A2"/>
    <w:rsid w:val="00223653"/>
    <w:rsid w:val="00223666"/>
    <w:rsid w:val="00223719"/>
    <w:rsid w:val="002238A9"/>
    <w:rsid w:val="00223B27"/>
    <w:rsid w:val="00223C83"/>
    <w:rsid w:val="00223DF1"/>
    <w:rsid w:val="00224148"/>
    <w:rsid w:val="002241EA"/>
    <w:rsid w:val="00224247"/>
    <w:rsid w:val="0022472A"/>
    <w:rsid w:val="0022473E"/>
    <w:rsid w:val="0022476C"/>
    <w:rsid w:val="002247A6"/>
    <w:rsid w:val="002247C3"/>
    <w:rsid w:val="00224893"/>
    <w:rsid w:val="002248F6"/>
    <w:rsid w:val="00224906"/>
    <w:rsid w:val="00224ADD"/>
    <w:rsid w:val="00224C07"/>
    <w:rsid w:val="00224C95"/>
    <w:rsid w:val="00225071"/>
    <w:rsid w:val="00225114"/>
    <w:rsid w:val="002252A0"/>
    <w:rsid w:val="002252CF"/>
    <w:rsid w:val="002256BE"/>
    <w:rsid w:val="00225741"/>
    <w:rsid w:val="00225821"/>
    <w:rsid w:val="00225834"/>
    <w:rsid w:val="002258E7"/>
    <w:rsid w:val="0022594C"/>
    <w:rsid w:val="00225988"/>
    <w:rsid w:val="00225AB9"/>
    <w:rsid w:val="00225BB9"/>
    <w:rsid w:val="00225EA2"/>
    <w:rsid w:val="00225EEF"/>
    <w:rsid w:val="00226006"/>
    <w:rsid w:val="002260B3"/>
    <w:rsid w:val="002262E5"/>
    <w:rsid w:val="00226329"/>
    <w:rsid w:val="002265E9"/>
    <w:rsid w:val="002265F6"/>
    <w:rsid w:val="00226766"/>
    <w:rsid w:val="0022682D"/>
    <w:rsid w:val="0022683A"/>
    <w:rsid w:val="0022686A"/>
    <w:rsid w:val="0022694D"/>
    <w:rsid w:val="002269A8"/>
    <w:rsid w:val="00226BB7"/>
    <w:rsid w:val="00226CC1"/>
    <w:rsid w:val="00226F55"/>
    <w:rsid w:val="00227100"/>
    <w:rsid w:val="002271E0"/>
    <w:rsid w:val="002272D6"/>
    <w:rsid w:val="0022750C"/>
    <w:rsid w:val="00227583"/>
    <w:rsid w:val="002275B5"/>
    <w:rsid w:val="00227963"/>
    <w:rsid w:val="00227AF8"/>
    <w:rsid w:val="00227C42"/>
    <w:rsid w:val="00227E41"/>
    <w:rsid w:val="0023022B"/>
    <w:rsid w:val="0023027A"/>
    <w:rsid w:val="00230455"/>
    <w:rsid w:val="00230847"/>
    <w:rsid w:val="0023085D"/>
    <w:rsid w:val="0023086F"/>
    <w:rsid w:val="0023089D"/>
    <w:rsid w:val="00230E35"/>
    <w:rsid w:val="00230E52"/>
    <w:rsid w:val="00230F67"/>
    <w:rsid w:val="00231029"/>
    <w:rsid w:val="0023113D"/>
    <w:rsid w:val="00231246"/>
    <w:rsid w:val="002312CE"/>
    <w:rsid w:val="002312FB"/>
    <w:rsid w:val="002314BC"/>
    <w:rsid w:val="0023156B"/>
    <w:rsid w:val="00231599"/>
    <w:rsid w:val="00231674"/>
    <w:rsid w:val="0023176B"/>
    <w:rsid w:val="0023182C"/>
    <w:rsid w:val="0023191B"/>
    <w:rsid w:val="00231927"/>
    <w:rsid w:val="0023197F"/>
    <w:rsid w:val="00231A07"/>
    <w:rsid w:val="00231B74"/>
    <w:rsid w:val="00231CDB"/>
    <w:rsid w:val="00231E3E"/>
    <w:rsid w:val="0023210A"/>
    <w:rsid w:val="00232177"/>
    <w:rsid w:val="002322F1"/>
    <w:rsid w:val="00232650"/>
    <w:rsid w:val="002327EA"/>
    <w:rsid w:val="002327F2"/>
    <w:rsid w:val="0023281C"/>
    <w:rsid w:val="00232852"/>
    <w:rsid w:val="00232929"/>
    <w:rsid w:val="00232966"/>
    <w:rsid w:val="002329B9"/>
    <w:rsid w:val="00232B37"/>
    <w:rsid w:val="00232B75"/>
    <w:rsid w:val="0023302D"/>
    <w:rsid w:val="00233194"/>
    <w:rsid w:val="002331B1"/>
    <w:rsid w:val="002332B9"/>
    <w:rsid w:val="00233322"/>
    <w:rsid w:val="002336FE"/>
    <w:rsid w:val="00233901"/>
    <w:rsid w:val="00233916"/>
    <w:rsid w:val="00233C49"/>
    <w:rsid w:val="00233D8A"/>
    <w:rsid w:val="00233DAB"/>
    <w:rsid w:val="00233DCD"/>
    <w:rsid w:val="00233EB9"/>
    <w:rsid w:val="00233F01"/>
    <w:rsid w:val="00233F16"/>
    <w:rsid w:val="00233FEA"/>
    <w:rsid w:val="00234288"/>
    <w:rsid w:val="00234386"/>
    <w:rsid w:val="00234545"/>
    <w:rsid w:val="0023458A"/>
    <w:rsid w:val="00234617"/>
    <w:rsid w:val="00234643"/>
    <w:rsid w:val="00234A10"/>
    <w:rsid w:val="00234A19"/>
    <w:rsid w:val="00234A39"/>
    <w:rsid w:val="00234B35"/>
    <w:rsid w:val="00234BEF"/>
    <w:rsid w:val="00234EEE"/>
    <w:rsid w:val="002351A9"/>
    <w:rsid w:val="0023538A"/>
    <w:rsid w:val="00235397"/>
    <w:rsid w:val="002353B4"/>
    <w:rsid w:val="0023547C"/>
    <w:rsid w:val="002357B4"/>
    <w:rsid w:val="00235839"/>
    <w:rsid w:val="00235BB2"/>
    <w:rsid w:val="00235EB0"/>
    <w:rsid w:val="00235EDB"/>
    <w:rsid w:val="00236068"/>
    <w:rsid w:val="002360D7"/>
    <w:rsid w:val="00236192"/>
    <w:rsid w:val="00236193"/>
    <w:rsid w:val="0023622B"/>
    <w:rsid w:val="00236253"/>
    <w:rsid w:val="002364EA"/>
    <w:rsid w:val="0023650C"/>
    <w:rsid w:val="002365EE"/>
    <w:rsid w:val="00236851"/>
    <w:rsid w:val="00236A43"/>
    <w:rsid w:val="00236AB7"/>
    <w:rsid w:val="002370A8"/>
    <w:rsid w:val="002370D6"/>
    <w:rsid w:val="00237129"/>
    <w:rsid w:val="00237186"/>
    <w:rsid w:val="002372CD"/>
    <w:rsid w:val="002372DC"/>
    <w:rsid w:val="002372F7"/>
    <w:rsid w:val="00237375"/>
    <w:rsid w:val="002373E5"/>
    <w:rsid w:val="00237437"/>
    <w:rsid w:val="00237596"/>
    <w:rsid w:val="00237606"/>
    <w:rsid w:val="00237638"/>
    <w:rsid w:val="002379DF"/>
    <w:rsid w:val="00237A3D"/>
    <w:rsid w:val="00237A90"/>
    <w:rsid w:val="00237AA3"/>
    <w:rsid w:val="00237C84"/>
    <w:rsid w:val="00237D9B"/>
    <w:rsid w:val="00237E84"/>
    <w:rsid w:val="00237EC5"/>
    <w:rsid w:val="00237F3C"/>
    <w:rsid w:val="0024010E"/>
    <w:rsid w:val="002405A2"/>
    <w:rsid w:val="002405CF"/>
    <w:rsid w:val="00240830"/>
    <w:rsid w:val="0024084A"/>
    <w:rsid w:val="00240993"/>
    <w:rsid w:val="00240999"/>
    <w:rsid w:val="00240B93"/>
    <w:rsid w:val="00240CA4"/>
    <w:rsid w:val="00240CFB"/>
    <w:rsid w:val="00240E3A"/>
    <w:rsid w:val="00240F93"/>
    <w:rsid w:val="00241062"/>
    <w:rsid w:val="00241104"/>
    <w:rsid w:val="00241360"/>
    <w:rsid w:val="00241399"/>
    <w:rsid w:val="00241481"/>
    <w:rsid w:val="00241677"/>
    <w:rsid w:val="00241A73"/>
    <w:rsid w:val="00241A93"/>
    <w:rsid w:val="00241B8F"/>
    <w:rsid w:val="00241BB6"/>
    <w:rsid w:val="00241BCA"/>
    <w:rsid w:val="00241E86"/>
    <w:rsid w:val="00241F3D"/>
    <w:rsid w:val="00241F3F"/>
    <w:rsid w:val="00241F52"/>
    <w:rsid w:val="00241F59"/>
    <w:rsid w:val="0024235D"/>
    <w:rsid w:val="002423E1"/>
    <w:rsid w:val="00242530"/>
    <w:rsid w:val="0024258F"/>
    <w:rsid w:val="002425E9"/>
    <w:rsid w:val="00242769"/>
    <w:rsid w:val="002429C0"/>
    <w:rsid w:val="00242BD0"/>
    <w:rsid w:val="00242C10"/>
    <w:rsid w:val="00242E6B"/>
    <w:rsid w:val="0024315D"/>
    <w:rsid w:val="00243244"/>
    <w:rsid w:val="00243360"/>
    <w:rsid w:val="002433D4"/>
    <w:rsid w:val="00243489"/>
    <w:rsid w:val="002434E0"/>
    <w:rsid w:val="00243550"/>
    <w:rsid w:val="00243745"/>
    <w:rsid w:val="00243832"/>
    <w:rsid w:val="0024384B"/>
    <w:rsid w:val="0024390B"/>
    <w:rsid w:val="00243970"/>
    <w:rsid w:val="00243A8D"/>
    <w:rsid w:val="00243E2F"/>
    <w:rsid w:val="00243E97"/>
    <w:rsid w:val="00243EAF"/>
    <w:rsid w:val="00244034"/>
    <w:rsid w:val="002441F3"/>
    <w:rsid w:val="002443DB"/>
    <w:rsid w:val="002444B2"/>
    <w:rsid w:val="0024451C"/>
    <w:rsid w:val="00244672"/>
    <w:rsid w:val="0024472B"/>
    <w:rsid w:val="00244A70"/>
    <w:rsid w:val="00244AB2"/>
    <w:rsid w:val="00244AF3"/>
    <w:rsid w:val="00244B9F"/>
    <w:rsid w:val="0024527A"/>
    <w:rsid w:val="002454A4"/>
    <w:rsid w:val="002454F4"/>
    <w:rsid w:val="002456AF"/>
    <w:rsid w:val="0024578F"/>
    <w:rsid w:val="00245877"/>
    <w:rsid w:val="002459CE"/>
    <w:rsid w:val="00245A8B"/>
    <w:rsid w:val="00245B40"/>
    <w:rsid w:val="00245BF9"/>
    <w:rsid w:val="00245ED9"/>
    <w:rsid w:val="00245F2B"/>
    <w:rsid w:val="00245F72"/>
    <w:rsid w:val="00246085"/>
    <w:rsid w:val="00246335"/>
    <w:rsid w:val="0024633E"/>
    <w:rsid w:val="002463F0"/>
    <w:rsid w:val="00246537"/>
    <w:rsid w:val="0024654F"/>
    <w:rsid w:val="00246802"/>
    <w:rsid w:val="00246AD0"/>
    <w:rsid w:val="00246AE2"/>
    <w:rsid w:val="00246B0A"/>
    <w:rsid w:val="00246B5D"/>
    <w:rsid w:val="00246C46"/>
    <w:rsid w:val="00246D08"/>
    <w:rsid w:val="00246D54"/>
    <w:rsid w:val="00246E16"/>
    <w:rsid w:val="00246F4A"/>
    <w:rsid w:val="00247109"/>
    <w:rsid w:val="002471F9"/>
    <w:rsid w:val="0024746D"/>
    <w:rsid w:val="00247489"/>
    <w:rsid w:val="00247633"/>
    <w:rsid w:val="00247639"/>
    <w:rsid w:val="002476A7"/>
    <w:rsid w:val="0024773F"/>
    <w:rsid w:val="0024777A"/>
    <w:rsid w:val="00247C31"/>
    <w:rsid w:val="002503D5"/>
    <w:rsid w:val="00250449"/>
    <w:rsid w:val="002504A4"/>
    <w:rsid w:val="00250661"/>
    <w:rsid w:val="0025069B"/>
    <w:rsid w:val="00250795"/>
    <w:rsid w:val="0025081B"/>
    <w:rsid w:val="00250921"/>
    <w:rsid w:val="00250C66"/>
    <w:rsid w:val="00250E27"/>
    <w:rsid w:val="00250EA6"/>
    <w:rsid w:val="00250F7B"/>
    <w:rsid w:val="002511B0"/>
    <w:rsid w:val="002513FF"/>
    <w:rsid w:val="00251471"/>
    <w:rsid w:val="002515B8"/>
    <w:rsid w:val="002515E9"/>
    <w:rsid w:val="0025164F"/>
    <w:rsid w:val="002516FD"/>
    <w:rsid w:val="00251D69"/>
    <w:rsid w:val="00251D71"/>
    <w:rsid w:val="00251F17"/>
    <w:rsid w:val="00251F1C"/>
    <w:rsid w:val="00251F49"/>
    <w:rsid w:val="002520E2"/>
    <w:rsid w:val="002521D0"/>
    <w:rsid w:val="00252278"/>
    <w:rsid w:val="0025233E"/>
    <w:rsid w:val="00252495"/>
    <w:rsid w:val="00252514"/>
    <w:rsid w:val="00252566"/>
    <w:rsid w:val="002527AD"/>
    <w:rsid w:val="00252910"/>
    <w:rsid w:val="002529CD"/>
    <w:rsid w:val="00252B05"/>
    <w:rsid w:val="00252B27"/>
    <w:rsid w:val="00252BA0"/>
    <w:rsid w:val="00252C53"/>
    <w:rsid w:val="00252DD2"/>
    <w:rsid w:val="00252F27"/>
    <w:rsid w:val="00252F49"/>
    <w:rsid w:val="00252F53"/>
    <w:rsid w:val="00253250"/>
    <w:rsid w:val="00253984"/>
    <w:rsid w:val="002539D0"/>
    <w:rsid w:val="00253A17"/>
    <w:rsid w:val="00253A62"/>
    <w:rsid w:val="00253AFC"/>
    <w:rsid w:val="00253B7B"/>
    <w:rsid w:val="00253DB0"/>
    <w:rsid w:val="00253E98"/>
    <w:rsid w:val="00253F10"/>
    <w:rsid w:val="0025410F"/>
    <w:rsid w:val="00254358"/>
    <w:rsid w:val="002543B0"/>
    <w:rsid w:val="00254694"/>
    <w:rsid w:val="00254860"/>
    <w:rsid w:val="002548DD"/>
    <w:rsid w:val="002549CD"/>
    <w:rsid w:val="002549E2"/>
    <w:rsid w:val="00254CAB"/>
    <w:rsid w:val="00254CDA"/>
    <w:rsid w:val="00254D25"/>
    <w:rsid w:val="00254EB9"/>
    <w:rsid w:val="00254ED5"/>
    <w:rsid w:val="00254FDB"/>
    <w:rsid w:val="00255082"/>
    <w:rsid w:val="002550D6"/>
    <w:rsid w:val="0025511A"/>
    <w:rsid w:val="0025511F"/>
    <w:rsid w:val="002551C9"/>
    <w:rsid w:val="0025535E"/>
    <w:rsid w:val="0025538C"/>
    <w:rsid w:val="002553A1"/>
    <w:rsid w:val="002554B4"/>
    <w:rsid w:val="002554CB"/>
    <w:rsid w:val="002554CF"/>
    <w:rsid w:val="002554EE"/>
    <w:rsid w:val="00255502"/>
    <w:rsid w:val="002555CF"/>
    <w:rsid w:val="00255646"/>
    <w:rsid w:val="0025580D"/>
    <w:rsid w:val="002558CB"/>
    <w:rsid w:val="002559A9"/>
    <w:rsid w:val="00255A52"/>
    <w:rsid w:val="00255C08"/>
    <w:rsid w:val="00255CAE"/>
    <w:rsid w:val="00255D5A"/>
    <w:rsid w:val="00255D5F"/>
    <w:rsid w:val="00255EC4"/>
    <w:rsid w:val="00255EDD"/>
    <w:rsid w:val="002560B0"/>
    <w:rsid w:val="002560DD"/>
    <w:rsid w:val="0025630E"/>
    <w:rsid w:val="00256370"/>
    <w:rsid w:val="00256390"/>
    <w:rsid w:val="002563CD"/>
    <w:rsid w:val="00256475"/>
    <w:rsid w:val="00256477"/>
    <w:rsid w:val="002564DE"/>
    <w:rsid w:val="0025665B"/>
    <w:rsid w:val="0025670E"/>
    <w:rsid w:val="00256793"/>
    <w:rsid w:val="00256852"/>
    <w:rsid w:val="00256867"/>
    <w:rsid w:val="0025694B"/>
    <w:rsid w:val="00256BBE"/>
    <w:rsid w:val="00256E97"/>
    <w:rsid w:val="00256F30"/>
    <w:rsid w:val="002570DD"/>
    <w:rsid w:val="0025715A"/>
    <w:rsid w:val="0025724C"/>
    <w:rsid w:val="00257318"/>
    <w:rsid w:val="00257447"/>
    <w:rsid w:val="002574BF"/>
    <w:rsid w:val="0025759C"/>
    <w:rsid w:val="00257653"/>
    <w:rsid w:val="00257698"/>
    <w:rsid w:val="0025771F"/>
    <w:rsid w:val="00257808"/>
    <w:rsid w:val="0025783D"/>
    <w:rsid w:val="00257C61"/>
    <w:rsid w:val="00257D27"/>
    <w:rsid w:val="00257D40"/>
    <w:rsid w:val="00257ED1"/>
    <w:rsid w:val="00257F18"/>
    <w:rsid w:val="00257F81"/>
    <w:rsid w:val="002600CE"/>
    <w:rsid w:val="0026016C"/>
    <w:rsid w:val="00260352"/>
    <w:rsid w:val="0026072B"/>
    <w:rsid w:val="002608F7"/>
    <w:rsid w:val="0026092B"/>
    <w:rsid w:val="00260996"/>
    <w:rsid w:val="00260A4F"/>
    <w:rsid w:val="00260A59"/>
    <w:rsid w:val="00260AE6"/>
    <w:rsid w:val="00261138"/>
    <w:rsid w:val="002611B0"/>
    <w:rsid w:val="002611B7"/>
    <w:rsid w:val="0026120E"/>
    <w:rsid w:val="0026160C"/>
    <w:rsid w:val="00261721"/>
    <w:rsid w:val="0026172C"/>
    <w:rsid w:val="002617FD"/>
    <w:rsid w:val="00261895"/>
    <w:rsid w:val="002618AA"/>
    <w:rsid w:val="00261945"/>
    <w:rsid w:val="00261A00"/>
    <w:rsid w:val="00261B9E"/>
    <w:rsid w:val="00261D99"/>
    <w:rsid w:val="00261E2F"/>
    <w:rsid w:val="00261EBA"/>
    <w:rsid w:val="00261F47"/>
    <w:rsid w:val="0026239E"/>
    <w:rsid w:val="002623C2"/>
    <w:rsid w:val="002623CA"/>
    <w:rsid w:val="002625A8"/>
    <w:rsid w:val="002625BB"/>
    <w:rsid w:val="002626B7"/>
    <w:rsid w:val="00262739"/>
    <w:rsid w:val="002629A7"/>
    <w:rsid w:val="00262B20"/>
    <w:rsid w:val="00262B21"/>
    <w:rsid w:val="00262B43"/>
    <w:rsid w:val="00262D0D"/>
    <w:rsid w:val="00262D81"/>
    <w:rsid w:val="00262DFD"/>
    <w:rsid w:val="00262F03"/>
    <w:rsid w:val="00263005"/>
    <w:rsid w:val="002632EE"/>
    <w:rsid w:val="00263429"/>
    <w:rsid w:val="00263463"/>
    <w:rsid w:val="002635D6"/>
    <w:rsid w:val="0026364B"/>
    <w:rsid w:val="00263772"/>
    <w:rsid w:val="0026397A"/>
    <w:rsid w:val="00263A09"/>
    <w:rsid w:val="00263CB2"/>
    <w:rsid w:val="00264136"/>
    <w:rsid w:val="00264157"/>
    <w:rsid w:val="00264160"/>
    <w:rsid w:val="00264192"/>
    <w:rsid w:val="002641A1"/>
    <w:rsid w:val="0026422B"/>
    <w:rsid w:val="002643C4"/>
    <w:rsid w:val="002644DE"/>
    <w:rsid w:val="00264576"/>
    <w:rsid w:val="002646A9"/>
    <w:rsid w:val="002646E8"/>
    <w:rsid w:val="0026471E"/>
    <w:rsid w:val="00264774"/>
    <w:rsid w:val="0026499A"/>
    <w:rsid w:val="002649C3"/>
    <w:rsid w:val="00264C61"/>
    <w:rsid w:val="00264CE8"/>
    <w:rsid w:val="00264D7A"/>
    <w:rsid w:val="00264DC5"/>
    <w:rsid w:val="00264FD9"/>
    <w:rsid w:val="0026510A"/>
    <w:rsid w:val="00265134"/>
    <w:rsid w:val="002652D4"/>
    <w:rsid w:val="00265457"/>
    <w:rsid w:val="002654BB"/>
    <w:rsid w:val="00265509"/>
    <w:rsid w:val="002656FF"/>
    <w:rsid w:val="00265768"/>
    <w:rsid w:val="0026576D"/>
    <w:rsid w:val="002657AD"/>
    <w:rsid w:val="00265906"/>
    <w:rsid w:val="002659BC"/>
    <w:rsid w:val="00265B81"/>
    <w:rsid w:val="00265B97"/>
    <w:rsid w:val="00265CE6"/>
    <w:rsid w:val="00265E41"/>
    <w:rsid w:val="00265E76"/>
    <w:rsid w:val="00266164"/>
    <w:rsid w:val="002661E5"/>
    <w:rsid w:val="00266317"/>
    <w:rsid w:val="002664DF"/>
    <w:rsid w:val="00266951"/>
    <w:rsid w:val="002669A2"/>
    <w:rsid w:val="00266A57"/>
    <w:rsid w:val="00266ACB"/>
    <w:rsid w:val="00266D93"/>
    <w:rsid w:val="00266DFD"/>
    <w:rsid w:val="00266E1F"/>
    <w:rsid w:val="00266EE2"/>
    <w:rsid w:val="00266F8E"/>
    <w:rsid w:val="00266FF7"/>
    <w:rsid w:val="00267016"/>
    <w:rsid w:val="002671C3"/>
    <w:rsid w:val="002671F2"/>
    <w:rsid w:val="002673FB"/>
    <w:rsid w:val="002674E5"/>
    <w:rsid w:val="00267811"/>
    <w:rsid w:val="0026790B"/>
    <w:rsid w:val="00267D6E"/>
    <w:rsid w:val="00267EA3"/>
    <w:rsid w:val="00267EB5"/>
    <w:rsid w:val="002700F3"/>
    <w:rsid w:val="002702A1"/>
    <w:rsid w:val="00270349"/>
    <w:rsid w:val="00270672"/>
    <w:rsid w:val="002706A6"/>
    <w:rsid w:val="0027082C"/>
    <w:rsid w:val="00270A8D"/>
    <w:rsid w:val="00270BBC"/>
    <w:rsid w:val="00270BC5"/>
    <w:rsid w:val="00270C1C"/>
    <w:rsid w:val="00270F1C"/>
    <w:rsid w:val="002711A9"/>
    <w:rsid w:val="0027128D"/>
    <w:rsid w:val="002712F4"/>
    <w:rsid w:val="00271323"/>
    <w:rsid w:val="002713E9"/>
    <w:rsid w:val="002714C5"/>
    <w:rsid w:val="00271603"/>
    <w:rsid w:val="002717A1"/>
    <w:rsid w:val="00271806"/>
    <w:rsid w:val="0027188D"/>
    <w:rsid w:val="00271A56"/>
    <w:rsid w:val="00271B0A"/>
    <w:rsid w:val="00271C15"/>
    <w:rsid w:val="00271CB0"/>
    <w:rsid w:val="00271DD6"/>
    <w:rsid w:val="00271EF7"/>
    <w:rsid w:val="002720D7"/>
    <w:rsid w:val="00272113"/>
    <w:rsid w:val="0027225B"/>
    <w:rsid w:val="00272423"/>
    <w:rsid w:val="00272463"/>
    <w:rsid w:val="00272484"/>
    <w:rsid w:val="002724DA"/>
    <w:rsid w:val="002724EB"/>
    <w:rsid w:val="00272816"/>
    <w:rsid w:val="00272848"/>
    <w:rsid w:val="002729D5"/>
    <w:rsid w:val="00272A71"/>
    <w:rsid w:val="00272B48"/>
    <w:rsid w:val="00272C6F"/>
    <w:rsid w:val="00272C97"/>
    <w:rsid w:val="00272E25"/>
    <w:rsid w:val="00272F40"/>
    <w:rsid w:val="00272F83"/>
    <w:rsid w:val="002730CE"/>
    <w:rsid w:val="0027334F"/>
    <w:rsid w:val="00273408"/>
    <w:rsid w:val="0027369C"/>
    <w:rsid w:val="002736D9"/>
    <w:rsid w:val="002737ED"/>
    <w:rsid w:val="002739D6"/>
    <w:rsid w:val="00273A90"/>
    <w:rsid w:val="00273AB5"/>
    <w:rsid w:val="00273BE8"/>
    <w:rsid w:val="00273C49"/>
    <w:rsid w:val="00273D3E"/>
    <w:rsid w:val="00273E4F"/>
    <w:rsid w:val="00273E9E"/>
    <w:rsid w:val="00273F28"/>
    <w:rsid w:val="00274169"/>
    <w:rsid w:val="00274329"/>
    <w:rsid w:val="0027455C"/>
    <w:rsid w:val="002746E6"/>
    <w:rsid w:val="00274720"/>
    <w:rsid w:val="002747A0"/>
    <w:rsid w:val="00274855"/>
    <w:rsid w:val="002748EE"/>
    <w:rsid w:val="00274975"/>
    <w:rsid w:val="00274A8C"/>
    <w:rsid w:val="00274ABE"/>
    <w:rsid w:val="00274C61"/>
    <w:rsid w:val="00274CF1"/>
    <w:rsid w:val="00274DC9"/>
    <w:rsid w:val="0027505A"/>
    <w:rsid w:val="002750FA"/>
    <w:rsid w:val="0027511E"/>
    <w:rsid w:val="0027594A"/>
    <w:rsid w:val="00275987"/>
    <w:rsid w:val="002759F6"/>
    <w:rsid w:val="00275A9A"/>
    <w:rsid w:val="00275DAB"/>
    <w:rsid w:val="00275E6C"/>
    <w:rsid w:val="00275EDF"/>
    <w:rsid w:val="00275F47"/>
    <w:rsid w:val="00275F64"/>
    <w:rsid w:val="00275FA4"/>
    <w:rsid w:val="00275FBC"/>
    <w:rsid w:val="0027616F"/>
    <w:rsid w:val="002761E2"/>
    <w:rsid w:val="00276234"/>
    <w:rsid w:val="0027630C"/>
    <w:rsid w:val="002763FF"/>
    <w:rsid w:val="00276516"/>
    <w:rsid w:val="00276708"/>
    <w:rsid w:val="0027674A"/>
    <w:rsid w:val="002767EF"/>
    <w:rsid w:val="00276823"/>
    <w:rsid w:val="00276A5D"/>
    <w:rsid w:val="00276B08"/>
    <w:rsid w:val="00276DF2"/>
    <w:rsid w:val="00276E58"/>
    <w:rsid w:val="00277013"/>
    <w:rsid w:val="00277091"/>
    <w:rsid w:val="002771D6"/>
    <w:rsid w:val="0027761E"/>
    <w:rsid w:val="00277624"/>
    <w:rsid w:val="00277627"/>
    <w:rsid w:val="00277697"/>
    <w:rsid w:val="00277718"/>
    <w:rsid w:val="002778A5"/>
    <w:rsid w:val="00277AEA"/>
    <w:rsid w:val="00277EC5"/>
    <w:rsid w:val="00277FB7"/>
    <w:rsid w:val="00280015"/>
    <w:rsid w:val="0028002D"/>
    <w:rsid w:val="00280069"/>
    <w:rsid w:val="002801C0"/>
    <w:rsid w:val="0028034F"/>
    <w:rsid w:val="002806E0"/>
    <w:rsid w:val="002807E5"/>
    <w:rsid w:val="002807F3"/>
    <w:rsid w:val="0028091E"/>
    <w:rsid w:val="00280968"/>
    <w:rsid w:val="00280C59"/>
    <w:rsid w:val="00280CD4"/>
    <w:rsid w:val="00280ED6"/>
    <w:rsid w:val="002811D8"/>
    <w:rsid w:val="0028127E"/>
    <w:rsid w:val="0028132D"/>
    <w:rsid w:val="00281364"/>
    <w:rsid w:val="0028143B"/>
    <w:rsid w:val="00281526"/>
    <w:rsid w:val="00281573"/>
    <w:rsid w:val="002817F2"/>
    <w:rsid w:val="0028184A"/>
    <w:rsid w:val="00281B76"/>
    <w:rsid w:val="00281CB2"/>
    <w:rsid w:val="00281D45"/>
    <w:rsid w:val="00281EB7"/>
    <w:rsid w:val="0028203C"/>
    <w:rsid w:val="00282059"/>
    <w:rsid w:val="0028208C"/>
    <w:rsid w:val="002821B7"/>
    <w:rsid w:val="00282537"/>
    <w:rsid w:val="00282627"/>
    <w:rsid w:val="00282631"/>
    <w:rsid w:val="00282952"/>
    <w:rsid w:val="002829E5"/>
    <w:rsid w:val="00282A4F"/>
    <w:rsid w:val="00282AE0"/>
    <w:rsid w:val="00282B87"/>
    <w:rsid w:val="00282DA8"/>
    <w:rsid w:val="00282DD9"/>
    <w:rsid w:val="00282F08"/>
    <w:rsid w:val="00282F32"/>
    <w:rsid w:val="00282F64"/>
    <w:rsid w:val="00283030"/>
    <w:rsid w:val="002830DE"/>
    <w:rsid w:val="00283884"/>
    <w:rsid w:val="00283A0D"/>
    <w:rsid w:val="00283D4D"/>
    <w:rsid w:val="00283DD8"/>
    <w:rsid w:val="00283F6A"/>
    <w:rsid w:val="00284251"/>
    <w:rsid w:val="002842AF"/>
    <w:rsid w:val="002842EB"/>
    <w:rsid w:val="002844D6"/>
    <w:rsid w:val="00284594"/>
    <w:rsid w:val="00284595"/>
    <w:rsid w:val="00284657"/>
    <w:rsid w:val="002848A1"/>
    <w:rsid w:val="00284A51"/>
    <w:rsid w:val="00284B45"/>
    <w:rsid w:val="00284B74"/>
    <w:rsid w:val="00284BF1"/>
    <w:rsid w:val="00284D59"/>
    <w:rsid w:val="00284F43"/>
    <w:rsid w:val="00284F83"/>
    <w:rsid w:val="00285137"/>
    <w:rsid w:val="002852E6"/>
    <w:rsid w:val="002853C9"/>
    <w:rsid w:val="002855E0"/>
    <w:rsid w:val="00285745"/>
    <w:rsid w:val="0028587C"/>
    <w:rsid w:val="00285B86"/>
    <w:rsid w:val="00285C1B"/>
    <w:rsid w:val="00285DC2"/>
    <w:rsid w:val="00285E3D"/>
    <w:rsid w:val="00285E5B"/>
    <w:rsid w:val="00285ED4"/>
    <w:rsid w:val="00286113"/>
    <w:rsid w:val="00286184"/>
    <w:rsid w:val="002861C2"/>
    <w:rsid w:val="00286292"/>
    <w:rsid w:val="00286468"/>
    <w:rsid w:val="00286484"/>
    <w:rsid w:val="00286490"/>
    <w:rsid w:val="002864D8"/>
    <w:rsid w:val="00286776"/>
    <w:rsid w:val="00286798"/>
    <w:rsid w:val="00286815"/>
    <w:rsid w:val="0028692F"/>
    <w:rsid w:val="002869DB"/>
    <w:rsid w:val="00286AF6"/>
    <w:rsid w:val="00286AFC"/>
    <w:rsid w:val="00287191"/>
    <w:rsid w:val="002871CE"/>
    <w:rsid w:val="002875AB"/>
    <w:rsid w:val="002875B2"/>
    <w:rsid w:val="00287689"/>
    <w:rsid w:val="0028773C"/>
    <w:rsid w:val="00287A54"/>
    <w:rsid w:val="00287BFB"/>
    <w:rsid w:val="00287DCB"/>
    <w:rsid w:val="00287E40"/>
    <w:rsid w:val="00290080"/>
    <w:rsid w:val="00290145"/>
    <w:rsid w:val="0029018C"/>
    <w:rsid w:val="00290302"/>
    <w:rsid w:val="00290492"/>
    <w:rsid w:val="002904EB"/>
    <w:rsid w:val="002904F7"/>
    <w:rsid w:val="002905A8"/>
    <w:rsid w:val="0029081B"/>
    <w:rsid w:val="00290B08"/>
    <w:rsid w:val="00290B6B"/>
    <w:rsid w:val="00290E39"/>
    <w:rsid w:val="00290F1A"/>
    <w:rsid w:val="002911FB"/>
    <w:rsid w:val="0029168E"/>
    <w:rsid w:val="00291B0C"/>
    <w:rsid w:val="00291B54"/>
    <w:rsid w:val="00291BA9"/>
    <w:rsid w:val="00291C67"/>
    <w:rsid w:val="00291EAC"/>
    <w:rsid w:val="00291FBC"/>
    <w:rsid w:val="002920F7"/>
    <w:rsid w:val="002921D3"/>
    <w:rsid w:val="002922B0"/>
    <w:rsid w:val="00292482"/>
    <w:rsid w:val="0029249B"/>
    <w:rsid w:val="002924C4"/>
    <w:rsid w:val="002924C6"/>
    <w:rsid w:val="00292678"/>
    <w:rsid w:val="0029277C"/>
    <w:rsid w:val="00292AE5"/>
    <w:rsid w:val="00292CBB"/>
    <w:rsid w:val="00292EE0"/>
    <w:rsid w:val="00293125"/>
    <w:rsid w:val="002932AF"/>
    <w:rsid w:val="00293729"/>
    <w:rsid w:val="0029382B"/>
    <w:rsid w:val="00293977"/>
    <w:rsid w:val="00293A25"/>
    <w:rsid w:val="00293A3D"/>
    <w:rsid w:val="00293C2D"/>
    <w:rsid w:val="00293CCB"/>
    <w:rsid w:val="00293E99"/>
    <w:rsid w:val="0029403F"/>
    <w:rsid w:val="002941B3"/>
    <w:rsid w:val="00294236"/>
    <w:rsid w:val="0029430E"/>
    <w:rsid w:val="0029441C"/>
    <w:rsid w:val="002944CC"/>
    <w:rsid w:val="00294522"/>
    <w:rsid w:val="00294648"/>
    <w:rsid w:val="002947D4"/>
    <w:rsid w:val="002948B3"/>
    <w:rsid w:val="00294933"/>
    <w:rsid w:val="002949B3"/>
    <w:rsid w:val="00294AC6"/>
    <w:rsid w:val="00294B66"/>
    <w:rsid w:val="00294F45"/>
    <w:rsid w:val="00295003"/>
    <w:rsid w:val="002952AF"/>
    <w:rsid w:val="002953D0"/>
    <w:rsid w:val="00295417"/>
    <w:rsid w:val="00295665"/>
    <w:rsid w:val="002957D4"/>
    <w:rsid w:val="00295841"/>
    <w:rsid w:val="00295871"/>
    <w:rsid w:val="00295A5E"/>
    <w:rsid w:val="00295B38"/>
    <w:rsid w:val="00295BC1"/>
    <w:rsid w:val="00295BC7"/>
    <w:rsid w:val="00295CC2"/>
    <w:rsid w:val="00295E33"/>
    <w:rsid w:val="00295EEC"/>
    <w:rsid w:val="00295F1A"/>
    <w:rsid w:val="00296386"/>
    <w:rsid w:val="0029659C"/>
    <w:rsid w:val="002965D2"/>
    <w:rsid w:val="00296802"/>
    <w:rsid w:val="002968C0"/>
    <w:rsid w:val="002969AF"/>
    <w:rsid w:val="00296AC3"/>
    <w:rsid w:val="00296B12"/>
    <w:rsid w:val="00296B74"/>
    <w:rsid w:val="00296BDE"/>
    <w:rsid w:val="00296E99"/>
    <w:rsid w:val="00296EC7"/>
    <w:rsid w:val="00296F2B"/>
    <w:rsid w:val="00296F74"/>
    <w:rsid w:val="002970F0"/>
    <w:rsid w:val="002971D3"/>
    <w:rsid w:val="002972F4"/>
    <w:rsid w:val="0029733A"/>
    <w:rsid w:val="00297423"/>
    <w:rsid w:val="00297441"/>
    <w:rsid w:val="00297548"/>
    <w:rsid w:val="0029760E"/>
    <w:rsid w:val="00297623"/>
    <w:rsid w:val="0029769E"/>
    <w:rsid w:val="00297DE8"/>
    <w:rsid w:val="00297E31"/>
    <w:rsid w:val="00297FAA"/>
    <w:rsid w:val="002A0061"/>
    <w:rsid w:val="002A03CC"/>
    <w:rsid w:val="002A08EB"/>
    <w:rsid w:val="002A09D9"/>
    <w:rsid w:val="002A0F44"/>
    <w:rsid w:val="002A0F7C"/>
    <w:rsid w:val="002A1226"/>
    <w:rsid w:val="002A129E"/>
    <w:rsid w:val="002A1359"/>
    <w:rsid w:val="002A15C2"/>
    <w:rsid w:val="002A1890"/>
    <w:rsid w:val="002A19EE"/>
    <w:rsid w:val="002A1A95"/>
    <w:rsid w:val="002A226A"/>
    <w:rsid w:val="002A2345"/>
    <w:rsid w:val="002A2383"/>
    <w:rsid w:val="002A238F"/>
    <w:rsid w:val="002A2714"/>
    <w:rsid w:val="002A2AEE"/>
    <w:rsid w:val="002A2C21"/>
    <w:rsid w:val="002A3012"/>
    <w:rsid w:val="002A3028"/>
    <w:rsid w:val="002A3075"/>
    <w:rsid w:val="002A32BC"/>
    <w:rsid w:val="002A3515"/>
    <w:rsid w:val="002A369B"/>
    <w:rsid w:val="002A3856"/>
    <w:rsid w:val="002A3E44"/>
    <w:rsid w:val="002A3F63"/>
    <w:rsid w:val="002A4051"/>
    <w:rsid w:val="002A424E"/>
    <w:rsid w:val="002A4408"/>
    <w:rsid w:val="002A4458"/>
    <w:rsid w:val="002A4963"/>
    <w:rsid w:val="002A4ACB"/>
    <w:rsid w:val="002A4BE7"/>
    <w:rsid w:val="002A4C89"/>
    <w:rsid w:val="002A4C9D"/>
    <w:rsid w:val="002A5001"/>
    <w:rsid w:val="002A50B7"/>
    <w:rsid w:val="002A51AB"/>
    <w:rsid w:val="002A5555"/>
    <w:rsid w:val="002A55D5"/>
    <w:rsid w:val="002A58BC"/>
    <w:rsid w:val="002A58E9"/>
    <w:rsid w:val="002A5943"/>
    <w:rsid w:val="002A5BD5"/>
    <w:rsid w:val="002A5BF3"/>
    <w:rsid w:val="002A5BFF"/>
    <w:rsid w:val="002A5D7C"/>
    <w:rsid w:val="002A5EDE"/>
    <w:rsid w:val="002A5F1F"/>
    <w:rsid w:val="002A5F2C"/>
    <w:rsid w:val="002A6000"/>
    <w:rsid w:val="002A619E"/>
    <w:rsid w:val="002A626D"/>
    <w:rsid w:val="002A62E4"/>
    <w:rsid w:val="002A647C"/>
    <w:rsid w:val="002A6893"/>
    <w:rsid w:val="002A697F"/>
    <w:rsid w:val="002A6A74"/>
    <w:rsid w:val="002A6BC5"/>
    <w:rsid w:val="002A6DA6"/>
    <w:rsid w:val="002A6F8D"/>
    <w:rsid w:val="002A6F91"/>
    <w:rsid w:val="002A731F"/>
    <w:rsid w:val="002A7426"/>
    <w:rsid w:val="002A743B"/>
    <w:rsid w:val="002A7454"/>
    <w:rsid w:val="002A7553"/>
    <w:rsid w:val="002A763A"/>
    <w:rsid w:val="002A7667"/>
    <w:rsid w:val="002A773E"/>
    <w:rsid w:val="002A77B4"/>
    <w:rsid w:val="002A77BF"/>
    <w:rsid w:val="002A7893"/>
    <w:rsid w:val="002A78E5"/>
    <w:rsid w:val="002A7949"/>
    <w:rsid w:val="002A7A7E"/>
    <w:rsid w:val="002A7B9B"/>
    <w:rsid w:val="002A7D65"/>
    <w:rsid w:val="002A7E58"/>
    <w:rsid w:val="002A7FAA"/>
    <w:rsid w:val="002B0582"/>
    <w:rsid w:val="002B0916"/>
    <w:rsid w:val="002B092A"/>
    <w:rsid w:val="002B0BD1"/>
    <w:rsid w:val="002B0C63"/>
    <w:rsid w:val="002B1048"/>
    <w:rsid w:val="002B10C5"/>
    <w:rsid w:val="002B119A"/>
    <w:rsid w:val="002B12E7"/>
    <w:rsid w:val="002B12FE"/>
    <w:rsid w:val="002B133A"/>
    <w:rsid w:val="002B1368"/>
    <w:rsid w:val="002B1729"/>
    <w:rsid w:val="002B1880"/>
    <w:rsid w:val="002B19F2"/>
    <w:rsid w:val="002B1AE7"/>
    <w:rsid w:val="002B1B0A"/>
    <w:rsid w:val="002B1B71"/>
    <w:rsid w:val="002B1CDD"/>
    <w:rsid w:val="002B1D93"/>
    <w:rsid w:val="002B1EBE"/>
    <w:rsid w:val="002B1F74"/>
    <w:rsid w:val="002B1FC5"/>
    <w:rsid w:val="002B20DE"/>
    <w:rsid w:val="002B20FB"/>
    <w:rsid w:val="002B2318"/>
    <w:rsid w:val="002B260B"/>
    <w:rsid w:val="002B26D7"/>
    <w:rsid w:val="002B283E"/>
    <w:rsid w:val="002B2BC3"/>
    <w:rsid w:val="002B2BFE"/>
    <w:rsid w:val="002B2D07"/>
    <w:rsid w:val="002B2D08"/>
    <w:rsid w:val="002B310C"/>
    <w:rsid w:val="002B3249"/>
    <w:rsid w:val="002B332E"/>
    <w:rsid w:val="002B3417"/>
    <w:rsid w:val="002B3575"/>
    <w:rsid w:val="002B35BB"/>
    <w:rsid w:val="002B3629"/>
    <w:rsid w:val="002B3AA9"/>
    <w:rsid w:val="002B3B48"/>
    <w:rsid w:val="002B3C36"/>
    <w:rsid w:val="002B3CEF"/>
    <w:rsid w:val="002B3D16"/>
    <w:rsid w:val="002B3D4B"/>
    <w:rsid w:val="002B3E10"/>
    <w:rsid w:val="002B3EA6"/>
    <w:rsid w:val="002B3F61"/>
    <w:rsid w:val="002B4025"/>
    <w:rsid w:val="002B417A"/>
    <w:rsid w:val="002B41C1"/>
    <w:rsid w:val="002B4335"/>
    <w:rsid w:val="002B4348"/>
    <w:rsid w:val="002B4350"/>
    <w:rsid w:val="002B46B5"/>
    <w:rsid w:val="002B48CB"/>
    <w:rsid w:val="002B4A21"/>
    <w:rsid w:val="002B4A25"/>
    <w:rsid w:val="002B4B05"/>
    <w:rsid w:val="002B4CFC"/>
    <w:rsid w:val="002B4D42"/>
    <w:rsid w:val="002B4D7B"/>
    <w:rsid w:val="002B4EB8"/>
    <w:rsid w:val="002B4EB9"/>
    <w:rsid w:val="002B4EDA"/>
    <w:rsid w:val="002B506C"/>
    <w:rsid w:val="002B58F3"/>
    <w:rsid w:val="002B5A73"/>
    <w:rsid w:val="002B5A7B"/>
    <w:rsid w:val="002B5A91"/>
    <w:rsid w:val="002B5B16"/>
    <w:rsid w:val="002B5B74"/>
    <w:rsid w:val="002B5C1E"/>
    <w:rsid w:val="002B5F36"/>
    <w:rsid w:val="002B60A7"/>
    <w:rsid w:val="002B6157"/>
    <w:rsid w:val="002B6186"/>
    <w:rsid w:val="002B63C7"/>
    <w:rsid w:val="002B6495"/>
    <w:rsid w:val="002B6593"/>
    <w:rsid w:val="002B65F4"/>
    <w:rsid w:val="002B6748"/>
    <w:rsid w:val="002B679C"/>
    <w:rsid w:val="002B6807"/>
    <w:rsid w:val="002B687E"/>
    <w:rsid w:val="002B68EE"/>
    <w:rsid w:val="002B69AE"/>
    <w:rsid w:val="002B69B3"/>
    <w:rsid w:val="002B6A09"/>
    <w:rsid w:val="002B6B69"/>
    <w:rsid w:val="002B6BCD"/>
    <w:rsid w:val="002B6C80"/>
    <w:rsid w:val="002B6CBA"/>
    <w:rsid w:val="002B6DAF"/>
    <w:rsid w:val="002B703D"/>
    <w:rsid w:val="002B7101"/>
    <w:rsid w:val="002B7601"/>
    <w:rsid w:val="002B77C4"/>
    <w:rsid w:val="002B78D8"/>
    <w:rsid w:val="002B7A4C"/>
    <w:rsid w:val="002B7CD5"/>
    <w:rsid w:val="002C0320"/>
    <w:rsid w:val="002C0570"/>
    <w:rsid w:val="002C0626"/>
    <w:rsid w:val="002C06C4"/>
    <w:rsid w:val="002C0746"/>
    <w:rsid w:val="002C0798"/>
    <w:rsid w:val="002C07D7"/>
    <w:rsid w:val="002C089C"/>
    <w:rsid w:val="002C0992"/>
    <w:rsid w:val="002C0BA0"/>
    <w:rsid w:val="002C0CFC"/>
    <w:rsid w:val="002C0D7D"/>
    <w:rsid w:val="002C0FD0"/>
    <w:rsid w:val="002C1076"/>
    <w:rsid w:val="002C10AA"/>
    <w:rsid w:val="002C1158"/>
    <w:rsid w:val="002C117B"/>
    <w:rsid w:val="002C12F8"/>
    <w:rsid w:val="002C133D"/>
    <w:rsid w:val="002C13CB"/>
    <w:rsid w:val="002C145E"/>
    <w:rsid w:val="002C1644"/>
    <w:rsid w:val="002C1651"/>
    <w:rsid w:val="002C16E1"/>
    <w:rsid w:val="002C178A"/>
    <w:rsid w:val="002C18D8"/>
    <w:rsid w:val="002C18DC"/>
    <w:rsid w:val="002C190D"/>
    <w:rsid w:val="002C1951"/>
    <w:rsid w:val="002C1964"/>
    <w:rsid w:val="002C19F6"/>
    <w:rsid w:val="002C1D90"/>
    <w:rsid w:val="002C1E86"/>
    <w:rsid w:val="002C1EE1"/>
    <w:rsid w:val="002C2017"/>
    <w:rsid w:val="002C211B"/>
    <w:rsid w:val="002C245B"/>
    <w:rsid w:val="002C2526"/>
    <w:rsid w:val="002C2853"/>
    <w:rsid w:val="002C289D"/>
    <w:rsid w:val="002C2C2A"/>
    <w:rsid w:val="002C2C5C"/>
    <w:rsid w:val="002C2E68"/>
    <w:rsid w:val="002C31D1"/>
    <w:rsid w:val="002C325E"/>
    <w:rsid w:val="002C3449"/>
    <w:rsid w:val="002C3501"/>
    <w:rsid w:val="002C35A6"/>
    <w:rsid w:val="002C35F6"/>
    <w:rsid w:val="002C367D"/>
    <w:rsid w:val="002C368E"/>
    <w:rsid w:val="002C37AC"/>
    <w:rsid w:val="002C3968"/>
    <w:rsid w:val="002C3BE0"/>
    <w:rsid w:val="002C3C9D"/>
    <w:rsid w:val="002C3FFE"/>
    <w:rsid w:val="002C406B"/>
    <w:rsid w:val="002C409E"/>
    <w:rsid w:val="002C4145"/>
    <w:rsid w:val="002C42B1"/>
    <w:rsid w:val="002C42E2"/>
    <w:rsid w:val="002C433B"/>
    <w:rsid w:val="002C4622"/>
    <w:rsid w:val="002C4870"/>
    <w:rsid w:val="002C48FB"/>
    <w:rsid w:val="002C4DA8"/>
    <w:rsid w:val="002C4ED7"/>
    <w:rsid w:val="002C4ED8"/>
    <w:rsid w:val="002C51A9"/>
    <w:rsid w:val="002C55F5"/>
    <w:rsid w:val="002C5611"/>
    <w:rsid w:val="002C5673"/>
    <w:rsid w:val="002C58A7"/>
    <w:rsid w:val="002C58FE"/>
    <w:rsid w:val="002C596D"/>
    <w:rsid w:val="002C5989"/>
    <w:rsid w:val="002C5A69"/>
    <w:rsid w:val="002C5D5E"/>
    <w:rsid w:val="002C62F1"/>
    <w:rsid w:val="002C62F7"/>
    <w:rsid w:val="002C643A"/>
    <w:rsid w:val="002C66B3"/>
    <w:rsid w:val="002C678B"/>
    <w:rsid w:val="002C67EC"/>
    <w:rsid w:val="002C694C"/>
    <w:rsid w:val="002C698D"/>
    <w:rsid w:val="002C6C37"/>
    <w:rsid w:val="002C7115"/>
    <w:rsid w:val="002C7119"/>
    <w:rsid w:val="002C7452"/>
    <w:rsid w:val="002C7470"/>
    <w:rsid w:val="002C7657"/>
    <w:rsid w:val="002C77AA"/>
    <w:rsid w:val="002C7983"/>
    <w:rsid w:val="002C79AB"/>
    <w:rsid w:val="002C7BCC"/>
    <w:rsid w:val="002C7E87"/>
    <w:rsid w:val="002C7F76"/>
    <w:rsid w:val="002C7FFA"/>
    <w:rsid w:val="002D00B2"/>
    <w:rsid w:val="002D0159"/>
    <w:rsid w:val="002D01B8"/>
    <w:rsid w:val="002D0255"/>
    <w:rsid w:val="002D0267"/>
    <w:rsid w:val="002D0306"/>
    <w:rsid w:val="002D035C"/>
    <w:rsid w:val="002D038B"/>
    <w:rsid w:val="002D051C"/>
    <w:rsid w:val="002D05BA"/>
    <w:rsid w:val="002D0629"/>
    <w:rsid w:val="002D0699"/>
    <w:rsid w:val="002D0707"/>
    <w:rsid w:val="002D0772"/>
    <w:rsid w:val="002D07CA"/>
    <w:rsid w:val="002D098F"/>
    <w:rsid w:val="002D0A5E"/>
    <w:rsid w:val="002D0ABC"/>
    <w:rsid w:val="002D0B84"/>
    <w:rsid w:val="002D0C34"/>
    <w:rsid w:val="002D0DE9"/>
    <w:rsid w:val="002D0F5F"/>
    <w:rsid w:val="002D110E"/>
    <w:rsid w:val="002D1141"/>
    <w:rsid w:val="002D12C7"/>
    <w:rsid w:val="002D1355"/>
    <w:rsid w:val="002D138A"/>
    <w:rsid w:val="002D16D9"/>
    <w:rsid w:val="002D1742"/>
    <w:rsid w:val="002D17A0"/>
    <w:rsid w:val="002D17C7"/>
    <w:rsid w:val="002D182B"/>
    <w:rsid w:val="002D188D"/>
    <w:rsid w:val="002D1905"/>
    <w:rsid w:val="002D19BD"/>
    <w:rsid w:val="002D19F1"/>
    <w:rsid w:val="002D1B22"/>
    <w:rsid w:val="002D1C4B"/>
    <w:rsid w:val="002D1D27"/>
    <w:rsid w:val="002D1E9F"/>
    <w:rsid w:val="002D1FEF"/>
    <w:rsid w:val="002D20B0"/>
    <w:rsid w:val="002D20FF"/>
    <w:rsid w:val="002D22A9"/>
    <w:rsid w:val="002D2385"/>
    <w:rsid w:val="002D2520"/>
    <w:rsid w:val="002D2643"/>
    <w:rsid w:val="002D26F5"/>
    <w:rsid w:val="002D295A"/>
    <w:rsid w:val="002D29E0"/>
    <w:rsid w:val="002D2AD7"/>
    <w:rsid w:val="002D2BA9"/>
    <w:rsid w:val="002D2DF5"/>
    <w:rsid w:val="002D303D"/>
    <w:rsid w:val="002D35B0"/>
    <w:rsid w:val="002D3619"/>
    <w:rsid w:val="002D36C6"/>
    <w:rsid w:val="002D3775"/>
    <w:rsid w:val="002D37B5"/>
    <w:rsid w:val="002D396F"/>
    <w:rsid w:val="002D3A88"/>
    <w:rsid w:val="002D3B29"/>
    <w:rsid w:val="002D3C58"/>
    <w:rsid w:val="002D3CDC"/>
    <w:rsid w:val="002D3E97"/>
    <w:rsid w:val="002D3FD4"/>
    <w:rsid w:val="002D439D"/>
    <w:rsid w:val="002D4A54"/>
    <w:rsid w:val="002D4B43"/>
    <w:rsid w:val="002D4B85"/>
    <w:rsid w:val="002D4D40"/>
    <w:rsid w:val="002D4DD4"/>
    <w:rsid w:val="002D4E0A"/>
    <w:rsid w:val="002D4E32"/>
    <w:rsid w:val="002D4F40"/>
    <w:rsid w:val="002D4F82"/>
    <w:rsid w:val="002D5051"/>
    <w:rsid w:val="002D520D"/>
    <w:rsid w:val="002D53C2"/>
    <w:rsid w:val="002D5620"/>
    <w:rsid w:val="002D579E"/>
    <w:rsid w:val="002D581B"/>
    <w:rsid w:val="002D5906"/>
    <w:rsid w:val="002D5BB3"/>
    <w:rsid w:val="002D5BBE"/>
    <w:rsid w:val="002D5D56"/>
    <w:rsid w:val="002D5FDB"/>
    <w:rsid w:val="002D6118"/>
    <w:rsid w:val="002D6155"/>
    <w:rsid w:val="002D61FB"/>
    <w:rsid w:val="002D6346"/>
    <w:rsid w:val="002D63FD"/>
    <w:rsid w:val="002D6443"/>
    <w:rsid w:val="002D64E6"/>
    <w:rsid w:val="002D65BF"/>
    <w:rsid w:val="002D67DB"/>
    <w:rsid w:val="002D6859"/>
    <w:rsid w:val="002D6C65"/>
    <w:rsid w:val="002D6C8C"/>
    <w:rsid w:val="002D6F59"/>
    <w:rsid w:val="002D6F60"/>
    <w:rsid w:val="002D72C3"/>
    <w:rsid w:val="002D7591"/>
    <w:rsid w:val="002D772A"/>
    <w:rsid w:val="002D7ADE"/>
    <w:rsid w:val="002D7B02"/>
    <w:rsid w:val="002D7B26"/>
    <w:rsid w:val="002D7C6C"/>
    <w:rsid w:val="002D7C88"/>
    <w:rsid w:val="002D7CBA"/>
    <w:rsid w:val="002D7E1C"/>
    <w:rsid w:val="002E0066"/>
    <w:rsid w:val="002E00A0"/>
    <w:rsid w:val="002E00D4"/>
    <w:rsid w:val="002E0305"/>
    <w:rsid w:val="002E04BC"/>
    <w:rsid w:val="002E0521"/>
    <w:rsid w:val="002E065B"/>
    <w:rsid w:val="002E07FE"/>
    <w:rsid w:val="002E0A96"/>
    <w:rsid w:val="002E0BDA"/>
    <w:rsid w:val="002E0C29"/>
    <w:rsid w:val="002E0C9F"/>
    <w:rsid w:val="002E0DD5"/>
    <w:rsid w:val="002E0EE5"/>
    <w:rsid w:val="002E1083"/>
    <w:rsid w:val="002E114B"/>
    <w:rsid w:val="002E1391"/>
    <w:rsid w:val="002E13B4"/>
    <w:rsid w:val="002E1838"/>
    <w:rsid w:val="002E1898"/>
    <w:rsid w:val="002E18A8"/>
    <w:rsid w:val="002E1940"/>
    <w:rsid w:val="002E1A98"/>
    <w:rsid w:val="002E1B12"/>
    <w:rsid w:val="002E1D5B"/>
    <w:rsid w:val="002E1ECC"/>
    <w:rsid w:val="002E1ED1"/>
    <w:rsid w:val="002E1FAE"/>
    <w:rsid w:val="002E21C9"/>
    <w:rsid w:val="002E22A1"/>
    <w:rsid w:val="002E2321"/>
    <w:rsid w:val="002E24CA"/>
    <w:rsid w:val="002E2515"/>
    <w:rsid w:val="002E25EC"/>
    <w:rsid w:val="002E26A7"/>
    <w:rsid w:val="002E271B"/>
    <w:rsid w:val="002E285B"/>
    <w:rsid w:val="002E2A6C"/>
    <w:rsid w:val="002E2BAA"/>
    <w:rsid w:val="002E2C70"/>
    <w:rsid w:val="002E2D7C"/>
    <w:rsid w:val="002E2EA1"/>
    <w:rsid w:val="002E31AF"/>
    <w:rsid w:val="002E3957"/>
    <w:rsid w:val="002E3AE0"/>
    <w:rsid w:val="002E3AF9"/>
    <w:rsid w:val="002E3C0E"/>
    <w:rsid w:val="002E3CC4"/>
    <w:rsid w:val="002E3F34"/>
    <w:rsid w:val="002E4061"/>
    <w:rsid w:val="002E416B"/>
    <w:rsid w:val="002E417B"/>
    <w:rsid w:val="002E41EC"/>
    <w:rsid w:val="002E4336"/>
    <w:rsid w:val="002E4552"/>
    <w:rsid w:val="002E462E"/>
    <w:rsid w:val="002E466C"/>
    <w:rsid w:val="002E4B2B"/>
    <w:rsid w:val="002E4CB8"/>
    <w:rsid w:val="002E4E70"/>
    <w:rsid w:val="002E4E97"/>
    <w:rsid w:val="002E4EDC"/>
    <w:rsid w:val="002E4F82"/>
    <w:rsid w:val="002E4FCA"/>
    <w:rsid w:val="002E52CA"/>
    <w:rsid w:val="002E5496"/>
    <w:rsid w:val="002E5702"/>
    <w:rsid w:val="002E5A2E"/>
    <w:rsid w:val="002E5B74"/>
    <w:rsid w:val="002E5B86"/>
    <w:rsid w:val="002E614A"/>
    <w:rsid w:val="002E61EF"/>
    <w:rsid w:val="002E63A3"/>
    <w:rsid w:val="002E642C"/>
    <w:rsid w:val="002E64F7"/>
    <w:rsid w:val="002E6546"/>
    <w:rsid w:val="002E6692"/>
    <w:rsid w:val="002E6785"/>
    <w:rsid w:val="002E6874"/>
    <w:rsid w:val="002E6A4F"/>
    <w:rsid w:val="002E6B59"/>
    <w:rsid w:val="002E6BFC"/>
    <w:rsid w:val="002E6E5F"/>
    <w:rsid w:val="002E6E72"/>
    <w:rsid w:val="002E706A"/>
    <w:rsid w:val="002E710E"/>
    <w:rsid w:val="002E7203"/>
    <w:rsid w:val="002E72E6"/>
    <w:rsid w:val="002E735E"/>
    <w:rsid w:val="002E78EA"/>
    <w:rsid w:val="002E7918"/>
    <w:rsid w:val="002E794A"/>
    <w:rsid w:val="002E7B6D"/>
    <w:rsid w:val="002E7DE7"/>
    <w:rsid w:val="002E8E26"/>
    <w:rsid w:val="002F0084"/>
    <w:rsid w:val="002F009C"/>
    <w:rsid w:val="002F01A9"/>
    <w:rsid w:val="002F0436"/>
    <w:rsid w:val="002F0462"/>
    <w:rsid w:val="002F04E6"/>
    <w:rsid w:val="002F05E1"/>
    <w:rsid w:val="002F0614"/>
    <w:rsid w:val="002F06A1"/>
    <w:rsid w:val="002F06AD"/>
    <w:rsid w:val="002F06FC"/>
    <w:rsid w:val="002F0895"/>
    <w:rsid w:val="002F0A4E"/>
    <w:rsid w:val="002F0B75"/>
    <w:rsid w:val="002F0BFF"/>
    <w:rsid w:val="002F0CE3"/>
    <w:rsid w:val="002F0D15"/>
    <w:rsid w:val="002F0D29"/>
    <w:rsid w:val="002F0E0A"/>
    <w:rsid w:val="002F0E31"/>
    <w:rsid w:val="002F0E4B"/>
    <w:rsid w:val="002F0F48"/>
    <w:rsid w:val="002F0F66"/>
    <w:rsid w:val="002F10C4"/>
    <w:rsid w:val="002F12E0"/>
    <w:rsid w:val="002F12F2"/>
    <w:rsid w:val="002F1411"/>
    <w:rsid w:val="002F1586"/>
    <w:rsid w:val="002F1678"/>
    <w:rsid w:val="002F17F7"/>
    <w:rsid w:val="002F18B8"/>
    <w:rsid w:val="002F1AE3"/>
    <w:rsid w:val="002F1D4E"/>
    <w:rsid w:val="002F1EA2"/>
    <w:rsid w:val="002F20BE"/>
    <w:rsid w:val="002F22B5"/>
    <w:rsid w:val="002F22BD"/>
    <w:rsid w:val="002F22CB"/>
    <w:rsid w:val="002F249C"/>
    <w:rsid w:val="002F25D6"/>
    <w:rsid w:val="002F294E"/>
    <w:rsid w:val="002F29F3"/>
    <w:rsid w:val="002F2AE5"/>
    <w:rsid w:val="002F2D9D"/>
    <w:rsid w:val="002F2DA0"/>
    <w:rsid w:val="002F2E4D"/>
    <w:rsid w:val="002F2F54"/>
    <w:rsid w:val="002F2F7C"/>
    <w:rsid w:val="002F30E2"/>
    <w:rsid w:val="002F31B4"/>
    <w:rsid w:val="002F3206"/>
    <w:rsid w:val="002F32D2"/>
    <w:rsid w:val="002F35B0"/>
    <w:rsid w:val="002F39DC"/>
    <w:rsid w:val="002F3B26"/>
    <w:rsid w:val="002F3C8C"/>
    <w:rsid w:val="002F400E"/>
    <w:rsid w:val="002F4046"/>
    <w:rsid w:val="002F4293"/>
    <w:rsid w:val="002F44C2"/>
    <w:rsid w:val="002F4635"/>
    <w:rsid w:val="002F47A5"/>
    <w:rsid w:val="002F47A6"/>
    <w:rsid w:val="002F4816"/>
    <w:rsid w:val="002F485C"/>
    <w:rsid w:val="002F4884"/>
    <w:rsid w:val="002F4B99"/>
    <w:rsid w:val="002F4E09"/>
    <w:rsid w:val="002F4E3F"/>
    <w:rsid w:val="002F4FF6"/>
    <w:rsid w:val="002F5111"/>
    <w:rsid w:val="002F51DD"/>
    <w:rsid w:val="002F5319"/>
    <w:rsid w:val="002F5362"/>
    <w:rsid w:val="002F546A"/>
    <w:rsid w:val="002F5599"/>
    <w:rsid w:val="002F55A5"/>
    <w:rsid w:val="002F56E4"/>
    <w:rsid w:val="002F58D7"/>
    <w:rsid w:val="002F590E"/>
    <w:rsid w:val="002F5993"/>
    <w:rsid w:val="002F5EE7"/>
    <w:rsid w:val="002F608E"/>
    <w:rsid w:val="002F6098"/>
    <w:rsid w:val="002F623B"/>
    <w:rsid w:val="002F64E9"/>
    <w:rsid w:val="002F671F"/>
    <w:rsid w:val="002F694C"/>
    <w:rsid w:val="002F6ACC"/>
    <w:rsid w:val="002F6AE7"/>
    <w:rsid w:val="002F6AFA"/>
    <w:rsid w:val="002F6AFD"/>
    <w:rsid w:val="002F6C32"/>
    <w:rsid w:val="002F6D1C"/>
    <w:rsid w:val="002F6D4E"/>
    <w:rsid w:val="002F6EC9"/>
    <w:rsid w:val="002F6F7C"/>
    <w:rsid w:val="002F712F"/>
    <w:rsid w:val="002F71FF"/>
    <w:rsid w:val="002F7262"/>
    <w:rsid w:val="002F7490"/>
    <w:rsid w:val="002F7669"/>
    <w:rsid w:val="002F7675"/>
    <w:rsid w:val="002F783D"/>
    <w:rsid w:val="002F78A6"/>
    <w:rsid w:val="002F7C8E"/>
    <w:rsid w:val="002F7D40"/>
    <w:rsid w:val="002F7EA7"/>
    <w:rsid w:val="002F7ED8"/>
    <w:rsid w:val="002F7F8A"/>
    <w:rsid w:val="0030001F"/>
    <w:rsid w:val="003004DE"/>
    <w:rsid w:val="00300838"/>
    <w:rsid w:val="003008EA"/>
    <w:rsid w:val="00300961"/>
    <w:rsid w:val="00300A23"/>
    <w:rsid w:val="00300A75"/>
    <w:rsid w:val="00300B71"/>
    <w:rsid w:val="00300C27"/>
    <w:rsid w:val="00300CA9"/>
    <w:rsid w:val="00300CFD"/>
    <w:rsid w:val="00300D71"/>
    <w:rsid w:val="00300E5F"/>
    <w:rsid w:val="00300F25"/>
    <w:rsid w:val="00300F47"/>
    <w:rsid w:val="0030103D"/>
    <w:rsid w:val="00301139"/>
    <w:rsid w:val="0030113F"/>
    <w:rsid w:val="0030117C"/>
    <w:rsid w:val="003011E9"/>
    <w:rsid w:val="0030121F"/>
    <w:rsid w:val="00301306"/>
    <w:rsid w:val="00301322"/>
    <w:rsid w:val="0030132E"/>
    <w:rsid w:val="0030151B"/>
    <w:rsid w:val="0030153E"/>
    <w:rsid w:val="0030176A"/>
    <w:rsid w:val="0030205D"/>
    <w:rsid w:val="00302096"/>
    <w:rsid w:val="0030225F"/>
    <w:rsid w:val="0030228E"/>
    <w:rsid w:val="00302475"/>
    <w:rsid w:val="00302C65"/>
    <w:rsid w:val="00302EE9"/>
    <w:rsid w:val="00302F42"/>
    <w:rsid w:val="00302F99"/>
    <w:rsid w:val="00303286"/>
    <w:rsid w:val="003033B4"/>
    <w:rsid w:val="003033FA"/>
    <w:rsid w:val="00303484"/>
    <w:rsid w:val="00303525"/>
    <w:rsid w:val="00303921"/>
    <w:rsid w:val="00303AEE"/>
    <w:rsid w:val="00303B09"/>
    <w:rsid w:val="00303B6C"/>
    <w:rsid w:val="00303B8A"/>
    <w:rsid w:val="00303CA3"/>
    <w:rsid w:val="003042FC"/>
    <w:rsid w:val="00304433"/>
    <w:rsid w:val="003044BF"/>
    <w:rsid w:val="0030455F"/>
    <w:rsid w:val="0030468E"/>
    <w:rsid w:val="00304728"/>
    <w:rsid w:val="0030473F"/>
    <w:rsid w:val="003047CE"/>
    <w:rsid w:val="00304A5D"/>
    <w:rsid w:val="00304B30"/>
    <w:rsid w:val="00304C83"/>
    <w:rsid w:val="00304D13"/>
    <w:rsid w:val="00304DE3"/>
    <w:rsid w:val="00304FB3"/>
    <w:rsid w:val="00305013"/>
    <w:rsid w:val="003051FA"/>
    <w:rsid w:val="0030542E"/>
    <w:rsid w:val="00305455"/>
    <w:rsid w:val="0030545F"/>
    <w:rsid w:val="0030547F"/>
    <w:rsid w:val="0030581B"/>
    <w:rsid w:val="00305833"/>
    <w:rsid w:val="00305B17"/>
    <w:rsid w:val="00305B46"/>
    <w:rsid w:val="00305D1D"/>
    <w:rsid w:val="00305E9C"/>
    <w:rsid w:val="00306148"/>
    <w:rsid w:val="0030617A"/>
    <w:rsid w:val="00306329"/>
    <w:rsid w:val="003063D0"/>
    <w:rsid w:val="00306523"/>
    <w:rsid w:val="003066AA"/>
    <w:rsid w:val="00306719"/>
    <w:rsid w:val="00306755"/>
    <w:rsid w:val="00306DE4"/>
    <w:rsid w:val="00306EF3"/>
    <w:rsid w:val="00306F1E"/>
    <w:rsid w:val="00306F56"/>
    <w:rsid w:val="00306FA9"/>
    <w:rsid w:val="003070EF"/>
    <w:rsid w:val="0030713C"/>
    <w:rsid w:val="00307143"/>
    <w:rsid w:val="0030732C"/>
    <w:rsid w:val="00307425"/>
    <w:rsid w:val="003078F2"/>
    <w:rsid w:val="00307945"/>
    <w:rsid w:val="00307986"/>
    <w:rsid w:val="00307A35"/>
    <w:rsid w:val="00307A3D"/>
    <w:rsid w:val="00307B94"/>
    <w:rsid w:val="0031001A"/>
    <w:rsid w:val="00310497"/>
    <w:rsid w:val="003105C8"/>
    <w:rsid w:val="003105D3"/>
    <w:rsid w:val="00310757"/>
    <w:rsid w:val="003108F7"/>
    <w:rsid w:val="00310B78"/>
    <w:rsid w:val="00310BF8"/>
    <w:rsid w:val="00310C00"/>
    <w:rsid w:val="00310D4A"/>
    <w:rsid w:val="00310E8D"/>
    <w:rsid w:val="00310EB0"/>
    <w:rsid w:val="00310FA2"/>
    <w:rsid w:val="00311128"/>
    <w:rsid w:val="003111CD"/>
    <w:rsid w:val="003111DB"/>
    <w:rsid w:val="00311412"/>
    <w:rsid w:val="0031155A"/>
    <w:rsid w:val="00311575"/>
    <w:rsid w:val="00311758"/>
    <w:rsid w:val="00311792"/>
    <w:rsid w:val="003119C5"/>
    <w:rsid w:val="00311A38"/>
    <w:rsid w:val="00311BCD"/>
    <w:rsid w:val="00311DB1"/>
    <w:rsid w:val="003120FD"/>
    <w:rsid w:val="003121F3"/>
    <w:rsid w:val="003123BA"/>
    <w:rsid w:val="003124A1"/>
    <w:rsid w:val="00312551"/>
    <w:rsid w:val="0031255A"/>
    <w:rsid w:val="0031260C"/>
    <w:rsid w:val="003126CB"/>
    <w:rsid w:val="003126ED"/>
    <w:rsid w:val="00312847"/>
    <w:rsid w:val="0031285B"/>
    <w:rsid w:val="003128AE"/>
    <w:rsid w:val="003128FD"/>
    <w:rsid w:val="00312A02"/>
    <w:rsid w:val="00312B04"/>
    <w:rsid w:val="00312B54"/>
    <w:rsid w:val="00312D8B"/>
    <w:rsid w:val="0031324A"/>
    <w:rsid w:val="00313359"/>
    <w:rsid w:val="00313480"/>
    <w:rsid w:val="0031356E"/>
    <w:rsid w:val="00313654"/>
    <w:rsid w:val="0031366E"/>
    <w:rsid w:val="003139BE"/>
    <w:rsid w:val="00313A6F"/>
    <w:rsid w:val="00313AEA"/>
    <w:rsid w:val="00313BA1"/>
    <w:rsid w:val="00313BD7"/>
    <w:rsid w:val="00313CDC"/>
    <w:rsid w:val="00313D7A"/>
    <w:rsid w:val="0031404B"/>
    <w:rsid w:val="003140CE"/>
    <w:rsid w:val="0031424D"/>
    <w:rsid w:val="00314502"/>
    <w:rsid w:val="0031487B"/>
    <w:rsid w:val="00314ADC"/>
    <w:rsid w:val="00314B8F"/>
    <w:rsid w:val="00314CE8"/>
    <w:rsid w:val="00314D57"/>
    <w:rsid w:val="003152B3"/>
    <w:rsid w:val="003152CC"/>
    <w:rsid w:val="003153A9"/>
    <w:rsid w:val="003154D6"/>
    <w:rsid w:val="00315696"/>
    <w:rsid w:val="003156D5"/>
    <w:rsid w:val="00315A20"/>
    <w:rsid w:val="00315AA2"/>
    <w:rsid w:val="00315B43"/>
    <w:rsid w:val="00315BE8"/>
    <w:rsid w:val="00315C24"/>
    <w:rsid w:val="00315C43"/>
    <w:rsid w:val="00315D80"/>
    <w:rsid w:val="00315E2A"/>
    <w:rsid w:val="00315E2C"/>
    <w:rsid w:val="00315E38"/>
    <w:rsid w:val="00315F94"/>
    <w:rsid w:val="00315FC8"/>
    <w:rsid w:val="00316064"/>
    <w:rsid w:val="003160AE"/>
    <w:rsid w:val="00316126"/>
    <w:rsid w:val="0031613F"/>
    <w:rsid w:val="0031627C"/>
    <w:rsid w:val="0031630D"/>
    <w:rsid w:val="00316423"/>
    <w:rsid w:val="0031656E"/>
    <w:rsid w:val="003165D2"/>
    <w:rsid w:val="0031675A"/>
    <w:rsid w:val="0031684C"/>
    <w:rsid w:val="00316AE9"/>
    <w:rsid w:val="00316CCA"/>
    <w:rsid w:val="00316DDD"/>
    <w:rsid w:val="00316E60"/>
    <w:rsid w:val="00317052"/>
    <w:rsid w:val="0031717E"/>
    <w:rsid w:val="00317216"/>
    <w:rsid w:val="0031725F"/>
    <w:rsid w:val="003172CD"/>
    <w:rsid w:val="003173FE"/>
    <w:rsid w:val="0031744D"/>
    <w:rsid w:val="003174AD"/>
    <w:rsid w:val="003174DC"/>
    <w:rsid w:val="0031751C"/>
    <w:rsid w:val="00317640"/>
    <w:rsid w:val="003177D0"/>
    <w:rsid w:val="0031785C"/>
    <w:rsid w:val="00317A17"/>
    <w:rsid w:val="00317B3E"/>
    <w:rsid w:val="00317BD5"/>
    <w:rsid w:val="00317BE2"/>
    <w:rsid w:val="00317CFD"/>
    <w:rsid w:val="00317E76"/>
    <w:rsid w:val="00317FB2"/>
    <w:rsid w:val="00320088"/>
    <w:rsid w:val="003203BC"/>
    <w:rsid w:val="0032046A"/>
    <w:rsid w:val="00320492"/>
    <w:rsid w:val="003205C3"/>
    <w:rsid w:val="003207DE"/>
    <w:rsid w:val="00320C59"/>
    <w:rsid w:val="00320D76"/>
    <w:rsid w:val="00320DA3"/>
    <w:rsid w:val="00320E4E"/>
    <w:rsid w:val="00320ECA"/>
    <w:rsid w:val="0032108E"/>
    <w:rsid w:val="003210EB"/>
    <w:rsid w:val="003217C9"/>
    <w:rsid w:val="003218A6"/>
    <w:rsid w:val="00321988"/>
    <w:rsid w:val="00321E94"/>
    <w:rsid w:val="00321F70"/>
    <w:rsid w:val="00322049"/>
    <w:rsid w:val="0032206A"/>
    <w:rsid w:val="0032220E"/>
    <w:rsid w:val="00322455"/>
    <w:rsid w:val="00322740"/>
    <w:rsid w:val="00322786"/>
    <w:rsid w:val="003228BD"/>
    <w:rsid w:val="0032296F"/>
    <w:rsid w:val="00322BDB"/>
    <w:rsid w:val="00322C32"/>
    <w:rsid w:val="00322D7F"/>
    <w:rsid w:val="00322E8D"/>
    <w:rsid w:val="00323047"/>
    <w:rsid w:val="00323298"/>
    <w:rsid w:val="003232DD"/>
    <w:rsid w:val="003233AD"/>
    <w:rsid w:val="003234EB"/>
    <w:rsid w:val="00323505"/>
    <w:rsid w:val="00323566"/>
    <w:rsid w:val="003235C0"/>
    <w:rsid w:val="003235C6"/>
    <w:rsid w:val="00323645"/>
    <w:rsid w:val="003236D8"/>
    <w:rsid w:val="00323701"/>
    <w:rsid w:val="00323793"/>
    <w:rsid w:val="00323A37"/>
    <w:rsid w:val="00323BC9"/>
    <w:rsid w:val="00323C9A"/>
    <w:rsid w:val="00323E7D"/>
    <w:rsid w:val="00323E8E"/>
    <w:rsid w:val="00323EC2"/>
    <w:rsid w:val="00324105"/>
    <w:rsid w:val="00324193"/>
    <w:rsid w:val="00324452"/>
    <w:rsid w:val="003245FE"/>
    <w:rsid w:val="0032478B"/>
    <w:rsid w:val="0032488C"/>
    <w:rsid w:val="0032495B"/>
    <w:rsid w:val="00324C66"/>
    <w:rsid w:val="003250AB"/>
    <w:rsid w:val="0032530C"/>
    <w:rsid w:val="0032545C"/>
    <w:rsid w:val="0032556A"/>
    <w:rsid w:val="00325604"/>
    <w:rsid w:val="003256A0"/>
    <w:rsid w:val="003256F4"/>
    <w:rsid w:val="00325756"/>
    <w:rsid w:val="0032577E"/>
    <w:rsid w:val="003257E7"/>
    <w:rsid w:val="003259D5"/>
    <w:rsid w:val="00325B18"/>
    <w:rsid w:val="00325C9F"/>
    <w:rsid w:val="00325CE3"/>
    <w:rsid w:val="00325D32"/>
    <w:rsid w:val="00325F1F"/>
    <w:rsid w:val="00325FCD"/>
    <w:rsid w:val="003261EE"/>
    <w:rsid w:val="003261F8"/>
    <w:rsid w:val="0032620C"/>
    <w:rsid w:val="003263EB"/>
    <w:rsid w:val="00326438"/>
    <w:rsid w:val="0032657D"/>
    <w:rsid w:val="00326809"/>
    <w:rsid w:val="003269BF"/>
    <w:rsid w:val="003269F6"/>
    <w:rsid w:val="00326A77"/>
    <w:rsid w:val="00326A81"/>
    <w:rsid w:val="00326BE1"/>
    <w:rsid w:val="00326C01"/>
    <w:rsid w:val="003270C6"/>
    <w:rsid w:val="003271A3"/>
    <w:rsid w:val="003271EF"/>
    <w:rsid w:val="0032733A"/>
    <w:rsid w:val="003273BE"/>
    <w:rsid w:val="003275D8"/>
    <w:rsid w:val="003276BD"/>
    <w:rsid w:val="00327806"/>
    <w:rsid w:val="0032799D"/>
    <w:rsid w:val="00327A26"/>
    <w:rsid w:val="00327A30"/>
    <w:rsid w:val="00327AB4"/>
    <w:rsid w:val="00327AF7"/>
    <w:rsid w:val="00327B4F"/>
    <w:rsid w:val="00327CC9"/>
    <w:rsid w:val="00327CDB"/>
    <w:rsid w:val="00327F0D"/>
    <w:rsid w:val="00327F63"/>
    <w:rsid w:val="00327F9A"/>
    <w:rsid w:val="00327FA6"/>
    <w:rsid w:val="003300F2"/>
    <w:rsid w:val="003301B2"/>
    <w:rsid w:val="003303CC"/>
    <w:rsid w:val="00330430"/>
    <w:rsid w:val="00330447"/>
    <w:rsid w:val="0033050F"/>
    <w:rsid w:val="003306F6"/>
    <w:rsid w:val="0033092C"/>
    <w:rsid w:val="003309DF"/>
    <w:rsid w:val="00330A57"/>
    <w:rsid w:val="00330A62"/>
    <w:rsid w:val="00330B03"/>
    <w:rsid w:val="00330CAF"/>
    <w:rsid w:val="003312DE"/>
    <w:rsid w:val="003314C4"/>
    <w:rsid w:val="00331660"/>
    <w:rsid w:val="00331727"/>
    <w:rsid w:val="00331A01"/>
    <w:rsid w:val="00331B78"/>
    <w:rsid w:val="00331CB3"/>
    <w:rsid w:val="00331DEC"/>
    <w:rsid w:val="00332167"/>
    <w:rsid w:val="003321FA"/>
    <w:rsid w:val="00332812"/>
    <w:rsid w:val="00332C2C"/>
    <w:rsid w:val="00332D70"/>
    <w:rsid w:val="00332DE6"/>
    <w:rsid w:val="00332E7E"/>
    <w:rsid w:val="00332E91"/>
    <w:rsid w:val="00332F7A"/>
    <w:rsid w:val="00333044"/>
    <w:rsid w:val="00333077"/>
    <w:rsid w:val="003330E3"/>
    <w:rsid w:val="0033312A"/>
    <w:rsid w:val="00333192"/>
    <w:rsid w:val="0033320C"/>
    <w:rsid w:val="003332D6"/>
    <w:rsid w:val="003333BE"/>
    <w:rsid w:val="003336C2"/>
    <w:rsid w:val="00333701"/>
    <w:rsid w:val="0033373F"/>
    <w:rsid w:val="00333761"/>
    <w:rsid w:val="00333765"/>
    <w:rsid w:val="003337B4"/>
    <w:rsid w:val="0033387B"/>
    <w:rsid w:val="00333940"/>
    <w:rsid w:val="00333A6F"/>
    <w:rsid w:val="00333A7E"/>
    <w:rsid w:val="00333CC7"/>
    <w:rsid w:val="00333DDD"/>
    <w:rsid w:val="00333E4B"/>
    <w:rsid w:val="00333FA8"/>
    <w:rsid w:val="00334074"/>
    <w:rsid w:val="003340FD"/>
    <w:rsid w:val="003342F8"/>
    <w:rsid w:val="00334312"/>
    <w:rsid w:val="0033438B"/>
    <w:rsid w:val="0033444C"/>
    <w:rsid w:val="0033452E"/>
    <w:rsid w:val="0033456B"/>
    <w:rsid w:val="00334607"/>
    <w:rsid w:val="003346F8"/>
    <w:rsid w:val="00334718"/>
    <w:rsid w:val="0033489E"/>
    <w:rsid w:val="00334E16"/>
    <w:rsid w:val="00334ECC"/>
    <w:rsid w:val="00334F0C"/>
    <w:rsid w:val="00334F1C"/>
    <w:rsid w:val="00334F35"/>
    <w:rsid w:val="00334F87"/>
    <w:rsid w:val="003350B7"/>
    <w:rsid w:val="003351C6"/>
    <w:rsid w:val="00335255"/>
    <w:rsid w:val="0033528C"/>
    <w:rsid w:val="00335512"/>
    <w:rsid w:val="003356B0"/>
    <w:rsid w:val="003356C7"/>
    <w:rsid w:val="00335782"/>
    <w:rsid w:val="0033586E"/>
    <w:rsid w:val="003358A5"/>
    <w:rsid w:val="003358B3"/>
    <w:rsid w:val="00335A37"/>
    <w:rsid w:val="00335AE3"/>
    <w:rsid w:val="00335C88"/>
    <w:rsid w:val="00335EE2"/>
    <w:rsid w:val="00335FD1"/>
    <w:rsid w:val="0033628A"/>
    <w:rsid w:val="003362D4"/>
    <w:rsid w:val="003362E2"/>
    <w:rsid w:val="003363B9"/>
    <w:rsid w:val="0033644F"/>
    <w:rsid w:val="00336454"/>
    <w:rsid w:val="00336455"/>
    <w:rsid w:val="00336A20"/>
    <w:rsid w:val="00336AD4"/>
    <w:rsid w:val="00336AEA"/>
    <w:rsid w:val="00336C71"/>
    <w:rsid w:val="00336F25"/>
    <w:rsid w:val="00336FFB"/>
    <w:rsid w:val="00337084"/>
    <w:rsid w:val="003370D7"/>
    <w:rsid w:val="00337118"/>
    <w:rsid w:val="0033725A"/>
    <w:rsid w:val="00337287"/>
    <w:rsid w:val="003372B1"/>
    <w:rsid w:val="003374AC"/>
    <w:rsid w:val="003374AE"/>
    <w:rsid w:val="003374CE"/>
    <w:rsid w:val="00337691"/>
    <w:rsid w:val="00337A14"/>
    <w:rsid w:val="00337D25"/>
    <w:rsid w:val="00337D84"/>
    <w:rsid w:val="00337DC7"/>
    <w:rsid w:val="00337FBE"/>
    <w:rsid w:val="00337FFD"/>
    <w:rsid w:val="003400C2"/>
    <w:rsid w:val="00340408"/>
    <w:rsid w:val="00340674"/>
    <w:rsid w:val="003407F7"/>
    <w:rsid w:val="00340A87"/>
    <w:rsid w:val="00340AEE"/>
    <w:rsid w:val="00340AF9"/>
    <w:rsid w:val="00340C82"/>
    <w:rsid w:val="00340D58"/>
    <w:rsid w:val="00340DC2"/>
    <w:rsid w:val="00340ED6"/>
    <w:rsid w:val="00340FE9"/>
    <w:rsid w:val="00341022"/>
    <w:rsid w:val="00341148"/>
    <w:rsid w:val="00341220"/>
    <w:rsid w:val="0034132E"/>
    <w:rsid w:val="00341797"/>
    <w:rsid w:val="003417E9"/>
    <w:rsid w:val="003417EE"/>
    <w:rsid w:val="0034188C"/>
    <w:rsid w:val="0034192C"/>
    <w:rsid w:val="0034198B"/>
    <w:rsid w:val="00341A1A"/>
    <w:rsid w:val="00341A6F"/>
    <w:rsid w:val="00341B39"/>
    <w:rsid w:val="00341C36"/>
    <w:rsid w:val="00341E1B"/>
    <w:rsid w:val="00341E2C"/>
    <w:rsid w:val="00341FB2"/>
    <w:rsid w:val="00342152"/>
    <w:rsid w:val="00342394"/>
    <w:rsid w:val="00342649"/>
    <w:rsid w:val="003426DC"/>
    <w:rsid w:val="003426EE"/>
    <w:rsid w:val="00342741"/>
    <w:rsid w:val="0034288D"/>
    <w:rsid w:val="00342A76"/>
    <w:rsid w:val="00342AC6"/>
    <w:rsid w:val="00342C91"/>
    <w:rsid w:val="00342DC1"/>
    <w:rsid w:val="00342EFC"/>
    <w:rsid w:val="00342F5B"/>
    <w:rsid w:val="003430F4"/>
    <w:rsid w:val="0034312C"/>
    <w:rsid w:val="00343163"/>
    <w:rsid w:val="00343269"/>
    <w:rsid w:val="0034329B"/>
    <w:rsid w:val="00343364"/>
    <w:rsid w:val="003434EE"/>
    <w:rsid w:val="003436C4"/>
    <w:rsid w:val="003437A5"/>
    <w:rsid w:val="003437D6"/>
    <w:rsid w:val="00343927"/>
    <w:rsid w:val="00343A53"/>
    <w:rsid w:val="00343BF2"/>
    <w:rsid w:val="00343C2F"/>
    <w:rsid w:val="00343C58"/>
    <w:rsid w:val="00343D26"/>
    <w:rsid w:val="00343DD2"/>
    <w:rsid w:val="00344012"/>
    <w:rsid w:val="00344034"/>
    <w:rsid w:val="00344135"/>
    <w:rsid w:val="00344197"/>
    <w:rsid w:val="003441A8"/>
    <w:rsid w:val="003442FC"/>
    <w:rsid w:val="0034437E"/>
    <w:rsid w:val="00344630"/>
    <w:rsid w:val="003446E3"/>
    <w:rsid w:val="0034479A"/>
    <w:rsid w:val="003449EF"/>
    <w:rsid w:val="00344A37"/>
    <w:rsid w:val="00344A73"/>
    <w:rsid w:val="00344A7C"/>
    <w:rsid w:val="00344DE4"/>
    <w:rsid w:val="00344F2A"/>
    <w:rsid w:val="00344FD3"/>
    <w:rsid w:val="00344FEC"/>
    <w:rsid w:val="00345329"/>
    <w:rsid w:val="0034544F"/>
    <w:rsid w:val="00345491"/>
    <w:rsid w:val="003454D4"/>
    <w:rsid w:val="00345730"/>
    <w:rsid w:val="00345AC1"/>
    <w:rsid w:val="00345AD8"/>
    <w:rsid w:val="00345DC1"/>
    <w:rsid w:val="00345EB3"/>
    <w:rsid w:val="00345FE3"/>
    <w:rsid w:val="00346200"/>
    <w:rsid w:val="00346311"/>
    <w:rsid w:val="003463A3"/>
    <w:rsid w:val="00346518"/>
    <w:rsid w:val="003465FE"/>
    <w:rsid w:val="00346611"/>
    <w:rsid w:val="003467A2"/>
    <w:rsid w:val="003467D9"/>
    <w:rsid w:val="00346900"/>
    <w:rsid w:val="003469C9"/>
    <w:rsid w:val="00347189"/>
    <w:rsid w:val="0034718E"/>
    <w:rsid w:val="003471EA"/>
    <w:rsid w:val="00347229"/>
    <w:rsid w:val="00347236"/>
    <w:rsid w:val="0034730A"/>
    <w:rsid w:val="00347344"/>
    <w:rsid w:val="00347472"/>
    <w:rsid w:val="00347594"/>
    <w:rsid w:val="0034769B"/>
    <w:rsid w:val="003476C1"/>
    <w:rsid w:val="00347706"/>
    <w:rsid w:val="00347769"/>
    <w:rsid w:val="003477B8"/>
    <w:rsid w:val="003477CD"/>
    <w:rsid w:val="003478BA"/>
    <w:rsid w:val="00347A2E"/>
    <w:rsid w:val="00347B06"/>
    <w:rsid w:val="00347CCB"/>
    <w:rsid w:val="00347D22"/>
    <w:rsid w:val="00347DB5"/>
    <w:rsid w:val="00347E3C"/>
    <w:rsid w:val="00347E6C"/>
    <w:rsid w:val="00347EE1"/>
    <w:rsid w:val="00350039"/>
    <w:rsid w:val="003502D4"/>
    <w:rsid w:val="003502F5"/>
    <w:rsid w:val="003504D8"/>
    <w:rsid w:val="003504DB"/>
    <w:rsid w:val="00350603"/>
    <w:rsid w:val="003506A0"/>
    <w:rsid w:val="00350779"/>
    <w:rsid w:val="00350C3F"/>
    <w:rsid w:val="00350CE4"/>
    <w:rsid w:val="00350EF5"/>
    <w:rsid w:val="00350FD6"/>
    <w:rsid w:val="003511AC"/>
    <w:rsid w:val="00351255"/>
    <w:rsid w:val="00351550"/>
    <w:rsid w:val="00351658"/>
    <w:rsid w:val="003517F7"/>
    <w:rsid w:val="00351AB8"/>
    <w:rsid w:val="00351AC1"/>
    <w:rsid w:val="00351CD5"/>
    <w:rsid w:val="00351D0B"/>
    <w:rsid w:val="0035230E"/>
    <w:rsid w:val="003526AF"/>
    <w:rsid w:val="00352897"/>
    <w:rsid w:val="003529E9"/>
    <w:rsid w:val="00352A04"/>
    <w:rsid w:val="00352A94"/>
    <w:rsid w:val="00352BE7"/>
    <w:rsid w:val="00352C26"/>
    <w:rsid w:val="00352E06"/>
    <w:rsid w:val="00353117"/>
    <w:rsid w:val="00353357"/>
    <w:rsid w:val="003534EE"/>
    <w:rsid w:val="00353532"/>
    <w:rsid w:val="003535D3"/>
    <w:rsid w:val="00353763"/>
    <w:rsid w:val="00353841"/>
    <w:rsid w:val="003539E9"/>
    <w:rsid w:val="00353A0B"/>
    <w:rsid w:val="00353CD9"/>
    <w:rsid w:val="00353CFB"/>
    <w:rsid w:val="00353D2F"/>
    <w:rsid w:val="00353D98"/>
    <w:rsid w:val="00353DC7"/>
    <w:rsid w:val="00353E49"/>
    <w:rsid w:val="00353F9F"/>
    <w:rsid w:val="0035421D"/>
    <w:rsid w:val="003542DD"/>
    <w:rsid w:val="0035431C"/>
    <w:rsid w:val="00354446"/>
    <w:rsid w:val="00354746"/>
    <w:rsid w:val="00354B55"/>
    <w:rsid w:val="00354BCF"/>
    <w:rsid w:val="00354DE5"/>
    <w:rsid w:val="00354E68"/>
    <w:rsid w:val="00354FDF"/>
    <w:rsid w:val="00355146"/>
    <w:rsid w:val="00355351"/>
    <w:rsid w:val="0035536D"/>
    <w:rsid w:val="00355554"/>
    <w:rsid w:val="00355624"/>
    <w:rsid w:val="00355848"/>
    <w:rsid w:val="003558D7"/>
    <w:rsid w:val="0035590E"/>
    <w:rsid w:val="00355C12"/>
    <w:rsid w:val="00355F8F"/>
    <w:rsid w:val="00355F9C"/>
    <w:rsid w:val="00356226"/>
    <w:rsid w:val="00356297"/>
    <w:rsid w:val="003562D0"/>
    <w:rsid w:val="003562FB"/>
    <w:rsid w:val="00356307"/>
    <w:rsid w:val="00356443"/>
    <w:rsid w:val="0035653D"/>
    <w:rsid w:val="003566AC"/>
    <w:rsid w:val="003566E1"/>
    <w:rsid w:val="003566FE"/>
    <w:rsid w:val="00356718"/>
    <w:rsid w:val="003567E7"/>
    <w:rsid w:val="0035686F"/>
    <w:rsid w:val="0035695D"/>
    <w:rsid w:val="00356A56"/>
    <w:rsid w:val="00356DC8"/>
    <w:rsid w:val="00357574"/>
    <w:rsid w:val="0035789B"/>
    <w:rsid w:val="00357A1C"/>
    <w:rsid w:val="00357CE6"/>
    <w:rsid w:val="00357F47"/>
    <w:rsid w:val="0036016D"/>
    <w:rsid w:val="003605BE"/>
    <w:rsid w:val="00360681"/>
    <w:rsid w:val="003607BE"/>
    <w:rsid w:val="00360939"/>
    <w:rsid w:val="0036099E"/>
    <w:rsid w:val="00360A60"/>
    <w:rsid w:val="00360AA5"/>
    <w:rsid w:val="00360C5B"/>
    <w:rsid w:val="00360CCF"/>
    <w:rsid w:val="00360DAB"/>
    <w:rsid w:val="00360DF0"/>
    <w:rsid w:val="00361064"/>
    <w:rsid w:val="00361096"/>
    <w:rsid w:val="00361266"/>
    <w:rsid w:val="0036126F"/>
    <w:rsid w:val="0036132D"/>
    <w:rsid w:val="0036147F"/>
    <w:rsid w:val="00361484"/>
    <w:rsid w:val="003617A4"/>
    <w:rsid w:val="0036182F"/>
    <w:rsid w:val="0036187E"/>
    <w:rsid w:val="003619A0"/>
    <w:rsid w:val="00361A34"/>
    <w:rsid w:val="00361B4E"/>
    <w:rsid w:val="00361C2C"/>
    <w:rsid w:val="00361C36"/>
    <w:rsid w:val="00361CB8"/>
    <w:rsid w:val="00361CD4"/>
    <w:rsid w:val="00361D81"/>
    <w:rsid w:val="00361E2C"/>
    <w:rsid w:val="00362088"/>
    <w:rsid w:val="00362281"/>
    <w:rsid w:val="0036228D"/>
    <w:rsid w:val="0036228F"/>
    <w:rsid w:val="00362300"/>
    <w:rsid w:val="00362395"/>
    <w:rsid w:val="0036255E"/>
    <w:rsid w:val="00362892"/>
    <w:rsid w:val="003628CF"/>
    <w:rsid w:val="003628D5"/>
    <w:rsid w:val="00362C6D"/>
    <w:rsid w:val="00362D52"/>
    <w:rsid w:val="00362E3B"/>
    <w:rsid w:val="00362E90"/>
    <w:rsid w:val="00362FEA"/>
    <w:rsid w:val="003632B4"/>
    <w:rsid w:val="003632BB"/>
    <w:rsid w:val="00363366"/>
    <w:rsid w:val="00363431"/>
    <w:rsid w:val="00363477"/>
    <w:rsid w:val="00363552"/>
    <w:rsid w:val="00363632"/>
    <w:rsid w:val="00363980"/>
    <w:rsid w:val="00363A06"/>
    <w:rsid w:val="00363AB5"/>
    <w:rsid w:val="00363C55"/>
    <w:rsid w:val="00363D47"/>
    <w:rsid w:val="00363EE9"/>
    <w:rsid w:val="00363F05"/>
    <w:rsid w:val="00364028"/>
    <w:rsid w:val="003641C4"/>
    <w:rsid w:val="0036435F"/>
    <w:rsid w:val="0036449E"/>
    <w:rsid w:val="0036464D"/>
    <w:rsid w:val="0036464E"/>
    <w:rsid w:val="00364738"/>
    <w:rsid w:val="003647AB"/>
    <w:rsid w:val="00364885"/>
    <w:rsid w:val="003648F5"/>
    <w:rsid w:val="00364AFE"/>
    <w:rsid w:val="00364BDB"/>
    <w:rsid w:val="00364BF7"/>
    <w:rsid w:val="00364C15"/>
    <w:rsid w:val="00364C88"/>
    <w:rsid w:val="00364EB3"/>
    <w:rsid w:val="00365038"/>
    <w:rsid w:val="00365054"/>
    <w:rsid w:val="0036511F"/>
    <w:rsid w:val="00365187"/>
    <w:rsid w:val="00365253"/>
    <w:rsid w:val="00365291"/>
    <w:rsid w:val="0036559A"/>
    <w:rsid w:val="00365753"/>
    <w:rsid w:val="003658A1"/>
    <w:rsid w:val="003658F2"/>
    <w:rsid w:val="00365993"/>
    <w:rsid w:val="003659CF"/>
    <w:rsid w:val="00365A98"/>
    <w:rsid w:val="00365AAA"/>
    <w:rsid w:val="00365B25"/>
    <w:rsid w:val="00365DF0"/>
    <w:rsid w:val="00365E38"/>
    <w:rsid w:val="00365F62"/>
    <w:rsid w:val="00366262"/>
    <w:rsid w:val="003662E1"/>
    <w:rsid w:val="0036638D"/>
    <w:rsid w:val="0036649D"/>
    <w:rsid w:val="00366557"/>
    <w:rsid w:val="0036670E"/>
    <w:rsid w:val="0036684C"/>
    <w:rsid w:val="00366925"/>
    <w:rsid w:val="00366EE7"/>
    <w:rsid w:val="00367220"/>
    <w:rsid w:val="003674C2"/>
    <w:rsid w:val="0036755F"/>
    <w:rsid w:val="0036758A"/>
    <w:rsid w:val="00367614"/>
    <w:rsid w:val="0036765B"/>
    <w:rsid w:val="00367AA5"/>
    <w:rsid w:val="00367B4E"/>
    <w:rsid w:val="00367BC3"/>
    <w:rsid w:val="00367C42"/>
    <w:rsid w:val="00367EC5"/>
    <w:rsid w:val="00367F5D"/>
    <w:rsid w:val="00370082"/>
    <w:rsid w:val="00370274"/>
    <w:rsid w:val="003702CD"/>
    <w:rsid w:val="00370334"/>
    <w:rsid w:val="0037034C"/>
    <w:rsid w:val="00370368"/>
    <w:rsid w:val="003703DC"/>
    <w:rsid w:val="00370533"/>
    <w:rsid w:val="00370699"/>
    <w:rsid w:val="003706C1"/>
    <w:rsid w:val="003707EF"/>
    <w:rsid w:val="0037087C"/>
    <w:rsid w:val="003708DC"/>
    <w:rsid w:val="00370900"/>
    <w:rsid w:val="00370B1A"/>
    <w:rsid w:val="00370B6C"/>
    <w:rsid w:val="00370D6C"/>
    <w:rsid w:val="00370E29"/>
    <w:rsid w:val="00370ED8"/>
    <w:rsid w:val="00370F74"/>
    <w:rsid w:val="00370F77"/>
    <w:rsid w:val="00370FAA"/>
    <w:rsid w:val="00370FE9"/>
    <w:rsid w:val="003712CA"/>
    <w:rsid w:val="00371376"/>
    <w:rsid w:val="00371477"/>
    <w:rsid w:val="00371478"/>
    <w:rsid w:val="00371582"/>
    <w:rsid w:val="003715AA"/>
    <w:rsid w:val="00371A7B"/>
    <w:rsid w:val="00371CFC"/>
    <w:rsid w:val="00371DD8"/>
    <w:rsid w:val="00371FBB"/>
    <w:rsid w:val="00371FDF"/>
    <w:rsid w:val="003723E3"/>
    <w:rsid w:val="003723FE"/>
    <w:rsid w:val="003724BD"/>
    <w:rsid w:val="003726C3"/>
    <w:rsid w:val="00372867"/>
    <w:rsid w:val="0037289B"/>
    <w:rsid w:val="003728F7"/>
    <w:rsid w:val="003729C0"/>
    <w:rsid w:val="00372A12"/>
    <w:rsid w:val="00372AF2"/>
    <w:rsid w:val="00372DF0"/>
    <w:rsid w:val="00372FC3"/>
    <w:rsid w:val="003731E2"/>
    <w:rsid w:val="00373298"/>
    <w:rsid w:val="003732DC"/>
    <w:rsid w:val="00373364"/>
    <w:rsid w:val="003733D5"/>
    <w:rsid w:val="00373501"/>
    <w:rsid w:val="0037367E"/>
    <w:rsid w:val="003736E4"/>
    <w:rsid w:val="00373712"/>
    <w:rsid w:val="00373787"/>
    <w:rsid w:val="003737C8"/>
    <w:rsid w:val="003739B2"/>
    <w:rsid w:val="003739C2"/>
    <w:rsid w:val="00373A11"/>
    <w:rsid w:val="00373A63"/>
    <w:rsid w:val="00373D98"/>
    <w:rsid w:val="00374094"/>
    <w:rsid w:val="003741EC"/>
    <w:rsid w:val="00374636"/>
    <w:rsid w:val="00374646"/>
    <w:rsid w:val="00374797"/>
    <w:rsid w:val="003747CB"/>
    <w:rsid w:val="003747EC"/>
    <w:rsid w:val="003748B6"/>
    <w:rsid w:val="00374978"/>
    <w:rsid w:val="00374B4C"/>
    <w:rsid w:val="00374DEC"/>
    <w:rsid w:val="00374E23"/>
    <w:rsid w:val="0037508B"/>
    <w:rsid w:val="003750DA"/>
    <w:rsid w:val="003753D9"/>
    <w:rsid w:val="003753E0"/>
    <w:rsid w:val="00375471"/>
    <w:rsid w:val="00375533"/>
    <w:rsid w:val="00375565"/>
    <w:rsid w:val="00375584"/>
    <w:rsid w:val="00375602"/>
    <w:rsid w:val="00375824"/>
    <w:rsid w:val="00375833"/>
    <w:rsid w:val="003759D6"/>
    <w:rsid w:val="003759DE"/>
    <w:rsid w:val="00375A05"/>
    <w:rsid w:val="00375E11"/>
    <w:rsid w:val="00375E47"/>
    <w:rsid w:val="00375F87"/>
    <w:rsid w:val="00376140"/>
    <w:rsid w:val="003761F7"/>
    <w:rsid w:val="0037635A"/>
    <w:rsid w:val="00376408"/>
    <w:rsid w:val="00376412"/>
    <w:rsid w:val="00376693"/>
    <w:rsid w:val="003767CE"/>
    <w:rsid w:val="00376A53"/>
    <w:rsid w:val="00376AB0"/>
    <w:rsid w:val="00376ACB"/>
    <w:rsid w:val="00376CDE"/>
    <w:rsid w:val="00376E43"/>
    <w:rsid w:val="00376E67"/>
    <w:rsid w:val="003770FE"/>
    <w:rsid w:val="00377466"/>
    <w:rsid w:val="003774F3"/>
    <w:rsid w:val="00377559"/>
    <w:rsid w:val="003776E3"/>
    <w:rsid w:val="00377803"/>
    <w:rsid w:val="00377A47"/>
    <w:rsid w:val="00377A5A"/>
    <w:rsid w:val="00377B07"/>
    <w:rsid w:val="00377CC6"/>
    <w:rsid w:val="00377CDD"/>
    <w:rsid w:val="00377E01"/>
    <w:rsid w:val="00377E19"/>
    <w:rsid w:val="0037DB28"/>
    <w:rsid w:val="00380238"/>
    <w:rsid w:val="00380510"/>
    <w:rsid w:val="003805EC"/>
    <w:rsid w:val="00380659"/>
    <w:rsid w:val="00380869"/>
    <w:rsid w:val="00380ABD"/>
    <w:rsid w:val="00380B88"/>
    <w:rsid w:val="00380C3D"/>
    <w:rsid w:val="00380C5E"/>
    <w:rsid w:val="00380CAA"/>
    <w:rsid w:val="00380E2E"/>
    <w:rsid w:val="00380E91"/>
    <w:rsid w:val="00380F27"/>
    <w:rsid w:val="00380F55"/>
    <w:rsid w:val="00380FB9"/>
    <w:rsid w:val="003810F6"/>
    <w:rsid w:val="003813C7"/>
    <w:rsid w:val="00381448"/>
    <w:rsid w:val="003814B3"/>
    <w:rsid w:val="0038154E"/>
    <w:rsid w:val="0038156D"/>
    <w:rsid w:val="003816D0"/>
    <w:rsid w:val="00381890"/>
    <w:rsid w:val="00381C3B"/>
    <w:rsid w:val="00381C97"/>
    <w:rsid w:val="00381C9E"/>
    <w:rsid w:val="0038219A"/>
    <w:rsid w:val="00382400"/>
    <w:rsid w:val="00382420"/>
    <w:rsid w:val="003825F0"/>
    <w:rsid w:val="0038264A"/>
    <w:rsid w:val="0038279B"/>
    <w:rsid w:val="003827E1"/>
    <w:rsid w:val="003827EC"/>
    <w:rsid w:val="003828C4"/>
    <w:rsid w:val="00382E25"/>
    <w:rsid w:val="00382F9A"/>
    <w:rsid w:val="00382FB5"/>
    <w:rsid w:val="00382FDE"/>
    <w:rsid w:val="00383002"/>
    <w:rsid w:val="00383026"/>
    <w:rsid w:val="0038308F"/>
    <w:rsid w:val="00383211"/>
    <w:rsid w:val="0038321F"/>
    <w:rsid w:val="0038326C"/>
    <w:rsid w:val="003832CD"/>
    <w:rsid w:val="00383450"/>
    <w:rsid w:val="003835BB"/>
    <w:rsid w:val="00383619"/>
    <w:rsid w:val="00383697"/>
    <w:rsid w:val="0038375A"/>
    <w:rsid w:val="003838E6"/>
    <w:rsid w:val="00383A02"/>
    <w:rsid w:val="00383CB5"/>
    <w:rsid w:val="00383D8F"/>
    <w:rsid w:val="00383EA1"/>
    <w:rsid w:val="00383FAE"/>
    <w:rsid w:val="0038425B"/>
    <w:rsid w:val="00384364"/>
    <w:rsid w:val="0038438D"/>
    <w:rsid w:val="00384554"/>
    <w:rsid w:val="00384691"/>
    <w:rsid w:val="003846B7"/>
    <w:rsid w:val="003847B4"/>
    <w:rsid w:val="003847D1"/>
    <w:rsid w:val="00384A0C"/>
    <w:rsid w:val="00384A33"/>
    <w:rsid w:val="00384A39"/>
    <w:rsid w:val="00384AF8"/>
    <w:rsid w:val="00384B8A"/>
    <w:rsid w:val="00384BD0"/>
    <w:rsid w:val="00384D15"/>
    <w:rsid w:val="0038514B"/>
    <w:rsid w:val="003851A3"/>
    <w:rsid w:val="00385253"/>
    <w:rsid w:val="00385349"/>
    <w:rsid w:val="003853D2"/>
    <w:rsid w:val="003853DD"/>
    <w:rsid w:val="00385416"/>
    <w:rsid w:val="00385487"/>
    <w:rsid w:val="00385516"/>
    <w:rsid w:val="0038552E"/>
    <w:rsid w:val="0038555E"/>
    <w:rsid w:val="00385674"/>
    <w:rsid w:val="00385719"/>
    <w:rsid w:val="003858B6"/>
    <w:rsid w:val="003859BD"/>
    <w:rsid w:val="00385D5B"/>
    <w:rsid w:val="00385E3F"/>
    <w:rsid w:val="00385F28"/>
    <w:rsid w:val="003860E1"/>
    <w:rsid w:val="003860F8"/>
    <w:rsid w:val="003862DC"/>
    <w:rsid w:val="003862FA"/>
    <w:rsid w:val="00386318"/>
    <w:rsid w:val="003863A8"/>
    <w:rsid w:val="003863DD"/>
    <w:rsid w:val="00386463"/>
    <w:rsid w:val="00386476"/>
    <w:rsid w:val="003865B0"/>
    <w:rsid w:val="003867C0"/>
    <w:rsid w:val="00386B57"/>
    <w:rsid w:val="00386EC0"/>
    <w:rsid w:val="00386F37"/>
    <w:rsid w:val="00387164"/>
    <w:rsid w:val="00387182"/>
    <w:rsid w:val="00387298"/>
    <w:rsid w:val="00387355"/>
    <w:rsid w:val="003875C4"/>
    <w:rsid w:val="00387639"/>
    <w:rsid w:val="00387B93"/>
    <w:rsid w:val="00387E80"/>
    <w:rsid w:val="00387E95"/>
    <w:rsid w:val="00387EF9"/>
    <w:rsid w:val="00387F1A"/>
    <w:rsid w:val="0038E76A"/>
    <w:rsid w:val="0039017A"/>
    <w:rsid w:val="003901C8"/>
    <w:rsid w:val="003902E5"/>
    <w:rsid w:val="003903E4"/>
    <w:rsid w:val="00390405"/>
    <w:rsid w:val="00390439"/>
    <w:rsid w:val="0039043D"/>
    <w:rsid w:val="0039049B"/>
    <w:rsid w:val="003904AD"/>
    <w:rsid w:val="0039068B"/>
    <w:rsid w:val="0039070D"/>
    <w:rsid w:val="003908E9"/>
    <w:rsid w:val="0039096A"/>
    <w:rsid w:val="003909EB"/>
    <w:rsid w:val="00390A0F"/>
    <w:rsid w:val="00391152"/>
    <w:rsid w:val="00391160"/>
    <w:rsid w:val="003911BA"/>
    <w:rsid w:val="00391275"/>
    <w:rsid w:val="0039139B"/>
    <w:rsid w:val="00391519"/>
    <w:rsid w:val="00391563"/>
    <w:rsid w:val="00391566"/>
    <w:rsid w:val="003917CD"/>
    <w:rsid w:val="00391993"/>
    <w:rsid w:val="003919D4"/>
    <w:rsid w:val="00391E41"/>
    <w:rsid w:val="00391E79"/>
    <w:rsid w:val="00391F82"/>
    <w:rsid w:val="00391F9F"/>
    <w:rsid w:val="00392120"/>
    <w:rsid w:val="00392195"/>
    <w:rsid w:val="0039234F"/>
    <w:rsid w:val="003924BC"/>
    <w:rsid w:val="00392704"/>
    <w:rsid w:val="00392755"/>
    <w:rsid w:val="00392821"/>
    <w:rsid w:val="003928B0"/>
    <w:rsid w:val="00392907"/>
    <w:rsid w:val="00392E21"/>
    <w:rsid w:val="00392E76"/>
    <w:rsid w:val="00392E9E"/>
    <w:rsid w:val="00392F2E"/>
    <w:rsid w:val="00392F36"/>
    <w:rsid w:val="003931A7"/>
    <w:rsid w:val="003935DD"/>
    <w:rsid w:val="00393734"/>
    <w:rsid w:val="0039376A"/>
    <w:rsid w:val="003937E3"/>
    <w:rsid w:val="00393A15"/>
    <w:rsid w:val="00393C6C"/>
    <w:rsid w:val="00393CAE"/>
    <w:rsid w:val="00393CD2"/>
    <w:rsid w:val="00393DAC"/>
    <w:rsid w:val="00393E7F"/>
    <w:rsid w:val="00393E9A"/>
    <w:rsid w:val="00393F20"/>
    <w:rsid w:val="00393FE3"/>
    <w:rsid w:val="00394087"/>
    <w:rsid w:val="00394146"/>
    <w:rsid w:val="00394234"/>
    <w:rsid w:val="00394462"/>
    <w:rsid w:val="00394509"/>
    <w:rsid w:val="003945D8"/>
    <w:rsid w:val="003946FB"/>
    <w:rsid w:val="0039472A"/>
    <w:rsid w:val="00394916"/>
    <w:rsid w:val="00394992"/>
    <w:rsid w:val="00394A08"/>
    <w:rsid w:val="00394AD9"/>
    <w:rsid w:val="00394DC2"/>
    <w:rsid w:val="00394F68"/>
    <w:rsid w:val="00394FA1"/>
    <w:rsid w:val="00394FD5"/>
    <w:rsid w:val="003950CA"/>
    <w:rsid w:val="0039512D"/>
    <w:rsid w:val="0039515C"/>
    <w:rsid w:val="00395312"/>
    <w:rsid w:val="0039536B"/>
    <w:rsid w:val="00395607"/>
    <w:rsid w:val="00395679"/>
    <w:rsid w:val="003958DC"/>
    <w:rsid w:val="003959E6"/>
    <w:rsid w:val="003959ED"/>
    <w:rsid w:val="00395AD5"/>
    <w:rsid w:val="00395C16"/>
    <w:rsid w:val="00395C8B"/>
    <w:rsid w:val="003961D6"/>
    <w:rsid w:val="003962BB"/>
    <w:rsid w:val="003963F2"/>
    <w:rsid w:val="00396432"/>
    <w:rsid w:val="00396542"/>
    <w:rsid w:val="00396706"/>
    <w:rsid w:val="0039670D"/>
    <w:rsid w:val="0039676B"/>
    <w:rsid w:val="003967A2"/>
    <w:rsid w:val="003967B7"/>
    <w:rsid w:val="0039686A"/>
    <w:rsid w:val="003969D8"/>
    <w:rsid w:val="00396D00"/>
    <w:rsid w:val="00396D4B"/>
    <w:rsid w:val="00396DD4"/>
    <w:rsid w:val="003970A0"/>
    <w:rsid w:val="00397156"/>
    <w:rsid w:val="00397246"/>
    <w:rsid w:val="00397302"/>
    <w:rsid w:val="0039748D"/>
    <w:rsid w:val="00397867"/>
    <w:rsid w:val="0039791F"/>
    <w:rsid w:val="003979CF"/>
    <w:rsid w:val="00397BBE"/>
    <w:rsid w:val="00397F1C"/>
    <w:rsid w:val="0039A70C"/>
    <w:rsid w:val="003A01AA"/>
    <w:rsid w:val="003A01FC"/>
    <w:rsid w:val="003A0244"/>
    <w:rsid w:val="003A027B"/>
    <w:rsid w:val="003A050F"/>
    <w:rsid w:val="003A0552"/>
    <w:rsid w:val="003A0644"/>
    <w:rsid w:val="003A06D9"/>
    <w:rsid w:val="003A085A"/>
    <w:rsid w:val="003A0B68"/>
    <w:rsid w:val="003A0BC4"/>
    <w:rsid w:val="003A0D2B"/>
    <w:rsid w:val="003A0D5C"/>
    <w:rsid w:val="003A0E66"/>
    <w:rsid w:val="003A0E6E"/>
    <w:rsid w:val="003A0ED9"/>
    <w:rsid w:val="003A0F4D"/>
    <w:rsid w:val="003A10CD"/>
    <w:rsid w:val="003A112B"/>
    <w:rsid w:val="003A11EB"/>
    <w:rsid w:val="003A1277"/>
    <w:rsid w:val="003A14FD"/>
    <w:rsid w:val="003A153F"/>
    <w:rsid w:val="003A1542"/>
    <w:rsid w:val="003A15C2"/>
    <w:rsid w:val="003A189A"/>
    <w:rsid w:val="003A1A89"/>
    <w:rsid w:val="003A1DDA"/>
    <w:rsid w:val="003A1EBE"/>
    <w:rsid w:val="003A23AE"/>
    <w:rsid w:val="003A24B4"/>
    <w:rsid w:val="003A2554"/>
    <w:rsid w:val="003A27AD"/>
    <w:rsid w:val="003A295A"/>
    <w:rsid w:val="003A2A50"/>
    <w:rsid w:val="003A2A5E"/>
    <w:rsid w:val="003A2A86"/>
    <w:rsid w:val="003A2AAB"/>
    <w:rsid w:val="003A2C33"/>
    <w:rsid w:val="003A2C35"/>
    <w:rsid w:val="003A2D6E"/>
    <w:rsid w:val="003A3091"/>
    <w:rsid w:val="003A30DD"/>
    <w:rsid w:val="003A3148"/>
    <w:rsid w:val="003A334D"/>
    <w:rsid w:val="003A34E5"/>
    <w:rsid w:val="003A34F5"/>
    <w:rsid w:val="003A3657"/>
    <w:rsid w:val="003A37AA"/>
    <w:rsid w:val="003A3D10"/>
    <w:rsid w:val="003A3D53"/>
    <w:rsid w:val="003A3E54"/>
    <w:rsid w:val="003A401C"/>
    <w:rsid w:val="003A4404"/>
    <w:rsid w:val="003A4430"/>
    <w:rsid w:val="003A4710"/>
    <w:rsid w:val="003A48A1"/>
    <w:rsid w:val="003A48F4"/>
    <w:rsid w:val="003A4947"/>
    <w:rsid w:val="003A4B76"/>
    <w:rsid w:val="003A4BDF"/>
    <w:rsid w:val="003A4BF0"/>
    <w:rsid w:val="003A4C39"/>
    <w:rsid w:val="003A4D20"/>
    <w:rsid w:val="003A4E72"/>
    <w:rsid w:val="003A5100"/>
    <w:rsid w:val="003A5152"/>
    <w:rsid w:val="003A532B"/>
    <w:rsid w:val="003A5503"/>
    <w:rsid w:val="003A550B"/>
    <w:rsid w:val="003A564F"/>
    <w:rsid w:val="003A5A1D"/>
    <w:rsid w:val="003A5C5C"/>
    <w:rsid w:val="003A5CE1"/>
    <w:rsid w:val="003A5DE9"/>
    <w:rsid w:val="003A5E86"/>
    <w:rsid w:val="003A5F32"/>
    <w:rsid w:val="003A5F42"/>
    <w:rsid w:val="003A6075"/>
    <w:rsid w:val="003A6310"/>
    <w:rsid w:val="003A631A"/>
    <w:rsid w:val="003A6398"/>
    <w:rsid w:val="003A67AB"/>
    <w:rsid w:val="003A6A0B"/>
    <w:rsid w:val="003A6A12"/>
    <w:rsid w:val="003A6F63"/>
    <w:rsid w:val="003A6FF6"/>
    <w:rsid w:val="003A7005"/>
    <w:rsid w:val="003A712A"/>
    <w:rsid w:val="003A718D"/>
    <w:rsid w:val="003A71CB"/>
    <w:rsid w:val="003A71D9"/>
    <w:rsid w:val="003A7239"/>
    <w:rsid w:val="003A731B"/>
    <w:rsid w:val="003A73AA"/>
    <w:rsid w:val="003A740D"/>
    <w:rsid w:val="003A74A5"/>
    <w:rsid w:val="003A75DE"/>
    <w:rsid w:val="003A76F2"/>
    <w:rsid w:val="003A779C"/>
    <w:rsid w:val="003A77F2"/>
    <w:rsid w:val="003A7A0A"/>
    <w:rsid w:val="003A7A18"/>
    <w:rsid w:val="003A7B27"/>
    <w:rsid w:val="003A7B4F"/>
    <w:rsid w:val="003A7CB3"/>
    <w:rsid w:val="003A7F8C"/>
    <w:rsid w:val="003B0167"/>
    <w:rsid w:val="003B02A8"/>
    <w:rsid w:val="003B0671"/>
    <w:rsid w:val="003B0940"/>
    <w:rsid w:val="003B0A32"/>
    <w:rsid w:val="003B118D"/>
    <w:rsid w:val="003B122D"/>
    <w:rsid w:val="003B12E4"/>
    <w:rsid w:val="003B12F1"/>
    <w:rsid w:val="003B14C8"/>
    <w:rsid w:val="003B157C"/>
    <w:rsid w:val="003B16D0"/>
    <w:rsid w:val="003B1901"/>
    <w:rsid w:val="003B192A"/>
    <w:rsid w:val="003B195E"/>
    <w:rsid w:val="003B1A40"/>
    <w:rsid w:val="003B1AB2"/>
    <w:rsid w:val="003B1C88"/>
    <w:rsid w:val="003B1C97"/>
    <w:rsid w:val="003B1D51"/>
    <w:rsid w:val="003B1DC5"/>
    <w:rsid w:val="003B1E28"/>
    <w:rsid w:val="003B209A"/>
    <w:rsid w:val="003B21A5"/>
    <w:rsid w:val="003B2598"/>
    <w:rsid w:val="003B2708"/>
    <w:rsid w:val="003B288B"/>
    <w:rsid w:val="003B2904"/>
    <w:rsid w:val="003B2E3C"/>
    <w:rsid w:val="003B2EF8"/>
    <w:rsid w:val="003B2FB0"/>
    <w:rsid w:val="003B3023"/>
    <w:rsid w:val="003B309E"/>
    <w:rsid w:val="003B30CE"/>
    <w:rsid w:val="003B32E6"/>
    <w:rsid w:val="003B3301"/>
    <w:rsid w:val="003B3338"/>
    <w:rsid w:val="003B33B2"/>
    <w:rsid w:val="003B3449"/>
    <w:rsid w:val="003B39A8"/>
    <w:rsid w:val="003B3A6F"/>
    <w:rsid w:val="003B3BA1"/>
    <w:rsid w:val="003B3CFD"/>
    <w:rsid w:val="003B3DA1"/>
    <w:rsid w:val="003B3DF0"/>
    <w:rsid w:val="003B41EE"/>
    <w:rsid w:val="003B4266"/>
    <w:rsid w:val="003B426F"/>
    <w:rsid w:val="003B42A6"/>
    <w:rsid w:val="003B43CD"/>
    <w:rsid w:val="003B471A"/>
    <w:rsid w:val="003B478D"/>
    <w:rsid w:val="003B47BC"/>
    <w:rsid w:val="003B4889"/>
    <w:rsid w:val="003B497E"/>
    <w:rsid w:val="003B4AE0"/>
    <w:rsid w:val="003B4DF5"/>
    <w:rsid w:val="003B4E22"/>
    <w:rsid w:val="003B4E34"/>
    <w:rsid w:val="003B4E52"/>
    <w:rsid w:val="003B4FE5"/>
    <w:rsid w:val="003B50B6"/>
    <w:rsid w:val="003B523C"/>
    <w:rsid w:val="003B55E4"/>
    <w:rsid w:val="003B5822"/>
    <w:rsid w:val="003B58A4"/>
    <w:rsid w:val="003B5A74"/>
    <w:rsid w:val="003B5D3A"/>
    <w:rsid w:val="003B5D9D"/>
    <w:rsid w:val="003B5E8F"/>
    <w:rsid w:val="003B5F7B"/>
    <w:rsid w:val="003B6099"/>
    <w:rsid w:val="003B6255"/>
    <w:rsid w:val="003B632D"/>
    <w:rsid w:val="003B6638"/>
    <w:rsid w:val="003B6819"/>
    <w:rsid w:val="003B68FA"/>
    <w:rsid w:val="003B69C1"/>
    <w:rsid w:val="003B6D16"/>
    <w:rsid w:val="003B6DA0"/>
    <w:rsid w:val="003B6EC5"/>
    <w:rsid w:val="003B6EC8"/>
    <w:rsid w:val="003B731E"/>
    <w:rsid w:val="003B7355"/>
    <w:rsid w:val="003B743E"/>
    <w:rsid w:val="003B7577"/>
    <w:rsid w:val="003B75B1"/>
    <w:rsid w:val="003B75DD"/>
    <w:rsid w:val="003B772B"/>
    <w:rsid w:val="003B77A0"/>
    <w:rsid w:val="003B78DA"/>
    <w:rsid w:val="003B7951"/>
    <w:rsid w:val="003B7A52"/>
    <w:rsid w:val="003B7C04"/>
    <w:rsid w:val="003B7D3A"/>
    <w:rsid w:val="003B7EA2"/>
    <w:rsid w:val="003BF601"/>
    <w:rsid w:val="003C0032"/>
    <w:rsid w:val="003C0230"/>
    <w:rsid w:val="003C0295"/>
    <w:rsid w:val="003C0427"/>
    <w:rsid w:val="003C0450"/>
    <w:rsid w:val="003C0602"/>
    <w:rsid w:val="003C063B"/>
    <w:rsid w:val="003C0AE7"/>
    <w:rsid w:val="003C0B26"/>
    <w:rsid w:val="003C0C8F"/>
    <w:rsid w:val="003C0DE6"/>
    <w:rsid w:val="003C0E36"/>
    <w:rsid w:val="003C0ED9"/>
    <w:rsid w:val="003C0F67"/>
    <w:rsid w:val="003C118F"/>
    <w:rsid w:val="003C1244"/>
    <w:rsid w:val="003C1303"/>
    <w:rsid w:val="003C139F"/>
    <w:rsid w:val="003C1470"/>
    <w:rsid w:val="003C1678"/>
    <w:rsid w:val="003C167A"/>
    <w:rsid w:val="003C178F"/>
    <w:rsid w:val="003C1794"/>
    <w:rsid w:val="003C185B"/>
    <w:rsid w:val="003C1871"/>
    <w:rsid w:val="003C1897"/>
    <w:rsid w:val="003C1E74"/>
    <w:rsid w:val="003C203B"/>
    <w:rsid w:val="003C2293"/>
    <w:rsid w:val="003C22A4"/>
    <w:rsid w:val="003C22D7"/>
    <w:rsid w:val="003C2580"/>
    <w:rsid w:val="003C2606"/>
    <w:rsid w:val="003C2693"/>
    <w:rsid w:val="003C26EF"/>
    <w:rsid w:val="003C2801"/>
    <w:rsid w:val="003C283E"/>
    <w:rsid w:val="003C28D3"/>
    <w:rsid w:val="003C2AD1"/>
    <w:rsid w:val="003C2B3D"/>
    <w:rsid w:val="003C2BB0"/>
    <w:rsid w:val="003C2C3C"/>
    <w:rsid w:val="003C2CF6"/>
    <w:rsid w:val="003C2DD1"/>
    <w:rsid w:val="003C2DD4"/>
    <w:rsid w:val="003C2E4D"/>
    <w:rsid w:val="003C2EEF"/>
    <w:rsid w:val="003C2F1B"/>
    <w:rsid w:val="003C30DE"/>
    <w:rsid w:val="003C33F9"/>
    <w:rsid w:val="003C3586"/>
    <w:rsid w:val="003C3699"/>
    <w:rsid w:val="003C3737"/>
    <w:rsid w:val="003C3741"/>
    <w:rsid w:val="003C39CA"/>
    <w:rsid w:val="003C39EB"/>
    <w:rsid w:val="003C3A02"/>
    <w:rsid w:val="003C3A84"/>
    <w:rsid w:val="003C3A90"/>
    <w:rsid w:val="003C3EBB"/>
    <w:rsid w:val="003C409B"/>
    <w:rsid w:val="003C41A2"/>
    <w:rsid w:val="003C41DD"/>
    <w:rsid w:val="003C43AE"/>
    <w:rsid w:val="003C43DC"/>
    <w:rsid w:val="003C445B"/>
    <w:rsid w:val="003C470B"/>
    <w:rsid w:val="003C4AD9"/>
    <w:rsid w:val="003C4B51"/>
    <w:rsid w:val="003C4BBB"/>
    <w:rsid w:val="003C4BEE"/>
    <w:rsid w:val="003C4CD4"/>
    <w:rsid w:val="003C4D20"/>
    <w:rsid w:val="003C4D4F"/>
    <w:rsid w:val="003C4FD2"/>
    <w:rsid w:val="003C50D0"/>
    <w:rsid w:val="003C51F8"/>
    <w:rsid w:val="003C52BB"/>
    <w:rsid w:val="003C5526"/>
    <w:rsid w:val="003C55F4"/>
    <w:rsid w:val="003C577A"/>
    <w:rsid w:val="003C5781"/>
    <w:rsid w:val="003C5826"/>
    <w:rsid w:val="003C5836"/>
    <w:rsid w:val="003C5956"/>
    <w:rsid w:val="003C595E"/>
    <w:rsid w:val="003C596A"/>
    <w:rsid w:val="003C596C"/>
    <w:rsid w:val="003C59E0"/>
    <w:rsid w:val="003C5A7E"/>
    <w:rsid w:val="003C5C57"/>
    <w:rsid w:val="003C5FAA"/>
    <w:rsid w:val="003C5FAF"/>
    <w:rsid w:val="003C6028"/>
    <w:rsid w:val="003C6108"/>
    <w:rsid w:val="003C6196"/>
    <w:rsid w:val="003C6279"/>
    <w:rsid w:val="003C627B"/>
    <w:rsid w:val="003C67BF"/>
    <w:rsid w:val="003C67EB"/>
    <w:rsid w:val="003C697C"/>
    <w:rsid w:val="003C6AF3"/>
    <w:rsid w:val="003C6D52"/>
    <w:rsid w:val="003C6F0C"/>
    <w:rsid w:val="003C6F62"/>
    <w:rsid w:val="003C71A5"/>
    <w:rsid w:val="003C722A"/>
    <w:rsid w:val="003C7230"/>
    <w:rsid w:val="003C7264"/>
    <w:rsid w:val="003C72BD"/>
    <w:rsid w:val="003C72FD"/>
    <w:rsid w:val="003C73B4"/>
    <w:rsid w:val="003C73E6"/>
    <w:rsid w:val="003C7427"/>
    <w:rsid w:val="003C759E"/>
    <w:rsid w:val="003C7603"/>
    <w:rsid w:val="003C7642"/>
    <w:rsid w:val="003C781B"/>
    <w:rsid w:val="003C7831"/>
    <w:rsid w:val="003C78CF"/>
    <w:rsid w:val="003C797A"/>
    <w:rsid w:val="003C7A64"/>
    <w:rsid w:val="003C7C8E"/>
    <w:rsid w:val="003C7DBD"/>
    <w:rsid w:val="003C7E46"/>
    <w:rsid w:val="003C7F11"/>
    <w:rsid w:val="003C7FAA"/>
    <w:rsid w:val="003D0193"/>
    <w:rsid w:val="003D01F7"/>
    <w:rsid w:val="003D020E"/>
    <w:rsid w:val="003D0236"/>
    <w:rsid w:val="003D0481"/>
    <w:rsid w:val="003D0490"/>
    <w:rsid w:val="003D057C"/>
    <w:rsid w:val="003D07F3"/>
    <w:rsid w:val="003D0B6E"/>
    <w:rsid w:val="003D0BCF"/>
    <w:rsid w:val="003D0DE3"/>
    <w:rsid w:val="003D0E16"/>
    <w:rsid w:val="003D0EAE"/>
    <w:rsid w:val="003D1213"/>
    <w:rsid w:val="003D1219"/>
    <w:rsid w:val="003D14C3"/>
    <w:rsid w:val="003D1662"/>
    <w:rsid w:val="003D16BF"/>
    <w:rsid w:val="003D1A5E"/>
    <w:rsid w:val="003D1A74"/>
    <w:rsid w:val="003D1AE7"/>
    <w:rsid w:val="003D1C13"/>
    <w:rsid w:val="003D1C6C"/>
    <w:rsid w:val="003D1C78"/>
    <w:rsid w:val="003D1D21"/>
    <w:rsid w:val="003D22C2"/>
    <w:rsid w:val="003D23A1"/>
    <w:rsid w:val="003D2594"/>
    <w:rsid w:val="003D2605"/>
    <w:rsid w:val="003D281F"/>
    <w:rsid w:val="003D2898"/>
    <w:rsid w:val="003D2C6E"/>
    <w:rsid w:val="003D2D3F"/>
    <w:rsid w:val="003D2F42"/>
    <w:rsid w:val="003D2F5F"/>
    <w:rsid w:val="003D31B0"/>
    <w:rsid w:val="003D31B6"/>
    <w:rsid w:val="003D32A7"/>
    <w:rsid w:val="003D32E2"/>
    <w:rsid w:val="003D338B"/>
    <w:rsid w:val="003D3844"/>
    <w:rsid w:val="003D387B"/>
    <w:rsid w:val="003D39CE"/>
    <w:rsid w:val="003D3A8C"/>
    <w:rsid w:val="003D3BE7"/>
    <w:rsid w:val="003D3C29"/>
    <w:rsid w:val="003D3EA9"/>
    <w:rsid w:val="003D3F9A"/>
    <w:rsid w:val="003D3FD9"/>
    <w:rsid w:val="003D4028"/>
    <w:rsid w:val="003D4250"/>
    <w:rsid w:val="003D44C4"/>
    <w:rsid w:val="003D456D"/>
    <w:rsid w:val="003D4687"/>
    <w:rsid w:val="003D4702"/>
    <w:rsid w:val="003D47A4"/>
    <w:rsid w:val="003D49E4"/>
    <w:rsid w:val="003D4AB8"/>
    <w:rsid w:val="003D5072"/>
    <w:rsid w:val="003D51F7"/>
    <w:rsid w:val="003D52A1"/>
    <w:rsid w:val="003D52E7"/>
    <w:rsid w:val="003D538E"/>
    <w:rsid w:val="003D5429"/>
    <w:rsid w:val="003D5472"/>
    <w:rsid w:val="003D5529"/>
    <w:rsid w:val="003D552F"/>
    <w:rsid w:val="003D5644"/>
    <w:rsid w:val="003D5656"/>
    <w:rsid w:val="003D5683"/>
    <w:rsid w:val="003D574F"/>
    <w:rsid w:val="003D578A"/>
    <w:rsid w:val="003D5961"/>
    <w:rsid w:val="003D5CFC"/>
    <w:rsid w:val="003D5D89"/>
    <w:rsid w:val="003D5D95"/>
    <w:rsid w:val="003D5DFB"/>
    <w:rsid w:val="003D5EDF"/>
    <w:rsid w:val="003D6158"/>
    <w:rsid w:val="003D61BD"/>
    <w:rsid w:val="003D62AE"/>
    <w:rsid w:val="003D64DC"/>
    <w:rsid w:val="003D6517"/>
    <w:rsid w:val="003D65CD"/>
    <w:rsid w:val="003D68FC"/>
    <w:rsid w:val="003D699F"/>
    <w:rsid w:val="003D6AA9"/>
    <w:rsid w:val="003D6BC4"/>
    <w:rsid w:val="003D6CCF"/>
    <w:rsid w:val="003D6CE6"/>
    <w:rsid w:val="003D6F0E"/>
    <w:rsid w:val="003D6F8C"/>
    <w:rsid w:val="003D71EA"/>
    <w:rsid w:val="003D72D2"/>
    <w:rsid w:val="003D73F6"/>
    <w:rsid w:val="003D7588"/>
    <w:rsid w:val="003D76D8"/>
    <w:rsid w:val="003D7816"/>
    <w:rsid w:val="003D79B7"/>
    <w:rsid w:val="003D79C7"/>
    <w:rsid w:val="003D7AEB"/>
    <w:rsid w:val="003D7B0D"/>
    <w:rsid w:val="003D7D5C"/>
    <w:rsid w:val="003D7D61"/>
    <w:rsid w:val="003D7D63"/>
    <w:rsid w:val="003D7DB4"/>
    <w:rsid w:val="003D7FDC"/>
    <w:rsid w:val="003E0357"/>
    <w:rsid w:val="003E035F"/>
    <w:rsid w:val="003E03FC"/>
    <w:rsid w:val="003E04DD"/>
    <w:rsid w:val="003E05F3"/>
    <w:rsid w:val="003E0684"/>
    <w:rsid w:val="003E0938"/>
    <w:rsid w:val="003E0EF6"/>
    <w:rsid w:val="003E0F5D"/>
    <w:rsid w:val="003E11B7"/>
    <w:rsid w:val="003E13ED"/>
    <w:rsid w:val="003E1459"/>
    <w:rsid w:val="003E1775"/>
    <w:rsid w:val="003E18E0"/>
    <w:rsid w:val="003E199B"/>
    <w:rsid w:val="003E1B28"/>
    <w:rsid w:val="003E1B5E"/>
    <w:rsid w:val="003E1CEE"/>
    <w:rsid w:val="003E1D3F"/>
    <w:rsid w:val="003E1E00"/>
    <w:rsid w:val="003E1E57"/>
    <w:rsid w:val="003E1F12"/>
    <w:rsid w:val="003E23B4"/>
    <w:rsid w:val="003E246F"/>
    <w:rsid w:val="003E2599"/>
    <w:rsid w:val="003E267D"/>
    <w:rsid w:val="003E26FA"/>
    <w:rsid w:val="003E2B94"/>
    <w:rsid w:val="003E2CB8"/>
    <w:rsid w:val="003E2E0F"/>
    <w:rsid w:val="003E2F03"/>
    <w:rsid w:val="003E3093"/>
    <w:rsid w:val="003E3231"/>
    <w:rsid w:val="003E328B"/>
    <w:rsid w:val="003E32FA"/>
    <w:rsid w:val="003E342B"/>
    <w:rsid w:val="003E34D2"/>
    <w:rsid w:val="003E35E0"/>
    <w:rsid w:val="003E375E"/>
    <w:rsid w:val="003E3884"/>
    <w:rsid w:val="003E389E"/>
    <w:rsid w:val="003E3A70"/>
    <w:rsid w:val="003E3A73"/>
    <w:rsid w:val="003E3B30"/>
    <w:rsid w:val="003E3BEC"/>
    <w:rsid w:val="003E3CA9"/>
    <w:rsid w:val="003E3EE5"/>
    <w:rsid w:val="003E4040"/>
    <w:rsid w:val="003E40C6"/>
    <w:rsid w:val="003E40EF"/>
    <w:rsid w:val="003E415E"/>
    <w:rsid w:val="003E41DC"/>
    <w:rsid w:val="003E4220"/>
    <w:rsid w:val="003E4399"/>
    <w:rsid w:val="003E4444"/>
    <w:rsid w:val="003E457B"/>
    <w:rsid w:val="003E4635"/>
    <w:rsid w:val="003E4710"/>
    <w:rsid w:val="003E49DF"/>
    <w:rsid w:val="003E4AB0"/>
    <w:rsid w:val="003E4B96"/>
    <w:rsid w:val="003E4C0B"/>
    <w:rsid w:val="003E4C5E"/>
    <w:rsid w:val="003E4D46"/>
    <w:rsid w:val="003E4E76"/>
    <w:rsid w:val="003E4EF2"/>
    <w:rsid w:val="003E4FC6"/>
    <w:rsid w:val="003E50A6"/>
    <w:rsid w:val="003E51C5"/>
    <w:rsid w:val="003E52B4"/>
    <w:rsid w:val="003E52E2"/>
    <w:rsid w:val="003E5453"/>
    <w:rsid w:val="003E56AB"/>
    <w:rsid w:val="003E58A7"/>
    <w:rsid w:val="003E5949"/>
    <w:rsid w:val="003E595C"/>
    <w:rsid w:val="003E5990"/>
    <w:rsid w:val="003E5A07"/>
    <w:rsid w:val="003E5BE9"/>
    <w:rsid w:val="003E5D50"/>
    <w:rsid w:val="003E5F62"/>
    <w:rsid w:val="003E603C"/>
    <w:rsid w:val="003E60B5"/>
    <w:rsid w:val="003E60E0"/>
    <w:rsid w:val="003E6115"/>
    <w:rsid w:val="003E6157"/>
    <w:rsid w:val="003E625C"/>
    <w:rsid w:val="003E6683"/>
    <w:rsid w:val="003E691D"/>
    <w:rsid w:val="003E6A73"/>
    <w:rsid w:val="003E6BAB"/>
    <w:rsid w:val="003E6D1C"/>
    <w:rsid w:val="003E6D9B"/>
    <w:rsid w:val="003E6DA9"/>
    <w:rsid w:val="003E6ED2"/>
    <w:rsid w:val="003E6EDB"/>
    <w:rsid w:val="003E6F61"/>
    <w:rsid w:val="003E71B5"/>
    <w:rsid w:val="003E74E9"/>
    <w:rsid w:val="003E757B"/>
    <w:rsid w:val="003E75C1"/>
    <w:rsid w:val="003E75FA"/>
    <w:rsid w:val="003E7614"/>
    <w:rsid w:val="003E7692"/>
    <w:rsid w:val="003E76ED"/>
    <w:rsid w:val="003E77E3"/>
    <w:rsid w:val="003E7824"/>
    <w:rsid w:val="003E7B3F"/>
    <w:rsid w:val="003E7CF7"/>
    <w:rsid w:val="003E7D51"/>
    <w:rsid w:val="003E7E11"/>
    <w:rsid w:val="003E7E36"/>
    <w:rsid w:val="003E7E4B"/>
    <w:rsid w:val="003F004B"/>
    <w:rsid w:val="003F017F"/>
    <w:rsid w:val="003F052F"/>
    <w:rsid w:val="003F0545"/>
    <w:rsid w:val="003F064B"/>
    <w:rsid w:val="003F0693"/>
    <w:rsid w:val="003F0932"/>
    <w:rsid w:val="003F09D6"/>
    <w:rsid w:val="003F0A27"/>
    <w:rsid w:val="003F0A84"/>
    <w:rsid w:val="003F0A85"/>
    <w:rsid w:val="003F0B21"/>
    <w:rsid w:val="003F0B7E"/>
    <w:rsid w:val="003F0D5A"/>
    <w:rsid w:val="003F0DE5"/>
    <w:rsid w:val="003F0F8C"/>
    <w:rsid w:val="003F105C"/>
    <w:rsid w:val="003F106F"/>
    <w:rsid w:val="003F1558"/>
    <w:rsid w:val="003F1867"/>
    <w:rsid w:val="003F190B"/>
    <w:rsid w:val="003F191C"/>
    <w:rsid w:val="003F19FA"/>
    <w:rsid w:val="003F1A64"/>
    <w:rsid w:val="003F1B15"/>
    <w:rsid w:val="003F1BB8"/>
    <w:rsid w:val="003F1D40"/>
    <w:rsid w:val="003F1DE9"/>
    <w:rsid w:val="003F1EC6"/>
    <w:rsid w:val="003F1EE2"/>
    <w:rsid w:val="003F2060"/>
    <w:rsid w:val="003F2069"/>
    <w:rsid w:val="003F24BE"/>
    <w:rsid w:val="003F25B1"/>
    <w:rsid w:val="003F26FD"/>
    <w:rsid w:val="003F2918"/>
    <w:rsid w:val="003F29C0"/>
    <w:rsid w:val="003F29C7"/>
    <w:rsid w:val="003F2B42"/>
    <w:rsid w:val="003F2CE2"/>
    <w:rsid w:val="003F2D62"/>
    <w:rsid w:val="003F2E8F"/>
    <w:rsid w:val="003F2E91"/>
    <w:rsid w:val="003F2EBB"/>
    <w:rsid w:val="003F2F14"/>
    <w:rsid w:val="003F2F39"/>
    <w:rsid w:val="003F2FC5"/>
    <w:rsid w:val="003F30E4"/>
    <w:rsid w:val="003F3110"/>
    <w:rsid w:val="003F3333"/>
    <w:rsid w:val="003F3477"/>
    <w:rsid w:val="003F359C"/>
    <w:rsid w:val="003F35E5"/>
    <w:rsid w:val="003F3625"/>
    <w:rsid w:val="003F397C"/>
    <w:rsid w:val="003F3A6C"/>
    <w:rsid w:val="003F3ABE"/>
    <w:rsid w:val="003F3B60"/>
    <w:rsid w:val="003F3BB1"/>
    <w:rsid w:val="003F3FF2"/>
    <w:rsid w:val="003F41CE"/>
    <w:rsid w:val="003F42DC"/>
    <w:rsid w:val="003F4315"/>
    <w:rsid w:val="003F45D2"/>
    <w:rsid w:val="003F474D"/>
    <w:rsid w:val="003F4887"/>
    <w:rsid w:val="003F49CB"/>
    <w:rsid w:val="003F4A4A"/>
    <w:rsid w:val="003F4C0D"/>
    <w:rsid w:val="003F4CF5"/>
    <w:rsid w:val="003F4CF7"/>
    <w:rsid w:val="003F4D41"/>
    <w:rsid w:val="003F4E4E"/>
    <w:rsid w:val="003F4EA9"/>
    <w:rsid w:val="003F4F0B"/>
    <w:rsid w:val="003F502C"/>
    <w:rsid w:val="003F518D"/>
    <w:rsid w:val="003F5209"/>
    <w:rsid w:val="003F5280"/>
    <w:rsid w:val="003F5282"/>
    <w:rsid w:val="003F5351"/>
    <w:rsid w:val="003F5557"/>
    <w:rsid w:val="003F55A2"/>
    <w:rsid w:val="003F560B"/>
    <w:rsid w:val="003F56FC"/>
    <w:rsid w:val="003F577A"/>
    <w:rsid w:val="003F59AD"/>
    <w:rsid w:val="003F59D2"/>
    <w:rsid w:val="003F5D15"/>
    <w:rsid w:val="003F5DA0"/>
    <w:rsid w:val="003F6053"/>
    <w:rsid w:val="003F61F9"/>
    <w:rsid w:val="003F6219"/>
    <w:rsid w:val="003F62BB"/>
    <w:rsid w:val="003F63DB"/>
    <w:rsid w:val="003F6449"/>
    <w:rsid w:val="003F6522"/>
    <w:rsid w:val="003F6B03"/>
    <w:rsid w:val="003F6BCD"/>
    <w:rsid w:val="003F702C"/>
    <w:rsid w:val="003F7175"/>
    <w:rsid w:val="003F722D"/>
    <w:rsid w:val="003F7292"/>
    <w:rsid w:val="003F7478"/>
    <w:rsid w:val="003F754C"/>
    <w:rsid w:val="003F75BB"/>
    <w:rsid w:val="003F7853"/>
    <w:rsid w:val="003F7871"/>
    <w:rsid w:val="003F78E5"/>
    <w:rsid w:val="003F7B54"/>
    <w:rsid w:val="003F7BF2"/>
    <w:rsid w:val="003F7E77"/>
    <w:rsid w:val="0040006B"/>
    <w:rsid w:val="004001C8"/>
    <w:rsid w:val="00400257"/>
    <w:rsid w:val="00400327"/>
    <w:rsid w:val="00400362"/>
    <w:rsid w:val="00400365"/>
    <w:rsid w:val="004003B5"/>
    <w:rsid w:val="004004AD"/>
    <w:rsid w:val="00400501"/>
    <w:rsid w:val="00400652"/>
    <w:rsid w:val="0040076B"/>
    <w:rsid w:val="004007DA"/>
    <w:rsid w:val="0040084D"/>
    <w:rsid w:val="004008AE"/>
    <w:rsid w:val="004008C3"/>
    <w:rsid w:val="00400948"/>
    <w:rsid w:val="00400B3E"/>
    <w:rsid w:val="00400E62"/>
    <w:rsid w:val="00400E92"/>
    <w:rsid w:val="00400F4F"/>
    <w:rsid w:val="00400FDF"/>
    <w:rsid w:val="004010D4"/>
    <w:rsid w:val="004011E4"/>
    <w:rsid w:val="004012CA"/>
    <w:rsid w:val="004012CE"/>
    <w:rsid w:val="0040131F"/>
    <w:rsid w:val="00401497"/>
    <w:rsid w:val="00401527"/>
    <w:rsid w:val="004016E8"/>
    <w:rsid w:val="00401798"/>
    <w:rsid w:val="00401E1B"/>
    <w:rsid w:val="00401EDD"/>
    <w:rsid w:val="00401F12"/>
    <w:rsid w:val="00401F60"/>
    <w:rsid w:val="004021AE"/>
    <w:rsid w:val="00402298"/>
    <w:rsid w:val="00402367"/>
    <w:rsid w:val="00402418"/>
    <w:rsid w:val="00402462"/>
    <w:rsid w:val="0040247D"/>
    <w:rsid w:val="004024C5"/>
    <w:rsid w:val="00402734"/>
    <w:rsid w:val="004027F2"/>
    <w:rsid w:val="004028A1"/>
    <w:rsid w:val="004028C2"/>
    <w:rsid w:val="00402B20"/>
    <w:rsid w:val="00402C12"/>
    <w:rsid w:val="00402C48"/>
    <w:rsid w:val="00402CA5"/>
    <w:rsid w:val="0040306A"/>
    <w:rsid w:val="00403165"/>
    <w:rsid w:val="004031E0"/>
    <w:rsid w:val="0040337D"/>
    <w:rsid w:val="004033CB"/>
    <w:rsid w:val="00403519"/>
    <w:rsid w:val="0040356C"/>
    <w:rsid w:val="0040396F"/>
    <w:rsid w:val="00403B7F"/>
    <w:rsid w:val="00403D33"/>
    <w:rsid w:val="00403E46"/>
    <w:rsid w:val="0040400D"/>
    <w:rsid w:val="004040DB"/>
    <w:rsid w:val="004041A3"/>
    <w:rsid w:val="004041DB"/>
    <w:rsid w:val="0040430B"/>
    <w:rsid w:val="004043AE"/>
    <w:rsid w:val="00404408"/>
    <w:rsid w:val="00404427"/>
    <w:rsid w:val="0040447D"/>
    <w:rsid w:val="00404704"/>
    <w:rsid w:val="00404888"/>
    <w:rsid w:val="004048E8"/>
    <w:rsid w:val="0040492F"/>
    <w:rsid w:val="00404BDF"/>
    <w:rsid w:val="00404C69"/>
    <w:rsid w:val="00405264"/>
    <w:rsid w:val="00405529"/>
    <w:rsid w:val="0040559E"/>
    <w:rsid w:val="004055A2"/>
    <w:rsid w:val="00405629"/>
    <w:rsid w:val="004059FC"/>
    <w:rsid w:val="00405A30"/>
    <w:rsid w:val="00405CD1"/>
    <w:rsid w:val="00405E13"/>
    <w:rsid w:val="00405EE5"/>
    <w:rsid w:val="00406175"/>
    <w:rsid w:val="0040638D"/>
    <w:rsid w:val="004065B6"/>
    <w:rsid w:val="004065DB"/>
    <w:rsid w:val="004066BB"/>
    <w:rsid w:val="00406722"/>
    <w:rsid w:val="004068C8"/>
    <w:rsid w:val="00406A60"/>
    <w:rsid w:val="00406F69"/>
    <w:rsid w:val="00407115"/>
    <w:rsid w:val="00407781"/>
    <w:rsid w:val="0040794D"/>
    <w:rsid w:val="004079F0"/>
    <w:rsid w:val="00407A9A"/>
    <w:rsid w:val="00407AE2"/>
    <w:rsid w:val="00407ED9"/>
    <w:rsid w:val="00407FBB"/>
    <w:rsid w:val="00410048"/>
    <w:rsid w:val="004101E4"/>
    <w:rsid w:val="004101F3"/>
    <w:rsid w:val="0041024C"/>
    <w:rsid w:val="004102F9"/>
    <w:rsid w:val="004104CF"/>
    <w:rsid w:val="0041053D"/>
    <w:rsid w:val="0041056D"/>
    <w:rsid w:val="004106A1"/>
    <w:rsid w:val="00410780"/>
    <w:rsid w:val="004107F0"/>
    <w:rsid w:val="004109A9"/>
    <w:rsid w:val="00410B0A"/>
    <w:rsid w:val="00410C1F"/>
    <w:rsid w:val="00410C72"/>
    <w:rsid w:val="00410CD4"/>
    <w:rsid w:val="00410CEF"/>
    <w:rsid w:val="00410DBD"/>
    <w:rsid w:val="00410FF1"/>
    <w:rsid w:val="0041131A"/>
    <w:rsid w:val="0041134E"/>
    <w:rsid w:val="004115A6"/>
    <w:rsid w:val="004115E4"/>
    <w:rsid w:val="0041161C"/>
    <w:rsid w:val="0041166C"/>
    <w:rsid w:val="004119B9"/>
    <w:rsid w:val="00411BEE"/>
    <w:rsid w:val="00411C2B"/>
    <w:rsid w:val="00411CED"/>
    <w:rsid w:val="00411D95"/>
    <w:rsid w:val="00411F7A"/>
    <w:rsid w:val="00412081"/>
    <w:rsid w:val="004120A4"/>
    <w:rsid w:val="0041211C"/>
    <w:rsid w:val="00412146"/>
    <w:rsid w:val="004123F1"/>
    <w:rsid w:val="0041258B"/>
    <w:rsid w:val="004125DF"/>
    <w:rsid w:val="004125E5"/>
    <w:rsid w:val="004126F8"/>
    <w:rsid w:val="004127CE"/>
    <w:rsid w:val="004127EB"/>
    <w:rsid w:val="00412854"/>
    <w:rsid w:val="00412E50"/>
    <w:rsid w:val="0041304D"/>
    <w:rsid w:val="00413091"/>
    <w:rsid w:val="00413256"/>
    <w:rsid w:val="004133A2"/>
    <w:rsid w:val="0041355D"/>
    <w:rsid w:val="00413A2C"/>
    <w:rsid w:val="00413A63"/>
    <w:rsid w:val="00413B11"/>
    <w:rsid w:val="00413C0E"/>
    <w:rsid w:val="00413C4D"/>
    <w:rsid w:val="00413CE9"/>
    <w:rsid w:val="00413EF0"/>
    <w:rsid w:val="00413FC4"/>
    <w:rsid w:val="00413FFF"/>
    <w:rsid w:val="00414147"/>
    <w:rsid w:val="00414170"/>
    <w:rsid w:val="0041417E"/>
    <w:rsid w:val="0041437A"/>
    <w:rsid w:val="0041448F"/>
    <w:rsid w:val="004144A1"/>
    <w:rsid w:val="0041454C"/>
    <w:rsid w:val="0041469A"/>
    <w:rsid w:val="00414836"/>
    <w:rsid w:val="00414888"/>
    <w:rsid w:val="004148C1"/>
    <w:rsid w:val="00414970"/>
    <w:rsid w:val="00414996"/>
    <w:rsid w:val="00414ACC"/>
    <w:rsid w:val="00414BC2"/>
    <w:rsid w:val="00414C17"/>
    <w:rsid w:val="00414E0A"/>
    <w:rsid w:val="004150AF"/>
    <w:rsid w:val="004150BA"/>
    <w:rsid w:val="004153CA"/>
    <w:rsid w:val="00415534"/>
    <w:rsid w:val="00415571"/>
    <w:rsid w:val="004155FF"/>
    <w:rsid w:val="004157AE"/>
    <w:rsid w:val="00415884"/>
    <w:rsid w:val="00415903"/>
    <w:rsid w:val="00415915"/>
    <w:rsid w:val="00415973"/>
    <w:rsid w:val="004159AD"/>
    <w:rsid w:val="00415B0A"/>
    <w:rsid w:val="00415B64"/>
    <w:rsid w:val="00415C97"/>
    <w:rsid w:val="00415F01"/>
    <w:rsid w:val="00415F34"/>
    <w:rsid w:val="00415FA0"/>
    <w:rsid w:val="0041624A"/>
    <w:rsid w:val="00416332"/>
    <w:rsid w:val="00416492"/>
    <w:rsid w:val="004164B9"/>
    <w:rsid w:val="0041658E"/>
    <w:rsid w:val="0041692B"/>
    <w:rsid w:val="00416977"/>
    <w:rsid w:val="00416C97"/>
    <w:rsid w:val="00416F17"/>
    <w:rsid w:val="0041708B"/>
    <w:rsid w:val="0041713A"/>
    <w:rsid w:val="0041713E"/>
    <w:rsid w:val="00417183"/>
    <w:rsid w:val="00417666"/>
    <w:rsid w:val="00417713"/>
    <w:rsid w:val="00417753"/>
    <w:rsid w:val="004177BE"/>
    <w:rsid w:val="004177F5"/>
    <w:rsid w:val="00417863"/>
    <w:rsid w:val="004178B6"/>
    <w:rsid w:val="00417A6F"/>
    <w:rsid w:val="00417B63"/>
    <w:rsid w:val="00417D67"/>
    <w:rsid w:val="00417DF9"/>
    <w:rsid w:val="00417EE4"/>
    <w:rsid w:val="00417FD4"/>
    <w:rsid w:val="0041C881"/>
    <w:rsid w:val="00420024"/>
    <w:rsid w:val="00420094"/>
    <w:rsid w:val="0042029A"/>
    <w:rsid w:val="004202B7"/>
    <w:rsid w:val="0042032E"/>
    <w:rsid w:val="0042037C"/>
    <w:rsid w:val="004204A2"/>
    <w:rsid w:val="00420690"/>
    <w:rsid w:val="0042070F"/>
    <w:rsid w:val="00420776"/>
    <w:rsid w:val="004209AE"/>
    <w:rsid w:val="00420A80"/>
    <w:rsid w:val="00420BEA"/>
    <w:rsid w:val="00420D71"/>
    <w:rsid w:val="00420DAA"/>
    <w:rsid w:val="00420F00"/>
    <w:rsid w:val="00420F1F"/>
    <w:rsid w:val="00420FE7"/>
    <w:rsid w:val="0042113F"/>
    <w:rsid w:val="0042118C"/>
    <w:rsid w:val="004211FE"/>
    <w:rsid w:val="004213A6"/>
    <w:rsid w:val="00421417"/>
    <w:rsid w:val="004214F0"/>
    <w:rsid w:val="004216D2"/>
    <w:rsid w:val="0042172E"/>
    <w:rsid w:val="00421756"/>
    <w:rsid w:val="00421B01"/>
    <w:rsid w:val="00421BBF"/>
    <w:rsid w:val="00421C3F"/>
    <w:rsid w:val="00421D40"/>
    <w:rsid w:val="00421D79"/>
    <w:rsid w:val="00421E65"/>
    <w:rsid w:val="00421EE3"/>
    <w:rsid w:val="0042210C"/>
    <w:rsid w:val="00422255"/>
    <w:rsid w:val="0042229F"/>
    <w:rsid w:val="00422416"/>
    <w:rsid w:val="00422521"/>
    <w:rsid w:val="00422526"/>
    <w:rsid w:val="00422699"/>
    <w:rsid w:val="004229C3"/>
    <w:rsid w:val="00422A21"/>
    <w:rsid w:val="00422F32"/>
    <w:rsid w:val="00423213"/>
    <w:rsid w:val="004232B2"/>
    <w:rsid w:val="0042340A"/>
    <w:rsid w:val="00423452"/>
    <w:rsid w:val="00423480"/>
    <w:rsid w:val="004234A7"/>
    <w:rsid w:val="004234DE"/>
    <w:rsid w:val="0042350B"/>
    <w:rsid w:val="0042353A"/>
    <w:rsid w:val="0042353E"/>
    <w:rsid w:val="00423624"/>
    <w:rsid w:val="0042376A"/>
    <w:rsid w:val="00423B21"/>
    <w:rsid w:val="00423C5B"/>
    <w:rsid w:val="00423F30"/>
    <w:rsid w:val="00423FA4"/>
    <w:rsid w:val="0042400D"/>
    <w:rsid w:val="0042409A"/>
    <w:rsid w:val="00424377"/>
    <w:rsid w:val="00424507"/>
    <w:rsid w:val="00424847"/>
    <w:rsid w:val="00424B7C"/>
    <w:rsid w:val="00424C38"/>
    <w:rsid w:val="00424C89"/>
    <w:rsid w:val="00424CA7"/>
    <w:rsid w:val="00424D3F"/>
    <w:rsid w:val="00424FF0"/>
    <w:rsid w:val="0042502E"/>
    <w:rsid w:val="00425189"/>
    <w:rsid w:val="00425217"/>
    <w:rsid w:val="0042539E"/>
    <w:rsid w:val="004253F2"/>
    <w:rsid w:val="004254A8"/>
    <w:rsid w:val="004255B8"/>
    <w:rsid w:val="004255F7"/>
    <w:rsid w:val="00425761"/>
    <w:rsid w:val="00425871"/>
    <w:rsid w:val="004258B9"/>
    <w:rsid w:val="00425A74"/>
    <w:rsid w:val="00425A8E"/>
    <w:rsid w:val="00425B32"/>
    <w:rsid w:val="00425BE7"/>
    <w:rsid w:val="00425C20"/>
    <w:rsid w:val="00425CBB"/>
    <w:rsid w:val="00425D4F"/>
    <w:rsid w:val="00425DFC"/>
    <w:rsid w:val="00425E16"/>
    <w:rsid w:val="004262DB"/>
    <w:rsid w:val="00426327"/>
    <w:rsid w:val="0042633E"/>
    <w:rsid w:val="004263AA"/>
    <w:rsid w:val="00426457"/>
    <w:rsid w:val="00426596"/>
    <w:rsid w:val="004266AB"/>
    <w:rsid w:val="0042683B"/>
    <w:rsid w:val="00426958"/>
    <w:rsid w:val="004269A3"/>
    <w:rsid w:val="00426C4E"/>
    <w:rsid w:val="00426C53"/>
    <w:rsid w:val="00426D89"/>
    <w:rsid w:val="00426D9F"/>
    <w:rsid w:val="00427624"/>
    <w:rsid w:val="004276A8"/>
    <w:rsid w:val="004276FF"/>
    <w:rsid w:val="00427701"/>
    <w:rsid w:val="004278A8"/>
    <w:rsid w:val="00427C80"/>
    <w:rsid w:val="00427F21"/>
    <w:rsid w:val="00427FFA"/>
    <w:rsid w:val="0042ECD3"/>
    <w:rsid w:val="00430012"/>
    <w:rsid w:val="0043006A"/>
    <w:rsid w:val="00430087"/>
    <w:rsid w:val="00430207"/>
    <w:rsid w:val="004302E6"/>
    <w:rsid w:val="004303BF"/>
    <w:rsid w:val="004304E0"/>
    <w:rsid w:val="0043070C"/>
    <w:rsid w:val="004307A2"/>
    <w:rsid w:val="004307F4"/>
    <w:rsid w:val="0043080E"/>
    <w:rsid w:val="004308F0"/>
    <w:rsid w:val="0043094B"/>
    <w:rsid w:val="00430C92"/>
    <w:rsid w:val="00430FB6"/>
    <w:rsid w:val="004310B7"/>
    <w:rsid w:val="004312B0"/>
    <w:rsid w:val="00431331"/>
    <w:rsid w:val="00431395"/>
    <w:rsid w:val="00431469"/>
    <w:rsid w:val="00431484"/>
    <w:rsid w:val="004314A9"/>
    <w:rsid w:val="004314E8"/>
    <w:rsid w:val="004317C1"/>
    <w:rsid w:val="00431A14"/>
    <w:rsid w:val="00431C43"/>
    <w:rsid w:val="00431CAD"/>
    <w:rsid w:val="00431CF9"/>
    <w:rsid w:val="00431D2B"/>
    <w:rsid w:val="00431E4E"/>
    <w:rsid w:val="00431E63"/>
    <w:rsid w:val="00431FD5"/>
    <w:rsid w:val="00432462"/>
    <w:rsid w:val="004324D8"/>
    <w:rsid w:val="00432643"/>
    <w:rsid w:val="0043286E"/>
    <w:rsid w:val="004328BD"/>
    <w:rsid w:val="0043291E"/>
    <w:rsid w:val="004329D5"/>
    <w:rsid w:val="00432D96"/>
    <w:rsid w:val="00432E5B"/>
    <w:rsid w:val="00432ECA"/>
    <w:rsid w:val="00432F27"/>
    <w:rsid w:val="00432F37"/>
    <w:rsid w:val="00432F3B"/>
    <w:rsid w:val="00433003"/>
    <w:rsid w:val="004330C4"/>
    <w:rsid w:val="004330E5"/>
    <w:rsid w:val="004330E9"/>
    <w:rsid w:val="004332D7"/>
    <w:rsid w:val="0043332A"/>
    <w:rsid w:val="004333EF"/>
    <w:rsid w:val="00433469"/>
    <w:rsid w:val="0043358D"/>
    <w:rsid w:val="004336F0"/>
    <w:rsid w:val="0043376F"/>
    <w:rsid w:val="00433B7F"/>
    <w:rsid w:val="00433C25"/>
    <w:rsid w:val="00433D01"/>
    <w:rsid w:val="00433E40"/>
    <w:rsid w:val="00433F4D"/>
    <w:rsid w:val="00433F5A"/>
    <w:rsid w:val="00433FA0"/>
    <w:rsid w:val="004342E3"/>
    <w:rsid w:val="004342F9"/>
    <w:rsid w:val="0043433F"/>
    <w:rsid w:val="004343D3"/>
    <w:rsid w:val="004343F2"/>
    <w:rsid w:val="0043457F"/>
    <w:rsid w:val="004345FF"/>
    <w:rsid w:val="0043479E"/>
    <w:rsid w:val="00434801"/>
    <w:rsid w:val="0043481B"/>
    <w:rsid w:val="00434857"/>
    <w:rsid w:val="00434859"/>
    <w:rsid w:val="00434902"/>
    <w:rsid w:val="00434BCE"/>
    <w:rsid w:val="00434BE3"/>
    <w:rsid w:val="00434CA5"/>
    <w:rsid w:val="00434D2C"/>
    <w:rsid w:val="00434E8B"/>
    <w:rsid w:val="004350F7"/>
    <w:rsid w:val="0043515A"/>
    <w:rsid w:val="00435253"/>
    <w:rsid w:val="004354AD"/>
    <w:rsid w:val="004354CC"/>
    <w:rsid w:val="0043566A"/>
    <w:rsid w:val="004356FB"/>
    <w:rsid w:val="00435766"/>
    <w:rsid w:val="00435A7D"/>
    <w:rsid w:val="00435D26"/>
    <w:rsid w:val="00435DC1"/>
    <w:rsid w:val="00435DE8"/>
    <w:rsid w:val="004361DE"/>
    <w:rsid w:val="00436371"/>
    <w:rsid w:val="00436394"/>
    <w:rsid w:val="0043650C"/>
    <w:rsid w:val="004365CE"/>
    <w:rsid w:val="00436B95"/>
    <w:rsid w:val="00436D54"/>
    <w:rsid w:val="00436E44"/>
    <w:rsid w:val="00436FD3"/>
    <w:rsid w:val="004370A1"/>
    <w:rsid w:val="0043712D"/>
    <w:rsid w:val="004371D8"/>
    <w:rsid w:val="004371EF"/>
    <w:rsid w:val="0043742E"/>
    <w:rsid w:val="0043744E"/>
    <w:rsid w:val="0043772B"/>
    <w:rsid w:val="00437752"/>
    <w:rsid w:val="004377A5"/>
    <w:rsid w:val="004377DE"/>
    <w:rsid w:val="00437BAD"/>
    <w:rsid w:val="00437BEA"/>
    <w:rsid w:val="00437CB2"/>
    <w:rsid w:val="00437D98"/>
    <w:rsid w:val="00437F84"/>
    <w:rsid w:val="00440297"/>
    <w:rsid w:val="004402F4"/>
    <w:rsid w:val="00440340"/>
    <w:rsid w:val="00440524"/>
    <w:rsid w:val="0044056F"/>
    <w:rsid w:val="00440701"/>
    <w:rsid w:val="0044076A"/>
    <w:rsid w:val="0044087B"/>
    <w:rsid w:val="004408A6"/>
    <w:rsid w:val="004408DB"/>
    <w:rsid w:val="00440930"/>
    <w:rsid w:val="004409D3"/>
    <w:rsid w:val="004409FF"/>
    <w:rsid w:val="00440A66"/>
    <w:rsid w:val="00440AC1"/>
    <w:rsid w:val="00440B57"/>
    <w:rsid w:val="00440C62"/>
    <w:rsid w:val="00440D58"/>
    <w:rsid w:val="00440F6F"/>
    <w:rsid w:val="00440FD5"/>
    <w:rsid w:val="00441103"/>
    <w:rsid w:val="004411CE"/>
    <w:rsid w:val="0044136F"/>
    <w:rsid w:val="004413A5"/>
    <w:rsid w:val="004413BC"/>
    <w:rsid w:val="004414F5"/>
    <w:rsid w:val="00441844"/>
    <w:rsid w:val="0044196B"/>
    <w:rsid w:val="00441A5A"/>
    <w:rsid w:val="00441C25"/>
    <w:rsid w:val="00441C43"/>
    <w:rsid w:val="00441D28"/>
    <w:rsid w:val="00441D5A"/>
    <w:rsid w:val="00441E15"/>
    <w:rsid w:val="0044205A"/>
    <w:rsid w:val="0044206C"/>
    <w:rsid w:val="004420CC"/>
    <w:rsid w:val="00442152"/>
    <w:rsid w:val="0044216D"/>
    <w:rsid w:val="00442171"/>
    <w:rsid w:val="00442241"/>
    <w:rsid w:val="004423AF"/>
    <w:rsid w:val="004425B7"/>
    <w:rsid w:val="004425C2"/>
    <w:rsid w:val="00442789"/>
    <w:rsid w:val="00442818"/>
    <w:rsid w:val="00442820"/>
    <w:rsid w:val="00442847"/>
    <w:rsid w:val="0044294F"/>
    <w:rsid w:val="00442A47"/>
    <w:rsid w:val="00442A67"/>
    <w:rsid w:val="00442B27"/>
    <w:rsid w:val="00442B98"/>
    <w:rsid w:val="00442F68"/>
    <w:rsid w:val="00442FAE"/>
    <w:rsid w:val="00443058"/>
    <w:rsid w:val="0044309F"/>
    <w:rsid w:val="004430BA"/>
    <w:rsid w:val="004431E3"/>
    <w:rsid w:val="004433A2"/>
    <w:rsid w:val="004433A3"/>
    <w:rsid w:val="0044350A"/>
    <w:rsid w:val="004435E5"/>
    <w:rsid w:val="004437E2"/>
    <w:rsid w:val="0044380C"/>
    <w:rsid w:val="0044386D"/>
    <w:rsid w:val="00443C13"/>
    <w:rsid w:val="00443C1F"/>
    <w:rsid w:val="00443C9D"/>
    <w:rsid w:val="00443CCC"/>
    <w:rsid w:val="00443E3B"/>
    <w:rsid w:val="00443EE8"/>
    <w:rsid w:val="00443FE0"/>
    <w:rsid w:val="0044433B"/>
    <w:rsid w:val="00444360"/>
    <w:rsid w:val="0044443F"/>
    <w:rsid w:val="00444745"/>
    <w:rsid w:val="004447E0"/>
    <w:rsid w:val="004449EA"/>
    <w:rsid w:val="00444AB8"/>
    <w:rsid w:val="00444D52"/>
    <w:rsid w:val="00444D69"/>
    <w:rsid w:val="00444E02"/>
    <w:rsid w:val="00444E1D"/>
    <w:rsid w:val="00444EAF"/>
    <w:rsid w:val="00444EE5"/>
    <w:rsid w:val="004450AB"/>
    <w:rsid w:val="00445132"/>
    <w:rsid w:val="004454AF"/>
    <w:rsid w:val="004454EF"/>
    <w:rsid w:val="004457B7"/>
    <w:rsid w:val="004459D3"/>
    <w:rsid w:val="00445AD5"/>
    <w:rsid w:val="00445B15"/>
    <w:rsid w:val="00445B88"/>
    <w:rsid w:val="00446002"/>
    <w:rsid w:val="004460D5"/>
    <w:rsid w:val="00446144"/>
    <w:rsid w:val="004461C7"/>
    <w:rsid w:val="00446230"/>
    <w:rsid w:val="0044647F"/>
    <w:rsid w:val="0044648D"/>
    <w:rsid w:val="004464B8"/>
    <w:rsid w:val="004466D9"/>
    <w:rsid w:val="00446A7A"/>
    <w:rsid w:val="00446C47"/>
    <w:rsid w:val="00446E50"/>
    <w:rsid w:val="0044706C"/>
    <w:rsid w:val="004471B7"/>
    <w:rsid w:val="0044722F"/>
    <w:rsid w:val="0044751B"/>
    <w:rsid w:val="00447757"/>
    <w:rsid w:val="00447A4B"/>
    <w:rsid w:val="00447C9A"/>
    <w:rsid w:val="00447E27"/>
    <w:rsid w:val="004500DB"/>
    <w:rsid w:val="00450310"/>
    <w:rsid w:val="00450394"/>
    <w:rsid w:val="00450405"/>
    <w:rsid w:val="0045046C"/>
    <w:rsid w:val="0045057E"/>
    <w:rsid w:val="00450621"/>
    <w:rsid w:val="00450664"/>
    <w:rsid w:val="0045075C"/>
    <w:rsid w:val="00450762"/>
    <w:rsid w:val="004507FF"/>
    <w:rsid w:val="00450A93"/>
    <w:rsid w:val="00450BB0"/>
    <w:rsid w:val="00450E43"/>
    <w:rsid w:val="0045137B"/>
    <w:rsid w:val="0045142B"/>
    <w:rsid w:val="0045173F"/>
    <w:rsid w:val="0045178A"/>
    <w:rsid w:val="004517C9"/>
    <w:rsid w:val="0045184A"/>
    <w:rsid w:val="0045185C"/>
    <w:rsid w:val="004518CA"/>
    <w:rsid w:val="00451938"/>
    <w:rsid w:val="00451B64"/>
    <w:rsid w:val="00451CA2"/>
    <w:rsid w:val="00451EF8"/>
    <w:rsid w:val="00451F4B"/>
    <w:rsid w:val="00452248"/>
    <w:rsid w:val="0045228B"/>
    <w:rsid w:val="00452349"/>
    <w:rsid w:val="00452524"/>
    <w:rsid w:val="004526CA"/>
    <w:rsid w:val="00452874"/>
    <w:rsid w:val="004528BB"/>
    <w:rsid w:val="004529A9"/>
    <w:rsid w:val="00452A35"/>
    <w:rsid w:val="00452C28"/>
    <w:rsid w:val="00452C66"/>
    <w:rsid w:val="00452D91"/>
    <w:rsid w:val="00453057"/>
    <w:rsid w:val="004530AB"/>
    <w:rsid w:val="004530BF"/>
    <w:rsid w:val="0045322C"/>
    <w:rsid w:val="00453274"/>
    <w:rsid w:val="0045341F"/>
    <w:rsid w:val="004535C3"/>
    <w:rsid w:val="00453757"/>
    <w:rsid w:val="0045383A"/>
    <w:rsid w:val="00453871"/>
    <w:rsid w:val="00453909"/>
    <w:rsid w:val="00453912"/>
    <w:rsid w:val="004539DD"/>
    <w:rsid w:val="00453BB6"/>
    <w:rsid w:val="00453BC4"/>
    <w:rsid w:val="00453BF5"/>
    <w:rsid w:val="00453BFE"/>
    <w:rsid w:val="00453DE8"/>
    <w:rsid w:val="00453E0C"/>
    <w:rsid w:val="0045400F"/>
    <w:rsid w:val="004540CA"/>
    <w:rsid w:val="00454389"/>
    <w:rsid w:val="00454397"/>
    <w:rsid w:val="004545EA"/>
    <w:rsid w:val="0045473A"/>
    <w:rsid w:val="0045497F"/>
    <w:rsid w:val="004549C5"/>
    <w:rsid w:val="00454BDF"/>
    <w:rsid w:val="00454DB5"/>
    <w:rsid w:val="00454DF4"/>
    <w:rsid w:val="00455093"/>
    <w:rsid w:val="004550BA"/>
    <w:rsid w:val="00455108"/>
    <w:rsid w:val="004551DE"/>
    <w:rsid w:val="004551FF"/>
    <w:rsid w:val="00455213"/>
    <w:rsid w:val="0045526B"/>
    <w:rsid w:val="00455320"/>
    <w:rsid w:val="00455364"/>
    <w:rsid w:val="00455503"/>
    <w:rsid w:val="00455567"/>
    <w:rsid w:val="004555E6"/>
    <w:rsid w:val="004558AB"/>
    <w:rsid w:val="00455A5D"/>
    <w:rsid w:val="00455B12"/>
    <w:rsid w:val="00455C1A"/>
    <w:rsid w:val="00455E49"/>
    <w:rsid w:val="00455EFA"/>
    <w:rsid w:val="004560C2"/>
    <w:rsid w:val="004562DD"/>
    <w:rsid w:val="00456576"/>
    <w:rsid w:val="004565DC"/>
    <w:rsid w:val="004566BB"/>
    <w:rsid w:val="004566EE"/>
    <w:rsid w:val="0045678B"/>
    <w:rsid w:val="004567DE"/>
    <w:rsid w:val="00456967"/>
    <w:rsid w:val="00456AE7"/>
    <w:rsid w:val="00456EB4"/>
    <w:rsid w:val="00456EE6"/>
    <w:rsid w:val="00456F5B"/>
    <w:rsid w:val="00457035"/>
    <w:rsid w:val="00457114"/>
    <w:rsid w:val="00457144"/>
    <w:rsid w:val="0045719C"/>
    <w:rsid w:val="004572B4"/>
    <w:rsid w:val="0045733C"/>
    <w:rsid w:val="00457468"/>
    <w:rsid w:val="004574C9"/>
    <w:rsid w:val="004575EE"/>
    <w:rsid w:val="0045769E"/>
    <w:rsid w:val="004576FE"/>
    <w:rsid w:val="004577E9"/>
    <w:rsid w:val="004578D9"/>
    <w:rsid w:val="00457DE1"/>
    <w:rsid w:val="00457EAD"/>
    <w:rsid w:val="00457F1B"/>
    <w:rsid w:val="00457F4A"/>
    <w:rsid w:val="0045A613"/>
    <w:rsid w:val="00460130"/>
    <w:rsid w:val="004601F5"/>
    <w:rsid w:val="00460358"/>
    <w:rsid w:val="00460376"/>
    <w:rsid w:val="0046051F"/>
    <w:rsid w:val="004608E3"/>
    <w:rsid w:val="00460A6F"/>
    <w:rsid w:val="00460B50"/>
    <w:rsid w:val="00460C0C"/>
    <w:rsid w:val="00460C74"/>
    <w:rsid w:val="00460D75"/>
    <w:rsid w:val="00460E64"/>
    <w:rsid w:val="00460FA7"/>
    <w:rsid w:val="00461309"/>
    <w:rsid w:val="00461548"/>
    <w:rsid w:val="00461665"/>
    <w:rsid w:val="0046167A"/>
    <w:rsid w:val="0046170D"/>
    <w:rsid w:val="00461982"/>
    <w:rsid w:val="00461992"/>
    <w:rsid w:val="00461AE0"/>
    <w:rsid w:val="00461B26"/>
    <w:rsid w:val="00461B54"/>
    <w:rsid w:val="00461B8E"/>
    <w:rsid w:val="00461BC6"/>
    <w:rsid w:val="00461BEF"/>
    <w:rsid w:val="00461DDE"/>
    <w:rsid w:val="0046200F"/>
    <w:rsid w:val="00462094"/>
    <w:rsid w:val="004620F4"/>
    <w:rsid w:val="00462277"/>
    <w:rsid w:val="00462580"/>
    <w:rsid w:val="004625F5"/>
    <w:rsid w:val="00462608"/>
    <w:rsid w:val="00462851"/>
    <w:rsid w:val="00462A72"/>
    <w:rsid w:val="00462AE3"/>
    <w:rsid w:val="00462AE6"/>
    <w:rsid w:val="00462AFF"/>
    <w:rsid w:val="00462BF6"/>
    <w:rsid w:val="00462D48"/>
    <w:rsid w:val="00462FD6"/>
    <w:rsid w:val="004630A9"/>
    <w:rsid w:val="004630B7"/>
    <w:rsid w:val="0046324F"/>
    <w:rsid w:val="004632F8"/>
    <w:rsid w:val="0046339A"/>
    <w:rsid w:val="004633E0"/>
    <w:rsid w:val="004633E9"/>
    <w:rsid w:val="0046343A"/>
    <w:rsid w:val="00463482"/>
    <w:rsid w:val="004634A6"/>
    <w:rsid w:val="00463A1B"/>
    <w:rsid w:val="00463A48"/>
    <w:rsid w:val="00463B02"/>
    <w:rsid w:val="00463B48"/>
    <w:rsid w:val="00463CE4"/>
    <w:rsid w:val="00463D4A"/>
    <w:rsid w:val="00463F0F"/>
    <w:rsid w:val="0046419E"/>
    <w:rsid w:val="00464254"/>
    <w:rsid w:val="004646CB"/>
    <w:rsid w:val="00464782"/>
    <w:rsid w:val="00464A15"/>
    <w:rsid w:val="00464B18"/>
    <w:rsid w:val="00464BB1"/>
    <w:rsid w:val="00464CB4"/>
    <w:rsid w:val="00464D7A"/>
    <w:rsid w:val="00464DAC"/>
    <w:rsid w:val="00464DC0"/>
    <w:rsid w:val="00464ED2"/>
    <w:rsid w:val="00464F03"/>
    <w:rsid w:val="0046526E"/>
    <w:rsid w:val="0046549B"/>
    <w:rsid w:val="004654AC"/>
    <w:rsid w:val="0046559B"/>
    <w:rsid w:val="004656E3"/>
    <w:rsid w:val="0046576D"/>
    <w:rsid w:val="00465806"/>
    <w:rsid w:val="004658C2"/>
    <w:rsid w:val="00465906"/>
    <w:rsid w:val="00465908"/>
    <w:rsid w:val="00465998"/>
    <w:rsid w:val="00465A54"/>
    <w:rsid w:val="00465A79"/>
    <w:rsid w:val="00465A8E"/>
    <w:rsid w:val="00465BDB"/>
    <w:rsid w:val="00465BDF"/>
    <w:rsid w:val="00465C26"/>
    <w:rsid w:val="00465CFB"/>
    <w:rsid w:val="00465D59"/>
    <w:rsid w:val="00465E31"/>
    <w:rsid w:val="00465F5E"/>
    <w:rsid w:val="00465FB1"/>
    <w:rsid w:val="00466220"/>
    <w:rsid w:val="00466285"/>
    <w:rsid w:val="00466451"/>
    <w:rsid w:val="00466482"/>
    <w:rsid w:val="00466489"/>
    <w:rsid w:val="004664A2"/>
    <w:rsid w:val="004664F6"/>
    <w:rsid w:val="0046660A"/>
    <w:rsid w:val="0046667A"/>
    <w:rsid w:val="00466810"/>
    <w:rsid w:val="0046693D"/>
    <w:rsid w:val="00466A1B"/>
    <w:rsid w:val="00466B3A"/>
    <w:rsid w:val="00466BD8"/>
    <w:rsid w:val="00466C92"/>
    <w:rsid w:val="00466CFC"/>
    <w:rsid w:val="00466E1A"/>
    <w:rsid w:val="00466F4B"/>
    <w:rsid w:val="00466F6D"/>
    <w:rsid w:val="00466FA0"/>
    <w:rsid w:val="0046707D"/>
    <w:rsid w:val="004670D3"/>
    <w:rsid w:val="00467260"/>
    <w:rsid w:val="0046775B"/>
    <w:rsid w:val="0046789B"/>
    <w:rsid w:val="0046792E"/>
    <w:rsid w:val="00467ACD"/>
    <w:rsid w:val="00467BD4"/>
    <w:rsid w:val="00467BDF"/>
    <w:rsid w:val="00467C3D"/>
    <w:rsid w:val="00467DC0"/>
    <w:rsid w:val="00467DF3"/>
    <w:rsid w:val="00467E0B"/>
    <w:rsid w:val="00467EB8"/>
    <w:rsid w:val="00467FC8"/>
    <w:rsid w:val="0047006A"/>
    <w:rsid w:val="004700F0"/>
    <w:rsid w:val="0047017C"/>
    <w:rsid w:val="004703C4"/>
    <w:rsid w:val="00470433"/>
    <w:rsid w:val="004704BE"/>
    <w:rsid w:val="004705E9"/>
    <w:rsid w:val="00470828"/>
    <w:rsid w:val="0047091F"/>
    <w:rsid w:val="00470A6A"/>
    <w:rsid w:val="00470BDE"/>
    <w:rsid w:val="00470BED"/>
    <w:rsid w:val="00471062"/>
    <w:rsid w:val="00471153"/>
    <w:rsid w:val="00471176"/>
    <w:rsid w:val="00471398"/>
    <w:rsid w:val="004713AB"/>
    <w:rsid w:val="00471465"/>
    <w:rsid w:val="004717BE"/>
    <w:rsid w:val="00471C49"/>
    <w:rsid w:val="00471EEF"/>
    <w:rsid w:val="00471F4B"/>
    <w:rsid w:val="00471F74"/>
    <w:rsid w:val="00471F9D"/>
    <w:rsid w:val="0047202E"/>
    <w:rsid w:val="00472042"/>
    <w:rsid w:val="0047204E"/>
    <w:rsid w:val="0047220E"/>
    <w:rsid w:val="004722A6"/>
    <w:rsid w:val="0047235E"/>
    <w:rsid w:val="00472420"/>
    <w:rsid w:val="00472471"/>
    <w:rsid w:val="00472597"/>
    <w:rsid w:val="00472697"/>
    <w:rsid w:val="0047292B"/>
    <w:rsid w:val="0047295B"/>
    <w:rsid w:val="004729B9"/>
    <w:rsid w:val="00472B7A"/>
    <w:rsid w:val="00472C52"/>
    <w:rsid w:val="00473264"/>
    <w:rsid w:val="00473669"/>
    <w:rsid w:val="004736F7"/>
    <w:rsid w:val="00473733"/>
    <w:rsid w:val="00473BCC"/>
    <w:rsid w:val="00473C0E"/>
    <w:rsid w:val="00473E04"/>
    <w:rsid w:val="00473E20"/>
    <w:rsid w:val="00473F31"/>
    <w:rsid w:val="00473F34"/>
    <w:rsid w:val="004743C1"/>
    <w:rsid w:val="00474750"/>
    <w:rsid w:val="0047480E"/>
    <w:rsid w:val="0047484A"/>
    <w:rsid w:val="00474DF8"/>
    <w:rsid w:val="00474E98"/>
    <w:rsid w:val="00474F01"/>
    <w:rsid w:val="0047516C"/>
    <w:rsid w:val="00475352"/>
    <w:rsid w:val="00475366"/>
    <w:rsid w:val="0047546D"/>
    <w:rsid w:val="004754AB"/>
    <w:rsid w:val="004754CF"/>
    <w:rsid w:val="0047553D"/>
    <w:rsid w:val="00475757"/>
    <w:rsid w:val="00475910"/>
    <w:rsid w:val="00475A48"/>
    <w:rsid w:val="00475A4B"/>
    <w:rsid w:val="00475B98"/>
    <w:rsid w:val="00475B99"/>
    <w:rsid w:val="00475C87"/>
    <w:rsid w:val="00475D1A"/>
    <w:rsid w:val="00475FA9"/>
    <w:rsid w:val="00476256"/>
    <w:rsid w:val="00476445"/>
    <w:rsid w:val="00476502"/>
    <w:rsid w:val="0047666B"/>
    <w:rsid w:val="0047674A"/>
    <w:rsid w:val="00476895"/>
    <w:rsid w:val="00476923"/>
    <w:rsid w:val="00476AC4"/>
    <w:rsid w:val="00476AFE"/>
    <w:rsid w:val="00476C24"/>
    <w:rsid w:val="00476CFB"/>
    <w:rsid w:val="00476DF3"/>
    <w:rsid w:val="00477080"/>
    <w:rsid w:val="00477088"/>
    <w:rsid w:val="004771A8"/>
    <w:rsid w:val="004773EF"/>
    <w:rsid w:val="00477657"/>
    <w:rsid w:val="0047786C"/>
    <w:rsid w:val="004778A6"/>
    <w:rsid w:val="004778CE"/>
    <w:rsid w:val="004779B6"/>
    <w:rsid w:val="00477AA6"/>
    <w:rsid w:val="00477C3C"/>
    <w:rsid w:val="00477C59"/>
    <w:rsid w:val="00477D87"/>
    <w:rsid w:val="00480033"/>
    <w:rsid w:val="004800AC"/>
    <w:rsid w:val="00480199"/>
    <w:rsid w:val="004802D0"/>
    <w:rsid w:val="0048031A"/>
    <w:rsid w:val="004803F5"/>
    <w:rsid w:val="00480403"/>
    <w:rsid w:val="004805B8"/>
    <w:rsid w:val="004806FA"/>
    <w:rsid w:val="00480834"/>
    <w:rsid w:val="004809BE"/>
    <w:rsid w:val="00480A3C"/>
    <w:rsid w:val="00480C2E"/>
    <w:rsid w:val="00480C6A"/>
    <w:rsid w:val="00480DAC"/>
    <w:rsid w:val="00480E38"/>
    <w:rsid w:val="00480F22"/>
    <w:rsid w:val="004810E1"/>
    <w:rsid w:val="0048127D"/>
    <w:rsid w:val="0048136A"/>
    <w:rsid w:val="00481463"/>
    <w:rsid w:val="004816B5"/>
    <w:rsid w:val="00481AD4"/>
    <w:rsid w:val="00481B1E"/>
    <w:rsid w:val="00481D57"/>
    <w:rsid w:val="004821B3"/>
    <w:rsid w:val="004821FE"/>
    <w:rsid w:val="00482214"/>
    <w:rsid w:val="004823A0"/>
    <w:rsid w:val="004823B0"/>
    <w:rsid w:val="0048242E"/>
    <w:rsid w:val="00482526"/>
    <w:rsid w:val="0048254A"/>
    <w:rsid w:val="00482557"/>
    <w:rsid w:val="00482632"/>
    <w:rsid w:val="00482639"/>
    <w:rsid w:val="0048281E"/>
    <w:rsid w:val="00482904"/>
    <w:rsid w:val="00482B8C"/>
    <w:rsid w:val="00482BA1"/>
    <w:rsid w:val="00482CF4"/>
    <w:rsid w:val="00482D17"/>
    <w:rsid w:val="00482EAC"/>
    <w:rsid w:val="00482EC3"/>
    <w:rsid w:val="00482EDF"/>
    <w:rsid w:val="0048303D"/>
    <w:rsid w:val="00483147"/>
    <w:rsid w:val="004832CE"/>
    <w:rsid w:val="00483385"/>
    <w:rsid w:val="0048338A"/>
    <w:rsid w:val="0048340B"/>
    <w:rsid w:val="0048344F"/>
    <w:rsid w:val="004834D0"/>
    <w:rsid w:val="0048361B"/>
    <w:rsid w:val="00483684"/>
    <w:rsid w:val="004836F0"/>
    <w:rsid w:val="00483712"/>
    <w:rsid w:val="0048372D"/>
    <w:rsid w:val="004837A2"/>
    <w:rsid w:val="00483847"/>
    <w:rsid w:val="0048389E"/>
    <w:rsid w:val="004838A8"/>
    <w:rsid w:val="004838C6"/>
    <w:rsid w:val="00483AFB"/>
    <w:rsid w:val="00483B08"/>
    <w:rsid w:val="00483E3C"/>
    <w:rsid w:val="00483EDB"/>
    <w:rsid w:val="00484088"/>
    <w:rsid w:val="00484395"/>
    <w:rsid w:val="0048486E"/>
    <w:rsid w:val="00484893"/>
    <w:rsid w:val="004848D1"/>
    <w:rsid w:val="004848DC"/>
    <w:rsid w:val="00484A90"/>
    <w:rsid w:val="00484AF4"/>
    <w:rsid w:val="00484BAF"/>
    <w:rsid w:val="00484D96"/>
    <w:rsid w:val="00484EDC"/>
    <w:rsid w:val="004851B2"/>
    <w:rsid w:val="00485501"/>
    <w:rsid w:val="00485505"/>
    <w:rsid w:val="00485709"/>
    <w:rsid w:val="00485784"/>
    <w:rsid w:val="00485914"/>
    <w:rsid w:val="00485917"/>
    <w:rsid w:val="00485BC1"/>
    <w:rsid w:val="00485BC5"/>
    <w:rsid w:val="00485C4E"/>
    <w:rsid w:val="00485C53"/>
    <w:rsid w:val="00485C5F"/>
    <w:rsid w:val="00485CDE"/>
    <w:rsid w:val="00485E73"/>
    <w:rsid w:val="0048600B"/>
    <w:rsid w:val="004860E5"/>
    <w:rsid w:val="004863C2"/>
    <w:rsid w:val="00486629"/>
    <w:rsid w:val="00486893"/>
    <w:rsid w:val="00486A32"/>
    <w:rsid w:val="00486A36"/>
    <w:rsid w:val="00486A72"/>
    <w:rsid w:val="00486A9B"/>
    <w:rsid w:val="00486B56"/>
    <w:rsid w:val="00486BC8"/>
    <w:rsid w:val="00486E6B"/>
    <w:rsid w:val="0048705B"/>
    <w:rsid w:val="004870C6"/>
    <w:rsid w:val="00487240"/>
    <w:rsid w:val="004872D9"/>
    <w:rsid w:val="004872DF"/>
    <w:rsid w:val="00487302"/>
    <w:rsid w:val="004873D1"/>
    <w:rsid w:val="004873FC"/>
    <w:rsid w:val="0048743F"/>
    <w:rsid w:val="00487724"/>
    <w:rsid w:val="004877B7"/>
    <w:rsid w:val="00487945"/>
    <w:rsid w:val="00487DC6"/>
    <w:rsid w:val="00487E50"/>
    <w:rsid w:val="00487F8E"/>
    <w:rsid w:val="00487FDB"/>
    <w:rsid w:val="004901DC"/>
    <w:rsid w:val="0049024D"/>
    <w:rsid w:val="00490456"/>
    <w:rsid w:val="00490663"/>
    <w:rsid w:val="004906FA"/>
    <w:rsid w:val="0049071C"/>
    <w:rsid w:val="004907BE"/>
    <w:rsid w:val="004908C5"/>
    <w:rsid w:val="00490A1B"/>
    <w:rsid w:val="00490C52"/>
    <w:rsid w:val="00490C60"/>
    <w:rsid w:val="00490C77"/>
    <w:rsid w:val="00490D56"/>
    <w:rsid w:val="00490E09"/>
    <w:rsid w:val="00490ED5"/>
    <w:rsid w:val="004910F7"/>
    <w:rsid w:val="004911C7"/>
    <w:rsid w:val="004914ED"/>
    <w:rsid w:val="00491529"/>
    <w:rsid w:val="00491585"/>
    <w:rsid w:val="0049167F"/>
    <w:rsid w:val="004916EA"/>
    <w:rsid w:val="004919B3"/>
    <w:rsid w:val="00491DC4"/>
    <w:rsid w:val="00491F04"/>
    <w:rsid w:val="004923F3"/>
    <w:rsid w:val="00492421"/>
    <w:rsid w:val="00492614"/>
    <w:rsid w:val="00492675"/>
    <w:rsid w:val="00492745"/>
    <w:rsid w:val="004929F9"/>
    <w:rsid w:val="00492BBE"/>
    <w:rsid w:val="00492CC8"/>
    <w:rsid w:val="00492D45"/>
    <w:rsid w:val="00492D83"/>
    <w:rsid w:val="00492DCB"/>
    <w:rsid w:val="00492DD2"/>
    <w:rsid w:val="00492DF7"/>
    <w:rsid w:val="00492DF8"/>
    <w:rsid w:val="00492E59"/>
    <w:rsid w:val="004930BE"/>
    <w:rsid w:val="004930CD"/>
    <w:rsid w:val="004932B8"/>
    <w:rsid w:val="0049356C"/>
    <w:rsid w:val="004936DD"/>
    <w:rsid w:val="0049370B"/>
    <w:rsid w:val="004937FF"/>
    <w:rsid w:val="004938C4"/>
    <w:rsid w:val="00493A16"/>
    <w:rsid w:val="00493C49"/>
    <w:rsid w:val="00493E44"/>
    <w:rsid w:val="00493EE1"/>
    <w:rsid w:val="004941E6"/>
    <w:rsid w:val="00494237"/>
    <w:rsid w:val="0049428F"/>
    <w:rsid w:val="004942E3"/>
    <w:rsid w:val="00494421"/>
    <w:rsid w:val="004944BD"/>
    <w:rsid w:val="0049472E"/>
    <w:rsid w:val="0049473C"/>
    <w:rsid w:val="00494768"/>
    <w:rsid w:val="004947AA"/>
    <w:rsid w:val="00494951"/>
    <w:rsid w:val="00494C94"/>
    <w:rsid w:val="00494D10"/>
    <w:rsid w:val="00494F47"/>
    <w:rsid w:val="00494F50"/>
    <w:rsid w:val="00495516"/>
    <w:rsid w:val="0049576B"/>
    <w:rsid w:val="004959DC"/>
    <w:rsid w:val="00495BDC"/>
    <w:rsid w:val="00495F3F"/>
    <w:rsid w:val="00496020"/>
    <w:rsid w:val="004960EA"/>
    <w:rsid w:val="00496222"/>
    <w:rsid w:val="0049634E"/>
    <w:rsid w:val="0049635F"/>
    <w:rsid w:val="00496363"/>
    <w:rsid w:val="00496370"/>
    <w:rsid w:val="00496593"/>
    <w:rsid w:val="0049662C"/>
    <w:rsid w:val="00496731"/>
    <w:rsid w:val="00496765"/>
    <w:rsid w:val="00496904"/>
    <w:rsid w:val="00496B09"/>
    <w:rsid w:val="00496B98"/>
    <w:rsid w:val="00496C1A"/>
    <w:rsid w:val="00496CC4"/>
    <w:rsid w:val="00496EE8"/>
    <w:rsid w:val="00497251"/>
    <w:rsid w:val="004975C1"/>
    <w:rsid w:val="004976CE"/>
    <w:rsid w:val="0049771A"/>
    <w:rsid w:val="004978D0"/>
    <w:rsid w:val="004978FB"/>
    <w:rsid w:val="004979B3"/>
    <w:rsid w:val="00497A59"/>
    <w:rsid w:val="00497ACD"/>
    <w:rsid w:val="00497D4F"/>
    <w:rsid w:val="00497E03"/>
    <w:rsid w:val="00497E66"/>
    <w:rsid w:val="0049BE2F"/>
    <w:rsid w:val="004A01BE"/>
    <w:rsid w:val="004A0323"/>
    <w:rsid w:val="004A0AA8"/>
    <w:rsid w:val="004A0D0D"/>
    <w:rsid w:val="004A0D1F"/>
    <w:rsid w:val="004A0E71"/>
    <w:rsid w:val="004A105A"/>
    <w:rsid w:val="004A1083"/>
    <w:rsid w:val="004A1469"/>
    <w:rsid w:val="004A1695"/>
    <w:rsid w:val="004A16A0"/>
    <w:rsid w:val="004A171B"/>
    <w:rsid w:val="004A1A5C"/>
    <w:rsid w:val="004A1AEA"/>
    <w:rsid w:val="004A1C2C"/>
    <w:rsid w:val="004A1CDD"/>
    <w:rsid w:val="004A1D25"/>
    <w:rsid w:val="004A1D8F"/>
    <w:rsid w:val="004A1FA8"/>
    <w:rsid w:val="004A22E3"/>
    <w:rsid w:val="004A235C"/>
    <w:rsid w:val="004A239B"/>
    <w:rsid w:val="004A23D2"/>
    <w:rsid w:val="004A2634"/>
    <w:rsid w:val="004A2670"/>
    <w:rsid w:val="004A26A9"/>
    <w:rsid w:val="004A2736"/>
    <w:rsid w:val="004A277D"/>
    <w:rsid w:val="004A2909"/>
    <w:rsid w:val="004A2AED"/>
    <w:rsid w:val="004A2B8D"/>
    <w:rsid w:val="004A2CCA"/>
    <w:rsid w:val="004A2CCD"/>
    <w:rsid w:val="004A2D96"/>
    <w:rsid w:val="004A2F62"/>
    <w:rsid w:val="004A327C"/>
    <w:rsid w:val="004A341A"/>
    <w:rsid w:val="004A34EA"/>
    <w:rsid w:val="004A357E"/>
    <w:rsid w:val="004A3830"/>
    <w:rsid w:val="004A3920"/>
    <w:rsid w:val="004A396F"/>
    <w:rsid w:val="004A3C9E"/>
    <w:rsid w:val="004A3E6E"/>
    <w:rsid w:val="004A3EFB"/>
    <w:rsid w:val="004A4108"/>
    <w:rsid w:val="004A4157"/>
    <w:rsid w:val="004A42B3"/>
    <w:rsid w:val="004A433D"/>
    <w:rsid w:val="004A4486"/>
    <w:rsid w:val="004A4504"/>
    <w:rsid w:val="004A461B"/>
    <w:rsid w:val="004A4648"/>
    <w:rsid w:val="004A46C3"/>
    <w:rsid w:val="004A4731"/>
    <w:rsid w:val="004A4A86"/>
    <w:rsid w:val="004A4C59"/>
    <w:rsid w:val="004A4DDF"/>
    <w:rsid w:val="004A4E72"/>
    <w:rsid w:val="004A5189"/>
    <w:rsid w:val="004A51EA"/>
    <w:rsid w:val="004A531B"/>
    <w:rsid w:val="004A537D"/>
    <w:rsid w:val="004A5386"/>
    <w:rsid w:val="004A53D5"/>
    <w:rsid w:val="004A5598"/>
    <w:rsid w:val="004A5638"/>
    <w:rsid w:val="004A5732"/>
    <w:rsid w:val="004A577A"/>
    <w:rsid w:val="004A5AFA"/>
    <w:rsid w:val="004A5F3B"/>
    <w:rsid w:val="004A5F90"/>
    <w:rsid w:val="004A5FE8"/>
    <w:rsid w:val="004A613D"/>
    <w:rsid w:val="004A636E"/>
    <w:rsid w:val="004A6580"/>
    <w:rsid w:val="004A65AC"/>
    <w:rsid w:val="004A676E"/>
    <w:rsid w:val="004A67EF"/>
    <w:rsid w:val="004A6AA3"/>
    <w:rsid w:val="004A6C02"/>
    <w:rsid w:val="004A6DDA"/>
    <w:rsid w:val="004A6E58"/>
    <w:rsid w:val="004A6E6C"/>
    <w:rsid w:val="004A6F6F"/>
    <w:rsid w:val="004A6FB9"/>
    <w:rsid w:val="004A734B"/>
    <w:rsid w:val="004A7450"/>
    <w:rsid w:val="004A7470"/>
    <w:rsid w:val="004A7475"/>
    <w:rsid w:val="004A7485"/>
    <w:rsid w:val="004A74B5"/>
    <w:rsid w:val="004A76B5"/>
    <w:rsid w:val="004A771A"/>
    <w:rsid w:val="004A7812"/>
    <w:rsid w:val="004A78AD"/>
    <w:rsid w:val="004A7B51"/>
    <w:rsid w:val="004A7B90"/>
    <w:rsid w:val="004A7CCC"/>
    <w:rsid w:val="004A7CEF"/>
    <w:rsid w:val="004A7EEA"/>
    <w:rsid w:val="004B00D3"/>
    <w:rsid w:val="004B02F8"/>
    <w:rsid w:val="004B0481"/>
    <w:rsid w:val="004B0517"/>
    <w:rsid w:val="004B06B0"/>
    <w:rsid w:val="004B0862"/>
    <w:rsid w:val="004B090F"/>
    <w:rsid w:val="004B096A"/>
    <w:rsid w:val="004B0DA1"/>
    <w:rsid w:val="004B0FD3"/>
    <w:rsid w:val="004B1016"/>
    <w:rsid w:val="004B1738"/>
    <w:rsid w:val="004B1B26"/>
    <w:rsid w:val="004B1BAE"/>
    <w:rsid w:val="004B1C2E"/>
    <w:rsid w:val="004B1C96"/>
    <w:rsid w:val="004B1CC5"/>
    <w:rsid w:val="004B1DE4"/>
    <w:rsid w:val="004B1E8E"/>
    <w:rsid w:val="004B1EB0"/>
    <w:rsid w:val="004B1FEA"/>
    <w:rsid w:val="004B209C"/>
    <w:rsid w:val="004B21EB"/>
    <w:rsid w:val="004B2306"/>
    <w:rsid w:val="004B24B0"/>
    <w:rsid w:val="004B2592"/>
    <w:rsid w:val="004B2668"/>
    <w:rsid w:val="004B2732"/>
    <w:rsid w:val="004B277A"/>
    <w:rsid w:val="004B27A5"/>
    <w:rsid w:val="004B27BF"/>
    <w:rsid w:val="004B29BF"/>
    <w:rsid w:val="004B2A91"/>
    <w:rsid w:val="004B2B07"/>
    <w:rsid w:val="004B2B48"/>
    <w:rsid w:val="004B2D48"/>
    <w:rsid w:val="004B2FE8"/>
    <w:rsid w:val="004B30E8"/>
    <w:rsid w:val="004B3383"/>
    <w:rsid w:val="004B3387"/>
    <w:rsid w:val="004B35B1"/>
    <w:rsid w:val="004B36D3"/>
    <w:rsid w:val="004B3702"/>
    <w:rsid w:val="004B371C"/>
    <w:rsid w:val="004B394B"/>
    <w:rsid w:val="004B39F7"/>
    <w:rsid w:val="004B3A34"/>
    <w:rsid w:val="004B3B63"/>
    <w:rsid w:val="004B3C83"/>
    <w:rsid w:val="004B3D8F"/>
    <w:rsid w:val="004B3DEC"/>
    <w:rsid w:val="004B3DFD"/>
    <w:rsid w:val="004B3E7C"/>
    <w:rsid w:val="004B3F57"/>
    <w:rsid w:val="004B4059"/>
    <w:rsid w:val="004B4276"/>
    <w:rsid w:val="004B428B"/>
    <w:rsid w:val="004B42D8"/>
    <w:rsid w:val="004B436E"/>
    <w:rsid w:val="004B43C5"/>
    <w:rsid w:val="004B4457"/>
    <w:rsid w:val="004B489C"/>
    <w:rsid w:val="004B4A70"/>
    <w:rsid w:val="004B4B64"/>
    <w:rsid w:val="004B4BD5"/>
    <w:rsid w:val="004B4EA5"/>
    <w:rsid w:val="004B5037"/>
    <w:rsid w:val="004B505B"/>
    <w:rsid w:val="004B5558"/>
    <w:rsid w:val="004B57A8"/>
    <w:rsid w:val="004B5812"/>
    <w:rsid w:val="004B5813"/>
    <w:rsid w:val="004B5864"/>
    <w:rsid w:val="004B5A92"/>
    <w:rsid w:val="004B5BD4"/>
    <w:rsid w:val="004B5C27"/>
    <w:rsid w:val="004B5D1C"/>
    <w:rsid w:val="004B5E82"/>
    <w:rsid w:val="004B5ECD"/>
    <w:rsid w:val="004B5F3D"/>
    <w:rsid w:val="004B6032"/>
    <w:rsid w:val="004B6168"/>
    <w:rsid w:val="004B6391"/>
    <w:rsid w:val="004B64A8"/>
    <w:rsid w:val="004B64B3"/>
    <w:rsid w:val="004B6793"/>
    <w:rsid w:val="004B6B10"/>
    <w:rsid w:val="004B6BA1"/>
    <w:rsid w:val="004B6BE0"/>
    <w:rsid w:val="004B6E01"/>
    <w:rsid w:val="004B6E5F"/>
    <w:rsid w:val="004B6FF1"/>
    <w:rsid w:val="004B715D"/>
    <w:rsid w:val="004B7228"/>
    <w:rsid w:val="004B73C8"/>
    <w:rsid w:val="004B7418"/>
    <w:rsid w:val="004B7731"/>
    <w:rsid w:val="004B7963"/>
    <w:rsid w:val="004B7A02"/>
    <w:rsid w:val="004B7A14"/>
    <w:rsid w:val="004B7DDE"/>
    <w:rsid w:val="004C0075"/>
    <w:rsid w:val="004C00BA"/>
    <w:rsid w:val="004C0241"/>
    <w:rsid w:val="004C0393"/>
    <w:rsid w:val="004C0398"/>
    <w:rsid w:val="004C03C4"/>
    <w:rsid w:val="004C04FF"/>
    <w:rsid w:val="004C0586"/>
    <w:rsid w:val="004C05FB"/>
    <w:rsid w:val="004C0657"/>
    <w:rsid w:val="004C07AC"/>
    <w:rsid w:val="004C07C9"/>
    <w:rsid w:val="004C07E9"/>
    <w:rsid w:val="004C0BAB"/>
    <w:rsid w:val="004C0CA6"/>
    <w:rsid w:val="004C102E"/>
    <w:rsid w:val="004C10EC"/>
    <w:rsid w:val="004C117B"/>
    <w:rsid w:val="004C1445"/>
    <w:rsid w:val="004C144E"/>
    <w:rsid w:val="004C14E3"/>
    <w:rsid w:val="004C1859"/>
    <w:rsid w:val="004C1861"/>
    <w:rsid w:val="004C1A93"/>
    <w:rsid w:val="004C1D52"/>
    <w:rsid w:val="004C1D9C"/>
    <w:rsid w:val="004C1E6D"/>
    <w:rsid w:val="004C1EAB"/>
    <w:rsid w:val="004C1EC3"/>
    <w:rsid w:val="004C1F3B"/>
    <w:rsid w:val="004C1FCC"/>
    <w:rsid w:val="004C21FD"/>
    <w:rsid w:val="004C22B6"/>
    <w:rsid w:val="004C23BA"/>
    <w:rsid w:val="004C23CA"/>
    <w:rsid w:val="004C2558"/>
    <w:rsid w:val="004C2612"/>
    <w:rsid w:val="004C264D"/>
    <w:rsid w:val="004C2693"/>
    <w:rsid w:val="004C2A9D"/>
    <w:rsid w:val="004C2B2C"/>
    <w:rsid w:val="004C2BE9"/>
    <w:rsid w:val="004C2F18"/>
    <w:rsid w:val="004C3003"/>
    <w:rsid w:val="004C306E"/>
    <w:rsid w:val="004C30D7"/>
    <w:rsid w:val="004C32CB"/>
    <w:rsid w:val="004C35DF"/>
    <w:rsid w:val="004C3650"/>
    <w:rsid w:val="004C37A7"/>
    <w:rsid w:val="004C383B"/>
    <w:rsid w:val="004C38FF"/>
    <w:rsid w:val="004C3B93"/>
    <w:rsid w:val="004C3BB9"/>
    <w:rsid w:val="004C3BE1"/>
    <w:rsid w:val="004C3C08"/>
    <w:rsid w:val="004C3CAF"/>
    <w:rsid w:val="004C41CC"/>
    <w:rsid w:val="004C422C"/>
    <w:rsid w:val="004C43B0"/>
    <w:rsid w:val="004C43F1"/>
    <w:rsid w:val="004C4466"/>
    <w:rsid w:val="004C45A0"/>
    <w:rsid w:val="004C4629"/>
    <w:rsid w:val="004C4841"/>
    <w:rsid w:val="004C4893"/>
    <w:rsid w:val="004C49F4"/>
    <w:rsid w:val="004C4AC1"/>
    <w:rsid w:val="004C4C6C"/>
    <w:rsid w:val="004C4C8B"/>
    <w:rsid w:val="004C4CFE"/>
    <w:rsid w:val="004C4D26"/>
    <w:rsid w:val="004C4EE9"/>
    <w:rsid w:val="004C4FC9"/>
    <w:rsid w:val="004C515A"/>
    <w:rsid w:val="004C5182"/>
    <w:rsid w:val="004C52AE"/>
    <w:rsid w:val="004C534C"/>
    <w:rsid w:val="004C558E"/>
    <w:rsid w:val="004C5602"/>
    <w:rsid w:val="004C5691"/>
    <w:rsid w:val="004C56BF"/>
    <w:rsid w:val="004C58DB"/>
    <w:rsid w:val="004C5AAF"/>
    <w:rsid w:val="004C5ECD"/>
    <w:rsid w:val="004C61E6"/>
    <w:rsid w:val="004C63B9"/>
    <w:rsid w:val="004C63BB"/>
    <w:rsid w:val="004C6498"/>
    <w:rsid w:val="004C65A7"/>
    <w:rsid w:val="004C6629"/>
    <w:rsid w:val="004C667A"/>
    <w:rsid w:val="004C680F"/>
    <w:rsid w:val="004C683D"/>
    <w:rsid w:val="004C69F1"/>
    <w:rsid w:val="004C6A74"/>
    <w:rsid w:val="004C6AFF"/>
    <w:rsid w:val="004C6B24"/>
    <w:rsid w:val="004C6BAB"/>
    <w:rsid w:val="004C6C58"/>
    <w:rsid w:val="004C6D7A"/>
    <w:rsid w:val="004C6DFE"/>
    <w:rsid w:val="004C7102"/>
    <w:rsid w:val="004C7392"/>
    <w:rsid w:val="004C7500"/>
    <w:rsid w:val="004C7546"/>
    <w:rsid w:val="004C7583"/>
    <w:rsid w:val="004C76F4"/>
    <w:rsid w:val="004C778B"/>
    <w:rsid w:val="004C78C8"/>
    <w:rsid w:val="004C797D"/>
    <w:rsid w:val="004C79DC"/>
    <w:rsid w:val="004C7ABD"/>
    <w:rsid w:val="004C7BB4"/>
    <w:rsid w:val="004C7D39"/>
    <w:rsid w:val="004C7D6E"/>
    <w:rsid w:val="004C7E24"/>
    <w:rsid w:val="004D027D"/>
    <w:rsid w:val="004D056F"/>
    <w:rsid w:val="004D0815"/>
    <w:rsid w:val="004D08DB"/>
    <w:rsid w:val="004D0A13"/>
    <w:rsid w:val="004D0A1F"/>
    <w:rsid w:val="004D0AD3"/>
    <w:rsid w:val="004D0CAF"/>
    <w:rsid w:val="004D0DE5"/>
    <w:rsid w:val="004D0FEC"/>
    <w:rsid w:val="004D10AC"/>
    <w:rsid w:val="004D129C"/>
    <w:rsid w:val="004D12E8"/>
    <w:rsid w:val="004D1351"/>
    <w:rsid w:val="004D1486"/>
    <w:rsid w:val="004D1704"/>
    <w:rsid w:val="004D1743"/>
    <w:rsid w:val="004D178A"/>
    <w:rsid w:val="004D17C7"/>
    <w:rsid w:val="004D17C9"/>
    <w:rsid w:val="004D19C4"/>
    <w:rsid w:val="004D1B7C"/>
    <w:rsid w:val="004D1CB6"/>
    <w:rsid w:val="004D1D92"/>
    <w:rsid w:val="004D1E78"/>
    <w:rsid w:val="004D1EB0"/>
    <w:rsid w:val="004D1F02"/>
    <w:rsid w:val="004D1F61"/>
    <w:rsid w:val="004D1F96"/>
    <w:rsid w:val="004D2091"/>
    <w:rsid w:val="004D2166"/>
    <w:rsid w:val="004D221B"/>
    <w:rsid w:val="004D2237"/>
    <w:rsid w:val="004D236F"/>
    <w:rsid w:val="004D249B"/>
    <w:rsid w:val="004D2759"/>
    <w:rsid w:val="004D27B6"/>
    <w:rsid w:val="004D2831"/>
    <w:rsid w:val="004D284E"/>
    <w:rsid w:val="004D296E"/>
    <w:rsid w:val="004D298A"/>
    <w:rsid w:val="004D29CA"/>
    <w:rsid w:val="004D2A00"/>
    <w:rsid w:val="004D2A08"/>
    <w:rsid w:val="004D2A9F"/>
    <w:rsid w:val="004D2AF5"/>
    <w:rsid w:val="004D2BF7"/>
    <w:rsid w:val="004D2FC2"/>
    <w:rsid w:val="004D3175"/>
    <w:rsid w:val="004D3365"/>
    <w:rsid w:val="004D345E"/>
    <w:rsid w:val="004D34DF"/>
    <w:rsid w:val="004D34E2"/>
    <w:rsid w:val="004D3648"/>
    <w:rsid w:val="004D38EC"/>
    <w:rsid w:val="004D3A52"/>
    <w:rsid w:val="004D3AB1"/>
    <w:rsid w:val="004D3C18"/>
    <w:rsid w:val="004D3D0A"/>
    <w:rsid w:val="004D3DB3"/>
    <w:rsid w:val="004D3F22"/>
    <w:rsid w:val="004D3F34"/>
    <w:rsid w:val="004D406A"/>
    <w:rsid w:val="004D41D2"/>
    <w:rsid w:val="004D41EC"/>
    <w:rsid w:val="004D4381"/>
    <w:rsid w:val="004D4437"/>
    <w:rsid w:val="004D4491"/>
    <w:rsid w:val="004D460B"/>
    <w:rsid w:val="004D4768"/>
    <w:rsid w:val="004D4772"/>
    <w:rsid w:val="004D4838"/>
    <w:rsid w:val="004D4851"/>
    <w:rsid w:val="004D4911"/>
    <w:rsid w:val="004D49FF"/>
    <w:rsid w:val="004D4CA4"/>
    <w:rsid w:val="004D4CE2"/>
    <w:rsid w:val="004D4E0B"/>
    <w:rsid w:val="004D4E1F"/>
    <w:rsid w:val="004D5137"/>
    <w:rsid w:val="004D517D"/>
    <w:rsid w:val="004D5459"/>
    <w:rsid w:val="004D5525"/>
    <w:rsid w:val="004D555E"/>
    <w:rsid w:val="004D55DB"/>
    <w:rsid w:val="004D563A"/>
    <w:rsid w:val="004D5653"/>
    <w:rsid w:val="004D56DF"/>
    <w:rsid w:val="004D615D"/>
    <w:rsid w:val="004D6478"/>
    <w:rsid w:val="004D64A9"/>
    <w:rsid w:val="004D6632"/>
    <w:rsid w:val="004D6692"/>
    <w:rsid w:val="004D66CD"/>
    <w:rsid w:val="004D6709"/>
    <w:rsid w:val="004D6820"/>
    <w:rsid w:val="004D6BBA"/>
    <w:rsid w:val="004D6C28"/>
    <w:rsid w:val="004D6F2B"/>
    <w:rsid w:val="004D6FDA"/>
    <w:rsid w:val="004D70B6"/>
    <w:rsid w:val="004D7379"/>
    <w:rsid w:val="004D7381"/>
    <w:rsid w:val="004D7417"/>
    <w:rsid w:val="004D7427"/>
    <w:rsid w:val="004D754C"/>
    <w:rsid w:val="004D7607"/>
    <w:rsid w:val="004D77D6"/>
    <w:rsid w:val="004D7937"/>
    <w:rsid w:val="004D79F6"/>
    <w:rsid w:val="004D7E9C"/>
    <w:rsid w:val="004D7F63"/>
    <w:rsid w:val="004D7FEF"/>
    <w:rsid w:val="004E004B"/>
    <w:rsid w:val="004E0153"/>
    <w:rsid w:val="004E01AC"/>
    <w:rsid w:val="004E01CF"/>
    <w:rsid w:val="004E0264"/>
    <w:rsid w:val="004E038F"/>
    <w:rsid w:val="004E039F"/>
    <w:rsid w:val="004E048F"/>
    <w:rsid w:val="004E05AB"/>
    <w:rsid w:val="004E05D0"/>
    <w:rsid w:val="004E0616"/>
    <w:rsid w:val="004E06F5"/>
    <w:rsid w:val="004E06F8"/>
    <w:rsid w:val="004E0728"/>
    <w:rsid w:val="004E0A68"/>
    <w:rsid w:val="004E0B00"/>
    <w:rsid w:val="004E0B6E"/>
    <w:rsid w:val="004E0CFE"/>
    <w:rsid w:val="004E0D2F"/>
    <w:rsid w:val="004E0D34"/>
    <w:rsid w:val="004E0E5E"/>
    <w:rsid w:val="004E0E88"/>
    <w:rsid w:val="004E1198"/>
    <w:rsid w:val="004E1222"/>
    <w:rsid w:val="004E1499"/>
    <w:rsid w:val="004E1571"/>
    <w:rsid w:val="004E16BA"/>
    <w:rsid w:val="004E17B6"/>
    <w:rsid w:val="004E17BF"/>
    <w:rsid w:val="004E194D"/>
    <w:rsid w:val="004E1A6A"/>
    <w:rsid w:val="004E1A8A"/>
    <w:rsid w:val="004E1BCA"/>
    <w:rsid w:val="004E1E9C"/>
    <w:rsid w:val="004E1EAD"/>
    <w:rsid w:val="004E1FE6"/>
    <w:rsid w:val="004E2008"/>
    <w:rsid w:val="004E2384"/>
    <w:rsid w:val="004E2396"/>
    <w:rsid w:val="004E2569"/>
    <w:rsid w:val="004E28EA"/>
    <w:rsid w:val="004E2B57"/>
    <w:rsid w:val="004E2D03"/>
    <w:rsid w:val="004E3086"/>
    <w:rsid w:val="004E310E"/>
    <w:rsid w:val="004E3215"/>
    <w:rsid w:val="004E3218"/>
    <w:rsid w:val="004E3319"/>
    <w:rsid w:val="004E33C5"/>
    <w:rsid w:val="004E35BC"/>
    <w:rsid w:val="004E35C6"/>
    <w:rsid w:val="004E3757"/>
    <w:rsid w:val="004E37FC"/>
    <w:rsid w:val="004E38FC"/>
    <w:rsid w:val="004E391E"/>
    <w:rsid w:val="004E3A05"/>
    <w:rsid w:val="004E3B0C"/>
    <w:rsid w:val="004E3C37"/>
    <w:rsid w:val="004E3C6C"/>
    <w:rsid w:val="004E3CBB"/>
    <w:rsid w:val="004E3CBF"/>
    <w:rsid w:val="004E3E42"/>
    <w:rsid w:val="004E4235"/>
    <w:rsid w:val="004E42AF"/>
    <w:rsid w:val="004E4328"/>
    <w:rsid w:val="004E4346"/>
    <w:rsid w:val="004E4578"/>
    <w:rsid w:val="004E464F"/>
    <w:rsid w:val="004E478A"/>
    <w:rsid w:val="004E49C5"/>
    <w:rsid w:val="004E4A20"/>
    <w:rsid w:val="004E4AC7"/>
    <w:rsid w:val="004E4ADA"/>
    <w:rsid w:val="004E4CA2"/>
    <w:rsid w:val="004E4D12"/>
    <w:rsid w:val="004E4D38"/>
    <w:rsid w:val="004E4D55"/>
    <w:rsid w:val="004E4DE3"/>
    <w:rsid w:val="004E4FB9"/>
    <w:rsid w:val="004E52FE"/>
    <w:rsid w:val="004E532E"/>
    <w:rsid w:val="004E557A"/>
    <w:rsid w:val="004E560D"/>
    <w:rsid w:val="004E5689"/>
    <w:rsid w:val="004E56C6"/>
    <w:rsid w:val="004E57A4"/>
    <w:rsid w:val="004E58B0"/>
    <w:rsid w:val="004E5926"/>
    <w:rsid w:val="004E5981"/>
    <w:rsid w:val="004E5A9C"/>
    <w:rsid w:val="004E5AB9"/>
    <w:rsid w:val="004E5E03"/>
    <w:rsid w:val="004E5E52"/>
    <w:rsid w:val="004E5E8B"/>
    <w:rsid w:val="004E6014"/>
    <w:rsid w:val="004E60AB"/>
    <w:rsid w:val="004E6110"/>
    <w:rsid w:val="004E6293"/>
    <w:rsid w:val="004E62E7"/>
    <w:rsid w:val="004E64BC"/>
    <w:rsid w:val="004E64C5"/>
    <w:rsid w:val="004E6665"/>
    <w:rsid w:val="004E6938"/>
    <w:rsid w:val="004E6C14"/>
    <w:rsid w:val="004E6C94"/>
    <w:rsid w:val="004E6CF7"/>
    <w:rsid w:val="004E6E55"/>
    <w:rsid w:val="004E7455"/>
    <w:rsid w:val="004E7599"/>
    <w:rsid w:val="004E7692"/>
    <w:rsid w:val="004E773B"/>
    <w:rsid w:val="004E7817"/>
    <w:rsid w:val="004E782D"/>
    <w:rsid w:val="004E7D3A"/>
    <w:rsid w:val="004E7DD0"/>
    <w:rsid w:val="004E7E81"/>
    <w:rsid w:val="004E7FB3"/>
    <w:rsid w:val="004F003B"/>
    <w:rsid w:val="004F0090"/>
    <w:rsid w:val="004F0098"/>
    <w:rsid w:val="004F00C4"/>
    <w:rsid w:val="004F012E"/>
    <w:rsid w:val="004F047A"/>
    <w:rsid w:val="004F063E"/>
    <w:rsid w:val="004F0681"/>
    <w:rsid w:val="004F071E"/>
    <w:rsid w:val="004F0756"/>
    <w:rsid w:val="004F07C0"/>
    <w:rsid w:val="004F0A4D"/>
    <w:rsid w:val="004F0C30"/>
    <w:rsid w:val="004F0C7F"/>
    <w:rsid w:val="004F0DB0"/>
    <w:rsid w:val="004F107F"/>
    <w:rsid w:val="004F1236"/>
    <w:rsid w:val="004F123F"/>
    <w:rsid w:val="004F128A"/>
    <w:rsid w:val="004F1409"/>
    <w:rsid w:val="004F163A"/>
    <w:rsid w:val="004F163D"/>
    <w:rsid w:val="004F16D4"/>
    <w:rsid w:val="004F177E"/>
    <w:rsid w:val="004F1A47"/>
    <w:rsid w:val="004F1AB9"/>
    <w:rsid w:val="004F1B54"/>
    <w:rsid w:val="004F1C4E"/>
    <w:rsid w:val="004F1C8C"/>
    <w:rsid w:val="004F1F13"/>
    <w:rsid w:val="004F1F91"/>
    <w:rsid w:val="004F2141"/>
    <w:rsid w:val="004F23EA"/>
    <w:rsid w:val="004F264E"/>
    <w:rsid w:val="004F275B"/>
    <w:rsid w:val="004F2B61"/>
    <w:rsid w:val="004F2BF0"/>
    <w:rsid w:val="004F2EEF"/>
    <w:rsid w:val="004F3038"/>
    <w:rsid w:val="004F31C2"/>
    <w:rsid w:val="004F3391"/>
    <w:rsid w:val="004F33A2"/>
    <w:rsid w:val="004F357C"/>
    <w:rsid w:val="004F3698"/>
    <w:rsid w:val="004F37C8"/>
    <w:rsid w:val="004F3A12"/>
    <w:rsid w:val="004F3B33"/>
    <w:rsid w:val="004F3B75"/>
    <w:rsid w:val="004F3B80"/>
    <w:rsid w:val="004F3CA3"/>
    <w:rsid w:val="004F3CD3"/>
    <w:rsid w:val="004F3D4A"/>
    <w:rsid w:val="004F3F43"/>
    <w:rsid w:val="004F407B"/>
    <w:rsid w:val="004F40A9"/>
    <w:rsid w:val="004F43AE"/>
    <w:rsid w:val="004F4624"/>
    <w:rsid w:val="004F46FF"/>
    <w:rsid w:val="004F48D6"/>
    <w:rsid w:val="004F49BA"/>
    <w:rsid w:val="004F4AE4"/>
    <w:rsid w:val="004F4CD5"/>
    <w:rsid w:val="004F4DB1"/>
    <w:rsid w:val="004F4E2C"/>
    <w:rsid w:val="004F5005"/>
    <w:rsid w:val="004F515E"/>
    <w:rsid w:val="004F5201"/>
    <w:rsid w:val="004F529B"/>
    <w:rsid w:val="004F5359"/>
    <w:rsid w:val="004F5655"/>
    <w:rsid w:val="004F56A3"/>
    <w:rsid w:val="004F56E7"/>
    <w:rsid w:val="004F591C"/>
    <w:rsid w:val="004F5A09"/>
    <w:rsid w:val="004F5CD8"/>
    <w:rsid w:val="004F5CF4"/>
    <w:rsid w:val="004F5D80"/>
    <w:rsid w:val="004F5E10"/>
    <w:rsid w:val="004F5EC3"/>
    <w:rsid w:val="004F601E"/>
    <w:rsid w:val="004F62E0"/>
    <w:rsid w:val="004F6315"/>
    <w:rsid w:val="004F6459"/>
    <w:rsid w:val="004F6555"/>
    <w:rsid w:val="004F656E"/>
    <w:rsid w:val="004F66E9"/>
    <w:rsid w:val="004F689C"/>
    <w:rsid w:val="004F6967"/>
    <w:rsid w:val="004F69CA"/>
    <w:rsid w:val="004F6A51"/>
    <w:rsid w:val="004F6B2D"/>
    <w:rsid w:val="004F6F9C"/>
    <w:rsid w:val="004F6FAC"/>
    <w:rsid w:val="004F7009"/>
    <w:rsid w:val="004F715E"/>
    <w:rsid w:val="004F75AC"/>
    <w:rsid w:val="004F770F"/>
    <w:rsid w:val="004F776C"/>
    <w:rsid w:val="004F7832"/>
    <w:rsid w:val="004F7911"/>
    <w:rsid w:val="004F7EAD"/>
    <w:rsid w:val="0050038A"/>
    <w:rsid w:val="005003E0"/>
    <w:rsid w:val="0050046A"/>
    <w:rsid w:val="00500526"/>
    <w:rsid w:val="00500538"/>
    <w:rsid w:val="00500633"/>
    <w:rsid w:val="005006F5"/>
    <w:rsid w:val="0050077B"/>
    <w:rsid w:val="0050089C"/>
    <w:rsid w:val="005009F8"/>
    <w:rsid w:val="00500B9D"/>
    <w:rsid w:val="00500C2F"/>
    <w:rsid w:val="00500C87"/>
    <w:rsid w:val="00500CCD"/>
    <w:rsid w:val="00500D34"/>
    <w:rsid w:val="00500DDD"/>
    <w:rsid w:val="00500F00"/>
    <w:rsid w:val="005010B9"/>
    <w:rsid w:val="00501136"/>
    <w:rsid w:val="0050125B"/>
    <w:rsid w:val="0050138E"/>
    <w:rsid w:val="00501499"/>
    <w:rsid w:val="005015CA"/>
    <w:rsid w:val="00501641"/>
    <w:rsid w:val="00501A46"/>
    <w:rsid w:val="00501AE4"/>
    <w:rsid w:val="00501EAA"/>
    <w:rsid w:val="00501F38"/>
    <w:rsid w:val="00501F85"/>
    <w:rsid w:val="00502281"/>
    <w:rsid w:val="00502595"/>
    <w:rsid w:val="005026FC"/>
    <w:rsid w:val="005027B5"/>
    <w:rsid w:val="00502937"/>
    <w:rsid w:val="00502A16"/>
    <w:rsid w:val="00502A7F"/>
    <w:rsid w:val="00502CD8"/>
    <w:rsid w:val="00502D4D"/>
    <w:rsid w:val="00502FC6"/>
    <w:rsid w:val="0050304B"/>
    <w:rsid w:val="005032EE"/>
    <w:rsid w:val="0050332C"/>
    <w:rsid w:val="00503486"/>
    <w:rsid w:val="00503583"/>
    <w:rsid w:val="00503937"/>
    <w:rsid w:val="00503B03"/>
    <w:rsid w:val="00503B2D"/>
    <w:rsid w:val="00503C0A"/>
    <w:rsid w:val="0050462C"/>
    <w:rsid w:val="005046C8"/>
    <w:rsid w:val="00504877"/>
    <w:rsid w:val="00504961"/>
    <w:rsid w:val="00504983"/>
    <w:rsid w:val="005049F5"/>
    <w:rsid w:val="00504A95"/>
    <w:rsid w:val="00504AC4"/>
    <w:rsid w:val="00504ADD"/>
    <w:rsid w:val="005050BF"/>
    <w:rsid w:val="00505438"/>
    <w:rsid w:val="005054AD"/>
    <w:rsid w:val="005054F8"/>
    <w:rsid w:val="00505922"/>
    <w:rsid w:val="00505A3C"/>
    <w:rsid w:val="00505D12"/>
    <w:rsid w:val="00505D44"/>
    <w:rsid w:val="00505DAF"/>
    <w:rsid w:val="00505F72"/>
    <w:rsid w:val="005060C3"/>
    <w:rsid w:val="0050610A"/>
    <w:rsid w:val="00506294"/>
    <w:rsid w:val="0050647C"/>
    <w:rsid w:val="00506663"/>
    <w:rsid w:val="005066E3"/>
    <w:rsid w:val="00506808"/>
    <w:rsid w:val="0050686E"/>
    <w:rsid w:val="00506B3D"/>
    <w:rsid w:val="00507176"/>
    <w:rsid w:val="005071B6"/>
    <w:rsid w:val="005073A5"/>
    <w:rsid w:val="0050753F"/>
    <w:rsid w:val="00507737"/>
    <w:rsid w:val="00507864"/>
    <w:rsid w:val="005078FE"/>
    <w:rsid w:val="00507A40"/>
    <w:rsid w:val="00507FEE"/>
    <w:rsid w:val="0050F593"/>
    <w:rsid w:val="0051004F"/>
    <w:rsid w:val="00510224"/>
    <w:rsid w:val="00510233"/>
    <w:rsid w:val="005103AD"/>
    <w:rsid w:val="005104C4"/>
    <w:rsid w:val="00510550"/>
    <w:rsid w:val="00510665"/>
    <w:rsid w:val="005108DA"/>
    <w:rsid w:val="00510982"/>
    <w:rsid w:val="00510A79"/>
    <w:rsid w:val="00510C49"/>
    <w:rsid w:val="00510CDE"/>
    <w:rsid w:val="00510E18"/>
    <w:rsid w:val="00510F00"/>
    <w:rsid w:val="005110D1"/>
    <w:rsid w:val="005111FA"/>
    <w:rsid w:val="00511273"/>
    <w:rsid w:val="005112F6"/>
    <w:rsid w:val="005113F9"/>
    <w:rsid w:val="00511425"/>
    <w:rsid w:val="00511435"/>
    <w:rsid w:val="00511460"/>
    <w:rsid w:val="005114A5"/>
    <w:rsid w:val="005115E8"/>
    <w:rsid w:val="0051175C"/>
    <w:rsid w:val="005117D7"/>
    <w:rsid w:val="00511805"/>
    <w:rsid w:val="00511829"/>
    <w:rsid w:val="005118B8"/>
    <w:rsid w:val="00511931"/>
    <w:rsid w:val="00511A19"/>
    <w:rsid w:val="00511AF3"/>
    <w:rsid w:val="00511C1A"/>
    <w:rsid w:val="00511E43"/>
    <w:rsid w:val="00511EDE"/>
    <w:rsid w:val="00511F92"/>
    <w:rsid w:val="00512034"/>
    <w:rsid w:val="005120DB"/>
    <w:rsid w:val="005121DC"/>
    <w:rsid w:val="00512459"/>
    <w:rsid w:val="00512504"/>
    <w:rsid w:val="0051250A"/>
    <w:rsid w:val="00512679"/>
    <w:rsid w:val="005126C6"/>
    <w:rsid w:val="005128A2"/>
    <w:rsid w:val="00512C19"/>
    <w:rsid w:val="00512F30"/>
    <w:rsid w:val="0051311B"/>
    <w:rsid w:val="005134C2"/>
    <w:rsid w:val="005135FF"/>
    <w:rsid w:val="005136E4"/>
    <w:rsid w:val="0051374A"/>
    <w:rsid w:val="005137EF"/>
    <w:rsid w:val="00513980"/>
    <w:rsid w:val="00513B2B"/>
    <w:rsid w:val="00513BED"/>
    <w:rsid w:val="00513CA2"/>
    <w:rsid w:val="00513D95"/>
    <w:rsid w:val="00513E02"/>
    <w:rsid w:val="00513E0A"/>
    <w:rsid w:val="00513E5D"/>
    <w:rsid w:val="00513EC6"/>
    <w:rsid w:val="00513F9C"/>
    <w:rsid w:val="00513FAE"/>
    <w:rsid w:val="0051405D"/>
    <w:rsid w:val="005141B1"/>
    <w:rsid w:val="00514517"/>
    <w:rsid w:val="005145C8"/>
    <w:rsid w:val="005148CB"/>
    <w:rsid w:val="005150ED"/>
    <w:rsid w:val="0051510D"/>
    <w:rsid w:val="00515335"/>
    <w:rsid w:val="00515647"/>
    <w:rsid w:val="0051573F"/>
    <w:rsid w:val="005157AA"/>
    <w:rsid w:val="00515836"/>
    <w:rsid w:val="005159B2"/>
    <w:rsid w:val="00515A16"/>
    <w:rsid w:val="00515BE7"/>
    <w:rsid w:val="00515CCD"/>
    <w:rsid w:val="00515E06"/>
    <w:rsid w:val="00515E61"/>
    <w:rsid w:val="00515EB7"/>
    <w:rsid w:val="00515EFE"/>
    <w:rsid w:val="00515F9C"/>
    <w:rsid w:val="00516016"/>
    <w:rsid w:val="0051606E"/>
    <w:rsid w:val="005161DB"/>
    <w:rsid w:val="00516259"/>
    <w:rsid w:val="005162BE"/>
    <w:rsid w:val="00516328"/>
    <w:rsid w:val="0051642F"/>
    <w:rsid w:val="005164EB"/>
    <w:rsid w:val="00516698"/>
    <w:rsid w:val="00516BAA"/>
    <w:rsid w:val="00516BBE"/>
    <w:rsid w:val="00516BE4"/>
    <w:rsid w:val="00516C00"/>
    <w:rsid w:val="00516D8B"/>
    <w:rsid w:val="00516D91"/>
    <w:rsid w:val="00516E82"/>
    <w:rsid w:val="00516EBA"/>
    <w:rsid w:val="00516ECE"/>
    <w:rsid w:val="0051704D"/>
    <w:rsid w:val="0051743A"/>
    <w:rsid w:val="0051779A"/>
    <w:rsid w:val="00517935"/>
    <w:rsid w:val="005179C7"/>
    <w:rsid w:val="005179DC"/>
    <w:rsid w:val="00517AA4"/>
    <w:rsid w:val="00517B16"/>
    <w:rsid w:val="00517EBA"/>
    <w:rsid w:val="00517EE7"/>
    <w:rsid w:val="00517F43"/>
    <w:rsid w:val="00517F9E"/>
    <w:rsid w:val="00520063"/>
    <w:rsid w:val="00520191"/>
    <w:rsid w:val="005207D9"/>
    <w:rsid w:val="005208F2"/>
    <w:rsid w:val="00520A71"/>
    <w:rsid w:val="00520BFC"/>
    <w:rsid w:val="00520C6C"/>
    <w:rsid w:val="00520D54"/>
    <w:rsid w:val="00520E7A"/>
    <w:rsid w:val="005210AE"/>
    <w:rsid w:val="005210E3"/>
    <w:rsid w:val="00521102"/>
    <w:rsid w:val="005211B6"/>
    <w:rsid w:val="005217E7"/>
    <w:rsid w:val="005218F7"/>
    <w:rsid w:val="00521AA0"/>
    <w:rsid w:val="00521BDD"/>
    <w:rsid w:val="00521CDC"/>
    <w:rsid w:val="00521EA4"/>
    <w:rsid w:val="00521EAD"/>
    <w:rsid w:val="00522508"/>
    <w:rsid w:val="00522558"/>
    <w:rsid w:val="005227C0"/>
    <w:rsid w:val="00522981"/>
    <w:rsid w:val="005229B5"/>
    <w:rsid w:val="00522A18"/>
    <w:rsid w:val="00522B00"/>
    <w:rsid w:val="00522BD4"/>
    <w:rsid w:val="00522D0C"/>
    <w:rsid w:val="00522F69"/>
    <w:rsid w:val="00523210"/>
    <w:rsid w:val="005233BE"/>
    <w:rsid w:val="005235A1"/>
    <w:rsid w:val="00523723"/>
    <w:rsid w:val="00523752"/>
    <w:rsid w:val="005237E8"/>
    <w:rsid w:val="00523858"/>
    <w:rsid w:val="00523897"/>
    <w:rsid w:val="00523CFE"/>
    <w:rsid w:val="00523D14"/>
    <w:rsid w:val="00523FF1"/>
    <w:rsid w:val="00524091"/>
    <w:rsid w:val="00524306"/>
    <w:rsid w:val="00524411"/>
    <w:rsid w:val="0052450D"/>
    <w:rsid w:val="00524535"/>
    <w:rsid w:val="005245CE"/>
    <w:rsid w:val="0052463C"/>
    <w:rsid w:val="0052495F"/>
    <w:rsid w:val="00524A03"/>
    <w:rsid w:val="00524BF3"/>
    <w:rsid w:val="00524BF5"/>
    <w:rsid w:val="00524D78"/>
    <w:rsid w:val="00525111"/>
    <w:rsid w:val="0052522D"/>
    <w:rsid w:val="00525369"/>
    <w:rsid w:val="0052548C"/>
    <w:rsid w:val="005256E5"/>
    <w:rsid w:val="0052576A"/>
    <w:rsid w:val="00525AA5"/>
    <w:rsid w:val="00525BD7"/>
    <w:rsid w:val="005260D3"/>
    <w:rsid w:val="00526152"/>
    <w:rsid w:val="005261D1"/>
    <w:rsid w:val="0052623D"/>
    <w:rsid w:val="0052630C"/>
    <w:rsid w:val="0052632E"/>
    <w:rsid w:val="00526912"/>
    <w:rsid w:val="00526A08"/>
    <w:rsid w:val="00526C9F"/>
    <w:rsid w:val="00526E40"/>
    <w:rsid w:val="00526FA3"/>
    <w:rsid w:val="00527146"/>
    <w:rsid w:val="005271A6"/>
    <w:rsid w:val="005271DE"/>
    <w:rsid w:val="005272ED"/>
    <w:rsid w:val="005272F3"/>
    <w:rsid w:val="0052736C"/>
    <w:rsid w:val="00527371"/>
    <w:rsid w:val="005273BB"/>
    <w:rsid w:val="005273D3"/>
    <w:rsid w:val="00527A09"/>
    <w:rsid w:val="00527A77"/>
    <w:rsid w:val="00527AAF"/>
    <w:rsid w:val="00527BEB"/>
    <w:rsid w:val="00527DAD"/>
    <w:rsid w:val="00530331"/>
    <w:rsid w:val="0053034C"/>
    <w:rsid w:val="005306ED"/>
    <w:rsid w:val="0053071C"/>
    <w:rsid w:val="005309ED"/>
    <w:rsid w:val="00530A7A"/>
    <w:rsid w:val="00530ED5"/>
    <w:rsid w:val="00531193"/>
    <w:rsid w:val="0053126E"/>
    <w:rsid w:val="005312C0"/>
    <w:rsid w:val="00531327"/>
    <w:rsid w:val="00531571"/>
    <w:rsid w:val="0053188A"/>
    <w:rsid w:val="00531AE6"/>
    <w:rsid w:val="00531CC1"/>
    <w:rsid w:val="00531D01"/>
    <w:rsid w:val="00531E90"/>
    <w:rsid w:val="00531FEB"/>
    <w:rsid w:val="00532140"/>
    <w:rsid w:val="0053250C"/>
    <w:rsid w:val="0053267F"/>
    <w:rsid w:val="005326AE"/>
    <w:rsid w:val="0053271A"/>
    <w:rsid w:val="00532843"/>
    <w:rsid w:val="00532930"/>
    <w:rsid w:val="00532A7D"/>
    <w:rsid w:val="00532AD5"/>
    <w:rsid w:val="00532B88"/>
    <w:rsid w:val="00532C0C"/>
    <w:rsid w:val="00532D3E"/>
    <w:rsid w:val="00532DDE"/>
    <w:rsid w:val="00532FE9"/>
    <w:rsid w:val="005330CF"/>
    <w:rsid w:val="0053316B"/>
    <w:rsid w:val="00533678"/>
    <w:rsid w:val="0053385A"/>
    <w:rsid w:val="005339D3"/>
    <w:rsid w:val="00533B65"/>
    <w:rsid w:val="00533BCA"/>
    <w:rsid w:val="00533DB5"/>
    <w:rsid w:val="00533EB5"/>
    <w:rsid w:val="00533F5C"/>
    <w:rsid w:val="005342E0"/>
    <w:rsid w:val="0053452D"/>
    <w:rsid w:val="0053461C"/>
    <w:rsid w:val="005346F8"/>
    <w:rsid w:val="005347B0"/>
    <w:rsid w:val="00534837"/>
    <w:rsid w:val="005348A0"/>
    <w:rsid w:val="00534A75"/>
    <w:rsid w:val="00534A9E"/>
    <w:rsid w:val="00534B02"/>
    <w:rsid w:val="00534BD0"/>
    <w:rsid w:val="00534C73"/>
    <w:rsid w:val="00534CA0"/>
    <w:rsid w:val="00534F41"/>
    <w:rsid w:val="00534F55"/>
    <w:rsid w:val="00535032"/>
    <w:rsid w:val="005350E7"/>
    <w:rsid w:val="00535146"/>
    <w:rsid w:val="00535681"/>
    <w:rsid w:val="00535889"/>
    <w:rsid w:val="005358D0"/>
    <w:rsid w:val="0053595E"/>
    <w:rsid w:val="00535994"/>
    <w:rsid w:val="00535A08"/>
    <w:rsid w:val="00535BBD"/>
    <w:rsid w:val="00535C93"/>
    <w:rsid w:val="00535F18"/>
    <w:rsid w:val="00535F1D"/>
    <w:rsid w:val="00535FA1"/>
    <w:rsid w:val="00535FE5"/>
    <w:rsid w:val="005360F7"/>
    <w:rsid w:val="00536143"/>
    <w:rsid w:val="00536185"/>
    <w:rsid w:val="00536278"/>
    <w:rsid w:val="005364E6"/>
    <w:rsid w:val="005365C0"/>
    <w:rsid w:val="005365D6"/>
    <w:rsid w:val="0053672C"/>
    <w:rsid w:val="00536822"/>
    <w:rsid w:val="00536EA2"/>
    <w:rsid w:val="0053708F"/>
    <w:rsid w:val="005371B2"/>
    <w:rsid w:val="0053721C"/>
    <w:rsid w:val="00537390"/>
    <w:rsid w:val="00537396"/>
    <w:rsid w:val="005373AF"/>
    <w:rsid w:val="0053747B"/>
    <w:rsid w:val="005374FE"/>
    <w:rsid w:val="00537598"/>
    <w:rsid w:val="00537773"/>
    <w:rsid w:val="00537777"/>
    <w:rsid w:val="005378D2"/>
    <w:rsid w:val="00537947"/>
    <w:rsid w:val="00537A67"/>
    <w:rsid w:val="00537B22"/>
    <w:rsid w:val="00537CB6"/>
    <w:rsid w:val="00537DF2"/>
    <w:rsid w:val="00540011"/>
    <w:rsid w:val="005401CE"/>
    <w:rsid w:val="00540242"/>
    <w:rsid w:val="0054027E"/>
    <w:rsid w:val="005402EB"/>
    <w:rsid w:val="00540457"/>
    <w:rsid w:val="0054049B"/>
    <w:rsid w:val="0054066B"/>
    <w:rsid w:val="00540706"/>
    <w:rsid w:val="00540778"/>
    <w:rsid w:val="00540946"/>
    <w:rsid w:val="0054098B"/>
    <w:rsid w:val="005409C8"/>
    <w:rsid w:val="00540A8E"/>
    <w:rsid w:val="00540ABB"/>
    <w:rsid w:val="00540B52"/>
    <w:rsid w:val="00540D2F"/>
    <w:rsid w:val="00540D48"/>
    <w:rsid w:val="00540DFE"/>
    <w:rsid w:val="00540FD1"/>
    <w:rsid w:val="00540FFE"/>
    <w:rsid w:val="005410FC"/>
    <w:rsid w:val="005410FE"/>
    <w:rsid w:val="005411B2"/>
    <w:rsid w:val="00541226"/>
    <w:rsid w:val="0054122F"/>
    <w:rsid w:val="00541403"/>
    <w:rsid w:val="005415DA"/>
    <w:rsid w:val="00541671"/>
    <w:rsid w:val="005416A7"/>
    <w:rsid w:val="005416BB"/>
    <w:rsid w:val="00541D0F"/>
    <w:rsid w:val="00541D1C"/>
    <w:rsid w:val="005423C3"/>
    <w:rsid w:val="005424DC"/>
    <w:rsid w:val="00542C26"/>
    <w:rsid w:val="00542CEC"/>
    <w:rsid w:val="00542E50"/>
    <w:rsid w:val="00542EEB"/>
    <w:rsid w:val="00543277"/>
    <w:rsid w:val="0054394A"/>
    <w:rsid w:val="00543D57"/>
    <w:rsid w:val="00543D6A"/>
    <w:rsid w:val="00543E26"/>
    <w:rsid w:val="00544028"/>
    <w:rsid w:val="00544133"/>
    <w:rsid w:val="005441E2"/>
    <w:rsid w:val="005441EC"/>
    <w:rsid w:val="00544418"/>
    <w:rsid w:val="0054442F"/>
    <w:rsid w:val="00544456"/>
    <w:rsid w:val="005444CA"/>
    <w:rsid w:val="005444DF"/>
    <w:rsid w:val="005445FC"/>
    <w:rsid w:val="0054465C"/>
    <w:rsid w:val="00544873"/>
    <w:rsid w:val="005448FB"/>
    <w:rsid w:val="0054494F"/>
    <w:rsid w:val="00544B6C"/>
    <w:rsid w:val="00544B93"/>
    <w:rsid w:val="00544CBF"/>
    <w:rsid w:val="00544E66"/>
    <w:rsid w:val="00544F6D"/>
    <w:rsid w:val="00544FB3"/>
    <w:rsid w:val="00545148"/>
    <w:rsid w:val="005453AF"/>
    <w:rsid w:val="005454B8"/>
    <w:rsid w:val="00545793"/>
    <w:rsid w:val="005458B1"/>
    <w:rsid w:val="005458EC"/>
    <w:rsid w:val="00545912"/>
    <w:rsid w:val="005459FC"/>
    <w:rsid w:val="00545B1A"/>
    <w:rsid w:val="00545B97"/>
    <w:rsid w:val="00545BC2"/>
    <w:rsid w:val="00545DC1"/>
    <w:rsid w:val="00545DFE"/>
    <w:rsid w:val="00545F91"/>
    <w:rsid w:val="00545F9D"/>
    <w:rsid w:val="005462CC"/>
    <w:rsid w:val="00546424"/>
    <w:rsid w:val="005465CC"/>
    <w:rsid w:val="0054692C"/>
    <w:rsid w:val="00546935"/>
    <w:rsid w:val="00546963"/>
    <w:rsid w:val="00546C6F"/>
    <w:rsid w:val="00546DC7"/>
    <w:rsid w:val="00546E1A"/>
    <w:rsid w:val="00546E6E"/>
    <w:rsid w:val="005470AF"/>
    <w:rsid w:val="0054712F"/>
    <w:rsid w:val="0054773C"/>
    <w:rsid w:val="0054787E"/>
    <w:rsid w:val="00547AB1"/>
    <w:rsid w:val="00547BF2"/>
    <w:rsid w:val="00547D49"/>
    <w:rsid w:val="00547D64"/>
    <w:rsid w:val="00547F61"/>
    <w:rsid w:val="00547FA9"/>
    <w:rsid w:val="005501CC"/>
    <w:rsid w:val="00550457"/>
    <w:rsid w:val="0055045D"/>
    <w:rsid w:val="005504DA"/>
    <w:rsid w:val="00550678"/>
    <w:rsid w:val="005507BC"/>
    <w:rsid w:val="005508B7"/>
    <w:rsid w:val="00550CE0"/>
    <w:rsid w:val="00550FF8"/>
    <w:rsid w:val="00551001"/>
    <w:rsid w:val="00551230"/>
    <w:rsid w:val="00551365"/>
    <w:rsid w:val="00551379"/>
    <w:rsid w:val="005513E9"/>
    <w:rsid w:val="005515B4"/>
    <w:rsid w:val="0055164E"/>
    <w:rsid w:val="00551756"/>
    <w:rsid w:val="00551CE1"/>
    <w:rsid w:val="00552078"/>
    <w:rsid w:val="00552118"/>
    <w:rsid w:val="005521AA"/>
    <w:rsid w:val="005521E6"/>
    <w:rsid w:val="005523DE"/>
    <w:rsid w:val="0055241A"/>
    <w:rsid w:val="0055264F"/>
    <w:rsid w:val="0055270F"/>
    <w:rsid w:val="00552720"/>
    <w:rsid w:val="00552732"/>
    <w:rsid w:val="00552941"/>
    <w:rsid w:val="00552ACA"/>
    <w:rsid w:val="00552AE7"/>
    <w:rsid w:val="00552B95"/>
    <w:rsid w:val="00552CA8"/>
    <w:rsid w:val="005532AF"/>
    <w:rsid w:val="005532E1"/>
    <w:rsid w:val="005533DB"/>
    <w:rsid w:val="005534BF"/>
    <w:rsid w:val="00553716"/>
    <w:rsid w:val="0055376C"/>
    <w:rsid w:val="00553DB5"/>
    <w:rsid w:val="00553E91"/>
    <w:rsid w:val="00553EBA"/>
    <w:rsid w:val="00553FAE"/>
    <w:rsid w:val="005540A8"/>
    <w:rsid w:val="00554125"/>
    <w:rsid w:val="00554339"/>
    <w:rsid w:val="00554393"/>
    <w:rsid w:val="0055441A"/>
    <w:rsid w:val="005544EC"/>
    <w:rsid w:val="0055453C"/>
    <w:rsid w:val="005545AA"/>
    <w:rsid w:val="005545D5"/>
    <w:rsid w:val="00554753"/>
    <w:rsid w:val="00554A80"/>
    <w:rsid w:val="00554AC0"/>
    <w:rsid w:val="00554AF9"/>
    <w:rsid w:val="00554D08"/>
    <w:rsid w:val="00554DD0"/>
    <w:rsid w:val="00554E5C"/>
    <w:rsid w:val="00554F85"/>
    <w:rsid w:val="00554F8B"/>
    <w:rsid w:val="0055504E"/>
    <w:rsid w:val="00555290"/>
    <w:rsid w:val="005552B1"/>
    <w:rsid w:val="005552DB"/>
    <w:rsid w:val="005553CA"/>
    <w:rsid w:val="005553D5"/>
    <w:rsid w:val="00555429"/>
    <w:rsid w:val="0055593C"/>
    <w:rsid w:val="005559AF"/>
    <w:rsid w:val="00555B44"/>
    <w:rsid w:val="00555CCE"/>
    <w:rsid w:val="00555D8C"/>
    <w:rsid w:val="00555DA8"/>
    <w:rsid w:val="0055615B"/>
    <w:rsid w:val="005566FF"/>
    <w:rsid w:val="00556758"/>
    <w:rsid w:val="00556815"/>
    <w:rsid w:val="0055684D"/>
    <w:rsid w:val="00556859"/>
    <w:rsid w:val="005568A1"/>
    <w:rsid w:val="005568AC"/>
    <w:rsid w:val="00556AC1"/>
    <w:rsid w:val="00556D14"/>
    <w:rsid w:val="00556DEA"/>
    <w:rsid w:val="00556FFB"/>
    <w:rsid w:val="00557191"/>
    <w:rsid w:val="00557219"/>
    <w:rsid w:val="00557389"/>
    <w:rsid w:val="0055741F"/>
    <w:rsid w:val="005574E1"/>
    <w:rsid w:val="00557579"/>
    <w:rsid w:val="0055763C"/>
    <w:rsid w:val="0055767D"/>
    <w:rsid w:val="005577FD"/>
    <w:rsid w:val="005579F9"/>
    <w:rsid w:val="00557C9B"/>
    <w:rsid w:val="00557D5F"/>
    <w:rsid w:val="00557D90"/>
    <w:rsid w:val="0055F6E4"/>
    <w:rsid w:val="00560059"/>
    <w:rsid w:val="005601EE"/>
    <w:rsid w:val="005603BA"/>
    <w:rsid w:val="00560441"/>
    <w:rsid w:val="0056044F"/>
    <w:rsid w:val="00560635"/>
    <w:rsid w:val="005607E0"/>
    <w:rsid w:val="005607E2"/>
    <w:rsid w:val="005607F2"/>
    <w:rsid w:val="00560DE2"/>
    <w:rsid w:val="00560E76"/>
    <w:rsid w:val="00560E8A"/>
    <w:rsid w:val="00561058"/>
    <w:rsid w:val="00561065"/>
    <w:rsid w:val="00561070"/>
    <w:rsid w:val="00561107"/>
    <w:rsid w:val="0056120B"/>
    <w:rsid w:val="00561459"/>
    <w:rsid w:val="00561519"/>
    <w:rsid w:val="005615C7"/>
    <w:rsid w:val="00561742"/>
    <w:rsid w:val="005617B6"/>
    <w:rsid w:val="00561920"/>
    <w:rsid w:val="00561950"/>
    <w:rsid w:val="00561A57"/>
    <w:rsid w:val="00561B9D"/>
    <w:rsid w:val="00561BD3"/>
    <w:rsid w:val="00561C42"/>
    <w:rsid w:val="00561D01"/>
    <w:rsid w:val="00561D60"/>
    <w:rsid w:val="00561D74"/>
    <w:rsid w:val="00561DF7"/>
    <w:rsid w:val="005621A1"/>
    <w:rsid w:val="0056248C"/>
    <w:rsid w:val="0056263F"/>
    <w:rsid w:val="005626AE"/>
    <w:rsid w:val="005627FB"/>
    <w:rsid w:val="00562C38"/>
    <w:rsid w:val="00562C63"/>
    <w:rsid w:val="00562C97"/>
    <w:rsid w:val="00562CB5"/>
    <w:rsid w:val="00562D15"/>
    <w:rsid w:val="00562D40"/>
    <w:rsid w:val="00562F89"/>
    <w:rsid w:val="00562FD6"/>
    <w:rsid w:val="0056308F"/>
    <w:rsid w:val="00563205"/>
    <w:rsid w:val="005632E0"/>
    <w:rsid w:val="00563816"/>
    <w:rsid w:val="00563B70"/>
    <w:rsid w:val="00563B8A"/>
    <w:rsid w:val="00563C24"/>
    <w:rsid w:val="00563CCF"/>
    <w:rsid w:val="00563D00"/>
    <w:rsid w:val="00563E9A"/>
    <w:rsid w:val="00564160"/>
    <w:rsid w:val="0056437B"/>
    <w:rsid w:val="005643A2"/>
    <w:rsid w:val="00564757"/>
    <w:rsid w:val="005647DE"/>
    <w:rsid w:val="005648C4"/>
    <w:rsid w:val="00564CB7"/>
    <w:rsid w:val="00564ECF"/>
    <w:rsid w:val="005658DA"/>
    <w:rsid w:val="005658EF"/>
    <w:rsid w:val="005658FD"/>
    <w:rsid w:val="00565947"/>
    <w:rsid w:val="0056598D"/>
    <w:rsid w:val="00565A8A"/>
    <w:rsid w:val="00565B12"/>
    <w:rsid w:val="00565B57"/>
    <w:rsid w:val="00565E1A"/>
    <w:rsid w:val="00565EA0"/>
    <w:rsid w:val="00565FE4"/>
    <w:rsid w:val="0056615F"/>
    <w:rsid w:val="005661D8"/>
    <w:rsid w:val="0056624C"/>
    <w:rsid w:val="00566353"/>
    <w:rsid w:val="00566522"/>
    <w:rsid w:val="00566629"/>
    <w:rsid w:val="0056662A"/>
    <w:rsid w:val="0056679B"/>
    <w:rsid w:val="0056687C"/>
    <w:rsid w:val="00566B6E"/>
    <w:rsid w:val="00566BA1"/>
    <w:rsid w:val="00566D76"/>
    <w:rsid w:val="00566E0E"/>
    <w:rsid w:val="00566E76"/>
    <w:rsid w:val="00566EB5"/>
    <w:rsid w:val="00566FDF"/>
    <w:rsid w:val="005670D3"/>
    <w:rsid w:val="005671C2"/>
    <w:rsid w:val="005676FC"/>
    <w:rsid w:val="0056785B"/>
    <w:rsid w:val="005678AC"/>
    <w:rsid w:val="0056794B"/>
    <w:rsid w:val="0056796A"/>
    <w:rsid w:val="00567984"/>
    <w:rsid w:val="00567B7E"/>
    <w:rsid w:val="00567C5E"/>
    <w:rsid w:val="00567EB6"/>
    <w:rsid w:val="00567F21"/>
    <w:rsid w:val="0057016E"/>
    <w:rsid w:val="005701D8"/>
    <w:rsid w:val="00570242"/>
    <w:rsid w:val="00570266"/>
    <w:rsid w:val="00570363"/>
    <w:rsid w:val="0057042F"/>
    <w:rsid w:val="005705BA"/>
    <w:rsid w:val="00570672"/>
    <w:rsid w:val="0057075B"/>
    <w:rsid w:val="005707E2"/>
    <w:rsid w:val="005707ED"/>
    <w:rsid w:val="00570893"/>
    <w:rsid w:val="00570A34"/>
    <w:rsid w:val="00570BBE"/>
    <w:rsid w:val="00570C79"/>
    <w:rsid w:val="00570D8B"/>
    <w:rsid w:val="0057107F"/>
    <w:rsid w:val="005710FD"/>
    <w:rsid w:val="00571168"/>
    <w:rsid w:val="005711A1"/>
    <w:rsid w:val="00571231"/>
    <w:rsid w:val="00571245"/>
    <w:rsid w:val="00571309"/>
    <w:rsid w:val="0057135B"/>
    <w:rsid w:val="00571472"/>
    <w:rsid w:val="005716DD"/>
    <w:rsid w:val="0057191E"/>
    <w:rsid w:val="00571987"/>
    <w:rsid w:val="00571A2B"/>
    <w:rsid w:val="00571AF5"/>
    <w:rsid w:val="00571B3D"/>
    <w:rsid w:val="00571EEA"/>
    <w:rsid w:val="005720C5"/>
    <w:rsid w:val="00572117"/>
    <w:rsid w:val="005722CE"/>
    <w:rsid w:val="00572419"/>
    <w:rsid w:val="005724B9"/>
    <w:rsid w:val="005724D9"/>
    <w:rsid w:val="00572955"/>
    <w:rsid w:val="00572A53"/>
    <w:rsid w:val="00572BD3"/>
    <w:rsid w:val="00572C18"/>
    <w:rsid w:val="00572D0A"/>
    <w:rsid w:val="00572D5C"/>
    <w:rsid w:val="00572DAC"/>
    <w:rsid w:val="00572E73"/>
    <w:rsid w:val="00572F8C"/>
    <w:rsid w:val="00572FE9"/>
    <w:rsid w:val="005731BA"/>
    <w:rsid w:val="0057321C"/>
    <w:rsid w:val="0057324C"/>
    <w:rsid w:val="00573398"/>
    <w:rsid w:val="0057339C"/>
    <w:rsid w:val="00573618"/>
    <w:rsid w:val="005736E7"/>
    <w:rsid w:val="005737D2"/>
    <w:rsid w:val="00573862"/>
    <w:rsid w:val="00573881"/>
    <w:rsid w:val="00573B06"/>
    <w:rsid w:val="00573B7B"/>
    <w:rsid w:val="00573C9A"/>
    <w:rsid w:val="00573D17"/>
    <w:rsid w:val="00573D51"/>
    <w:rsid w:val="00573D9D"/>
    <w:rsid w:val="00573F78"/>
    <w:rsid w:val="00573FAD"/>
    <w:rsid w:val="00573FE3"/>
    <w:rsid w:val="00574008"/>
    <w:rsid w:val="0057407D"/>
    <w:rsid w:val="00574100"/>
    <w:rsid w:val="005745C8"/>
    <w:rsid w:val="0057461D"/>
    <w:rsid w:val="0057481D"/>
    <w:rsid w:val="00574994"/>
    <w:rsid w:val="005749E9"/>
    <w:rsid w:val="00574C49"/>
    <w:rsid w:val="00574ED6"/>
    <w:rsid w:val="00575066"/>
    <w:rsid w:val="0057508A"/>
    <w:rsid w:val="00575141"/>
    <w:rsid w:val="00575253"/>
    <w:rsid w:val="0057528E"/>
    <w:rsid w:val="0057537F"/>
    <w:rsid w:val="0057540B"/>
    <w:rsid w:val="00575BCD"/>
    <w:rsid w:val="00575BE0"/>
    <w:rsid w:val="00575DF8"/>
    <w:rsid w:val="00575EC6"/>
    <w:rsid w:val="00575F3A"/>
    <w:rsid w:val="00576072"/>
    <w:rsid w:val="005760D3"/>
    <w:rsid w:val="0057628A"/>
    <w:rsid w:val="00576564"/>
    <w:rsid w:val="005767E1"/>
    <w:rsid w:val="005768D9"/>
    <w:rsid w:val="005769A5"/>
    <w:rsid w:val="00576A3B"/>
    <w:rsid w:val="00576E2A"/>
    <w:rsid w:val="0057711B"/>
    <w:rsid w:val="00577333"/>
    <w:rsid w:val="005773A7"/>
    <w:rsid w:val="005773FA"/>
    <w:rsid w:val="00577410"/>
    <w:rsid w:val="0057765B"/>
    <w:rsid w:val="00577790"/>
    <w:rsid w:val="00577806"/>
    <w:rsid w:val="0057783B"/>
    <w:rsid w:val="00577968"/>
    <w:rsid w:val="00577970"/>
    <w:rsid w:val="00577D0F"/>
    <w:rsid w:val="00577F16"/>
    <w:rsid w:val="00580118"/>
    <w:rsid w:val="00580442"/>
    <w:rsid w:val="0058048D"/>
    <w:rsid w:val="00580728"/>
    <w:rsid w:val="00580742"/>
    <w:rsid w:val="00580941"/>
    <w:rsid w:val="00580985"/>
    <w:rsid w:val="00580A24"/>
    <w:rsid w:val="00580AC7"/>
    <w:rsid w:val="00580C8B"/>
    <w:rsid w:val="00580CF0"/>
    <w:rsid w:val="00580DBD"/>
    <w:rsid w:val="00580DE1"/>
    <w:rsid w:val="00580E93"/>
    <w:rsid w:val="005812E6"/>
    <w:rsid w:val="00581470"/>
    <w:rsid w:val="005815CA"/>
    <w:rsid w:val="00581610"/>
    <w:rsid w:val="005816BD"/>
    <w:rsid w:val="00581ADA"/>
    <w:rsid w:val="00581B74"/>
    <w:rsid w:val="00581C96"/>
    <w:rsid w:val="00581F9A"/>
    <w:rsid w:val="00582037"/>
    <w:rsid w:val="005823E0"/>
    <w:rsid w:val="005824C8"/>
    <w:rsid w:val="0058265B"/>
    <w:rsid w:val="00582973"/>
    <w:rsid w:val="005829F6"/>
    <w:rsid w:val="00582B53"/>
    <w:rsid w:val="00582B87"/>
    <w:rsid w:val="00582D4A"/>
    <w:rsid w:val="00582F0A"/>
    <w:rsid w:val="00583067"/>
    <w:rsid w:val="0058324A"/>
    <w:rsid w:val="005834E6"/>
    <w:rsid w:val="00583507"/>
    <w:rsid w:val="00583587"/>
    <w:rsid w:val="005835AE"/>
    <w:rsid w:val="00583603"/>
    <w:rsid w:val="005838C9"/>
    <w:rsid w:val="00583970"/>
    <w:rsid w:val="00583973"/>
    <w:rsid w:val="00583A49"/>
    <w:rsid w:val="00583BE5"/>
    <w:rsid w:val="00583C3E"/>
    <w:rsid w:val="00583C49"/>
    <w:rsid w:val="00583EFD"/>
    <w:rsid w:val="00583F55"/>
    <w:rsid w:val="00583FB7"/>
    <w:rsid w:val="00583FE1"/>
    <w:rsid w:val="0058409B"/>
    <w:rsid w:val="005841A6"/>
    <w:rsid w:val="00584409"/>
    <w:rsid w:val="00584710"/>
    <w:rsid w:val="0058490A"/>
    <w:rsid w:val="0058494A"/>
    <w:rsid w:val="00584A8B"/>
    <w:rsid w:val="00584BF0"/>
    <w:rsid w:val="00584CF6"/>
    <w:rsid w:val="00584D2D"/>
    <w:rsid w:val="00584D98"/>
    <w:rsid w:val="00584E59"/>
    <w:rsid w:val="005853E7"/>
    <w:rsid w:val="0058540F"/>
    <w:rsid w:val="00585668"/>
    <w:rsid w:val="00585701"/>
    <w:rsid w:val="00585799"/>
    <w:rsid w:val="0058586A"/>
    <w:rsid w:val="0058587F"/>
    <w:rsid w:val="005859AC"/>
    <w:rsid w:val="00585F23"/>
    <w:rsid w:val="00585F2F"/>
    <w:rsid w:val="00585FB4"/>
    <w:rsid w:val="00586007"/>
    <w:rsid w:val="005861C1"/>
    <w:rsid w:val="00586311"/>
    <w:rsid w:val="00586446"/>
    <w:rsid w:val="005864AC"/>
    <w:rsid w:val="00586818"/>
    <w:rsid w:val="00586846"/>
    <w:rsid w:val="005869B5"/>
    <w:rsid w:val="005869DD"/>
    <w:rsid w:val="00586A1E"/>
    <w:rsid w:val="00586B71"/>
    <w:rsid w:val="00586B74"/>
    <w:rsid w:val="00586D09"/>
    <w:rsid w:val="00586D96"/>
    <w:rsid w:val="00586E6B"/>
    <w:rsid w:val="00586F16"/>
    <w:rsid w:val="00587124"/>
    <w:rsid w:val="00587217"/>
    <w:rsid w:val="005874E4"/>
    <w:rsid w:val="0058750F"/>
    <w:rsid w:val="005876A8"/>
    <w:rsid w:val="00587865"/>
    <w:rsid w:val="005879A8"/>
    <w:rsid w:val="005879D4"/>
    <w:rsid w:val="00587ABD"/>
    <w:rsid w:val="00587F89"/>
    <w:rsid w:val="005901ED"/>
    <w:rsid w:val="005904D5"/>
    <w:rsid w:val="00590612"/>
    <w:rsid w:val="005906CA"/>
    <w:rsid w:val="005907F7"/>
    <w:rsid w:val="0059085E"/>
    <w:rsid w:val="005908C2"/>
    <w:rsid w:val="00590AFC"/>
    <w:rsid w:val="00590B87"/>
    <w:rsid w:val="00590BCD"/>
    <w:rsid w:val="00590DC8"/>
    <w:rsid w:val="00590FF7"/>
    <w:rsid w:val="005910F9"/>
    <w:rsid w:val="0059123F"/>
    <w:rsid w:val="005913AF"/>
    <w:rsid w:val="0059156B"/>
    <w:rsid w:val="00591677"/>
    <w:rsid w:val="005917D1"/>
    <w:rsid w:val="005918BD"/>
    <w:rsid w:val="005918DC"/>
    <w:rsid w:val="00591B22"/>
    <w:rsid w:val="00591B3F"/>
    <w:rsid w:val="00591D5F"/>
    <w:rsid w:val="00591ECD"/>
    <w:rsid w:val="00591FC6"/>
    <w:rsid w:val="00591FF5"/>
    <w:rsid w:val="005920D9"/>
    <w:rsid w:val="0059217B"/>
    <w:rsid w:val="005921C0"/>
    <w:rsid w:val="00592247"/>
    <w:rsid w:val="00592255"/>
    <w:rsid w:val="0059235A"/>
    <w:rsid w:val="005923A3"/>
    <w:rsid w:val="0059243D"/>
    <w:rsid w:val="00592448"/>
    <w:rsid w:val="00592520"/>
    <w:rsid w:val="0059263C"/>
    <w:rsid w:val="0059274E"/>
    <w:rsid w:val="0059278A"/>
    <w:rsid w:val="00592C9B"/>
    <w:rsid w:val="00592CF6"/>
    <w:rsid w:val="00592DDD"/>
    <w:rsid w:val="00592EEE"/>
    <w:rsid w:val="00592EF5"/>
    <w:rsid w:val="00592FF3"/>
    <w:rsid w:val="00593079"/>
    <w:rsid w:val="005933DA"/>
    <w:rsid w:val="005934B7"/>
    <w:rsid w:val="005935A5"/>
    <w:rsid w:val="00593665"/>
    <w:rsid w:val="0059376E"/>
    <w:rsid w:val="00593A69"/>
    <w:rsid w:val="00593BBB"/>
    <w:rsid w:val="00593DAC"/>
    <w:rsid w:val="00593EF5"/>
    <w:rsid w:val="00593F1E"/>
    <w:rsid w:val="00593FDE"/>
    <w:rsid w:val="00594152"/>
    <w:rsid w:val="00594375"/>
    <w:rsid w:val="005943F3"/>
    <w:rsid w:val="00594456"/>
    <w:rsid w:val="005944CB"/>
    <w:rsid w:val="00594581"/>
    <w:rsid w:val="00594633"/>
    <w:rsid w:val="005948D3"/>
    <w:rsid w:val="005948F6"/>
    <w:rsid w:val="005948FF"/>
    <w:rsid w:val="005949EB"/>
    <w:rsid w:val="00594AC0"/>
    <w:rsid w:val="00594C6E"/>
    <w:rsid w:val="00594CDF"/>
    <w:rsid w:val="00594DAB"/>
    <w:rsid w:val="00595122"/>
    <w:rsid w:val="0059518B"/>
    <w:rsid w:val="005951A5"/>
    <w:rsid w:val="005955B4"/>
    <w:rsid w:val="0059586A"/>
    <w:rsid w:val="005959DD"/>
    <w:rsid w:val="00595CEE"/>
    <w:rsid w:val="00595D19"/>
    <w:rsid w:val="00595DF9"/>
    <w:rsid w:val="00596012"/>
    <w:rsid w:val="0059601A"/>
    <w:rsid w:val="0059608E"/>
    <w:rsid w:val="005960C3"/>
    <w:rsid w:val="0059625A"/>
    <w:rsid w:val="005962A4"/>
    <w:rsid w:val="005962E6"/>
    <w:rsid w:val="0059630D"/>
    <w:rsid w:val="0059636B"/>
    <w:rsid w:val="0059638D"/>
    <w:rsid w:val="005963C7"/>
    <w:rsid w:val="00596616"/>
    <w:rsid w:val="005966F2"/>
    <w:rsid w:val="0059673B"/>
    <w:rsid w:val="00596835"/>
    <w:rsid w:val="00596840"/>
    <w:rsid w:val="00596845"/>
    <w:rsid w:val="00596944"/>
    <w:rsid w:val="0059694F"/>
    <w:rsid w:val="005969C8"/>
    <w:rsid w:val="00596A67"/>
    <w:rsid w:val="00596D13"/>
    <w:rsid w:val="00596D4A"/>
    <w:rsid w:val="00596DB7"/>
    <w:rsid w:val="00596DD5"/>
    <w:rsid w:val="00596F0C"/>
    <w:rsid w:val="005971BF"/>
    <w:rsid w:val="005972EF"/>
    <w:rsid w:val="005972FB"/>
    <w:rsid w:val="00597343"/>
    <w:rsid w:val="00597353"/>
    <w:rsid w:val="00597385"/>
    <w:rsid w:val="005976C1"/>
    <w:rsid w:val="00597746"/>
    <w:rsid w:val="005977A9"/>
    <w:rsid w:val="0059790B"/>
    <w:rsid w:val="0059799E"/>
    <w:rsid w:val="005979F0"/>
    <w:rsid w:val="00597A40"/>
    <w:rsid w:val="00597BD0"/>
    <w:rsid w:val="00597C0D"/>
    <w:rsid w:val="00597CB2"/>
    <w:rsid w:val="00597D81"/>
    <w:rsid w:val="00597DDD"/>
    <w:rsid w:val="00597F15"/>
    <w:rsid w:val="005A0111"/>
    <w:rsid w:val="005A02B8"/>
    <w:rsid w:val="005A0381"/>
    <w:rsid w:val="005A0450"/>
    <w:rsid w:val="005A063C"/>
    <w:rsid w:val="005A0703"/>
    <w:rsid w:val="005A08B7"/>
    <w:rsid w:val="005A08BE"/>
    <w:rsid w:val="005A0929"/>
    <w:rsid w:val="005A0940"/>
    <w:rsid w:val="005A09C7"/>
    <w:rsid w:val="005A0F10"/>
    <w:rsid w:val="005A0F63"/>
    <w:rsid w:val="005A11DE"/>
    <w:rsid w:val="005A1208"/>
    <w:rsid w:val="005A1277"/>
    <w:rsid w:val="005A127F"/>
    <w:rsid w:val="005A12EA"/>
    <w:rsid w:val="005A12F6"/>
    <w:rsid w:val="005A1A7A"/>
    <w:rsid w:val="005A1B47"/>
    <w:rsid w:val="005A1BF6"/>
    <w:rsid w:val="005A1CA2"/>
    <w:rsid w:val="005A1F32"/>
    <w:rsid w:val="005A20CE"/>
    <w:rsid w:val="005A21FC"/>
    <w:rsid w:val="005A2322"/>
    <w:rsid w:val="005A2353"/>
    <w:rsid w:val="005A2419"/>
    <w:rsid w:val="005A249D"/>
    <w:rsid w:val="005A2554"/>
    <w:rsid w:val="005A27AE"/>
    <w:rsid w:val="005A2D52"/>
    <w:rsid w:val="005A30CF"/>
    <w:rsid w:val="005A31AE"/>
    <w:rsid w:val="005A3213"/>
    <w:rsid w:val="005A321D"/>
    <w:rsid w:val="005A3253"/>
    <w:rsid w:val="005A3585"/>
    <w:rsid w:val="005A3679"/>
    <w:rsid w:val="005A3919"/>
    <w:rsid w:val="005A3946"/>
    <w:rsid w:val="005A3973"/>
    <w:rsid w:val="005A3976"/>
    <w:rsid w:val="005A39E7"/>
    <w:rsid w:val="005A3A2F"/>
    <w:rsid w:val="005A3AEC"/>
    <w:rsid w:val="005A3E34"/>
    <w:rsid w:val="005A413C"/>
    <w:rsid w:val="005A414C"/>
    <w:rsid w:val="005A4176"/>
    <w:rsid w:val="005A4594"/>
    <w:rsid w:val="005A4642"/>
    <w:rsid w:val="005A4660"/>
    <w:rsid w:val="005A48EF"/>
    <w:rsid w:val="005A49E9"/>
    <w:rsid w:val="005A4A38"/>
    <w:rsid w:val="005A4B49"/>
    <w:rsid w:val="005A4CEF"/>
    <w:rsid w:val="005A4DE8"/>
    <w:rsid w:val="005A4E5E"/>
    <w:rsid w:val="005A4F0E"/>
    <w:rsid w:val="005A4F74"/>
    <w:rsid w:val="005A4FEC"/>
    <w:rsid w:val="005A50C0"/>
    <w:rsid w:val="005A5110"/>
    <w:rsid w:val="005A5390"/>
    <w:rsid w:val="005A539E"/>
    <w:rsid w:val="005A55F3"/>
    <w:rsid w:val="005A568F"/>
    <w:rsid w:val="005A596F"/>
    <w:rsid w:val="005A5BA2"/>
    <w:rsid w:val="005A5E0D"/>
    <w:rsid w:val="005A5E30"/>
    <w:rsid w:val="005A60DA"/>
    <w:rsid w:val="005A6155"/>
    <w:rsid w:val="005A6179"/>
    <w:rsid w:val="005A6315"/>
    <w:rsid w:val="005A6333"/>
    <w:rsid w:val="005A6365"/>
    <w:rsid w:val="005A6408"/>
    <w:rsid w:val="005A643B"/>
    <w:rsid w:val="005A6679"/>
    <w:rsid w:val="005A67C6"/>
    <w:rsid w:val="005A6A72"/>
    <w:rsid w:val="005A6C30"/>
    <w:rsid w:val="005A6E5A"/>
    <w:rsid w:val="005A6F2E"/>
    <w:rsid w:val="005A70E4"/>
    <w:rsid w:val="005A715B"/>
    <w:rsid w:val="005A718F"/>
    <w:rsid w:val="005A71C7"/>
    <w:rsid w:val="005A71F7"/>
    <w:rsid w:val="005A7217"/>
    <w:rsid w:val="005A72FE"/>
    <w:rsid w:val="005A73E2"/>
    <w:rsid w:val="005A7490"/>
    <w:rsid w:val="005A74C2"/>
    <w:rsid w:val="005A76A0"/>
    <w:rsid w:val="005A76B8"/>
    <w:rsid w:val="005A7720"/>
    <w:rsid w:val="005A7B34"/>
    <w:rsid w:val="005A7B71"/>
    <w:rsid w:val="005A7CB8"/>
    <w:rsid w:val="005A7D19"/>
    <w:rsid w:val="005A7FCF"/>
    <w:rsid w:val="005B00F2"/>
    <w:rsid w:val="005B013F"/>
    <w:rsid w:val="005B01D5"/>
    <w:rsid w:val="005B0247"/>
    <w:rsid w:val="005B04D7"/>
    <w:rsid w:val="005B0552"/>
    <w:rsid w:val="005B0639"/>
    <w:rsid w:val="005B0642"/>
    <w:rsid w:val="005B0660"/>
    <w:rsid w:val="005B06A8"/>
    <w:rsid w:val="005B0748"/>
    <w:rsid w:val="005B07C7"/>
    <w:rsid w:val="005B09E4"/>
    <w:rsid w:val="005B0D9C"/>
    <w:rsid w:val="005B0DE9"/>
    <w:rsid w:val="005B100A"/>
    <w:rsid w:val="005B1119"/>
    <w:rsid w:val="005B117E"/>
    <w:rsid w:val="005B14C8"/>
    <w:rsid w:val="005B14CA"/>
    <w:rsid w:val="005B150D"/>
    <w:rsid w:val="005B1685"/>
    <w:rsid w:val="005B169F"/>
    <w:rsid w:val="005B1805"/>
    <w:rsid w:val="005B188A"/>
    <w:rsid w:val="005B1AA6"/>
    <w:rsid w:val="005B1B30"/>
    <w:rsid w:val="005B1C5F"/>
    <w:rsid w:val="005B1C94"/>
    <w:rsid w:val="005B1CAA"/>
    <w:rsid w:val="005B1D69"/>
    <w:rsid w:val="005B20AD"/>
    <w:rsid w:val="005B2201"/>
    <w:rsid w:val="005B2244"/>
    <w:rsid w:val="005B2300"/>
    <w:rsid w:val="005B2306"/>
    <w:rsid w:val="005B24C2"/>
    <w:rsid w:val="005B24D3"/>
    <w:rsid w:val="005B2588"/>
    <w:rsid w:val="005B2951"/>
    <w:rsid w:val="005B29DF"/>
    <w:rsid w:val="005B2BBC"/>
    <w:rsid w:val="005B2CAF"/>
    <w:rsid w:val="005B2CFC"/>
    <w:rsid w:val="005B3070"/>
    <w:rsid w:val="005B311F"/>
    <w:rsid w:val="005B328B"/>
    <w:rsid w:val="005B32E1"/>
    <w:rsid w:val="005B3367"/>
    <w:rsid w:val="005B34EA"/>
    <w:rsid w:val="005B3594"/>
    <w:rsid w:val="005B35E5"/>
    <w:rsid w:val="005B364E"/>
    <w:rsid w:val="005B37F8"/>
    <w:rsid w:val="005B3BA1"/>
    <w:rsid w:val="005B3D54"/>
    <w:rsid w:val="005B3EC4"/>
    <w:rsid w:val="005B41C7"/>
    <w:rsid w:val="005B4338"/>
    <w:rsid w:val="005B4368"/>
    <w:rsid w:val="005B448F"/>
    <w:rsid w:val="005B44C2"/>
    <w:rsid w:val="005B451F"/>
    <w:rsid w:val="005B458D"/>
    <w:rsid w:val="005B4894"/>
    <w:rsid w:val="005B48BE"/>
    <w:rsid w:val="005B48C2"/>
    <w:rsid w:val="005B49CA"/>
    <w:rsid w:val="005B4A6B"/>
    <w:rsid w:val="005B4AB0"/>
    <w:rsid w:val="005B4AEA"/>
    <w:rsid w:val="005B4BCE"/>
    <w:rsid w:val="005B4D16"/>
    <w:rsid w:val="005B4EC4"/>
    <w:rsid w:val="005B4FC9"/>
    <w:rsid w:val="005B5033"/>
    <w:rsid w:val="005B51F0"/>
    <w:rsid w:val="005B527A"/>
    <w:rsid w:val="005B551A"/>
    <w:rsid w:val="005B554F"/>
    <w:rsid w:val="005B5566"/>
    <w:rsid w:val="005B571C"/>
    <w:rsid w:val="005B5752"/>
    <w:rsid w:val="005B59A0"/>
    <w:rsid w:val="005B5A18"/>
    <w:rsid w:val="005B5BA9"/>
    <w:rsid w:val="005B5D71"/>
    <w:rsid w:val="005B5FDB"/>
    <w:rsid w:val="005B6074"/>
    <w:rsid w:val="005B60F0"/>
    <w:rsid w:val="005B617A"/>
    <w:rsid w:val="005B6202"/>
    <w:rsid w:val="005B6357"/>
    <w:rsid w:val="005B6436"/>
    <w:rsid w:val="005B65B5"/>
    <w:rsid w:val="005B6747"/>
    <w:rsid w:val="005B6756"/>
    <w:rsid w:val="005B6867"/>
    <w:rsid w:val="005B6B28"/>
    <w:rsid w:val="005B6B6C"/>
    <w:rsid w:val="005B6C6A"/>
    <w:rsid w:val="005B6D9B"/>
    <w:rsid w:val="005B6F4D"/>
    <w:rsid w:val="005B701E"/>
    <w:rsid w:val="005B74DE"/>
    <w:rsid w:val="005B74FE"/>
    <w:rsid w:val="005B769A"/>
    <w:rsid w:val="005B77DE"/>
    <w:rsid w:val="005B7800"/>
    <w:rsid w:val="005B7993"/>
    <w:rsid w:val="005B79E4"/>
    <w:rsid w:val="005B7A4B"/>
    <w:rsid w:val="005B7AAB"/>
    <w:rsid w:val="005B7AEC"/>
    <w:rsid w:val="005B7C7E"/>
    <w:rsid w:val="005B7D37"/>
    <w:rsid w:val="005B7DD1"/>
    <w:rsid w:val="005B7F0E"/>
    <w:rsid w:val="005B7F6D"/>
    <w:rsid w:val="005B7F9A"/>
    <w:rsid w:val="005B7FAC"/>
    <w:rsid w:val="005B7FD4"/>
    <w:rsid w:val="005B7FE2"/>
    <w:rsid w:val="005BEC82"/>
    <w:rsid w:val="005C0038"/>
    <w:rsid w:val="005C0047"/>
    <w:rsid w:val="005C017D"/>
    <w:rsid w:val="005C01C5"/>
    <w:rsid w:val="005C01CD"/>
    <w:rsid w:val="005C02FD"/>
    <w:rsid w:val="005C04BD"/>
    <w:rsid w:val="005C05FD"/>
    <w:rsid w:val="005C0679"/>
    <w:rsid w:val="005C078A"/>
    <w:rsid w:val="005C0842"/>
    <w:rsid w:val="005C098A"/>
    <w:rsid w:val="005C0A4F"/>
    <w:rsid w:val="005C0E1F"/>
    <w:rsid w:val="005C0F71"/>
    <w:rsid w:val="005C1129"/>
    <w:rsid w:val="005C12F7"/>
    <w:rsid w:val="005C1354"/>
    <w:rsid w:val="005C1428"/>
    <w:rsid w:val="005C145A"/>
    <w:rsid w:val="005C1A37"/>
    <w:rsid w:val="005C1AA3"/>
    <w:rsid w:val="005C1C77"/>
    <w:rsid w:val="005C1C9E"/>
    <w:rsid w:val="005C1D15"/>
    <w:rsid w:val="005C1D4B"/>
    <w:rsid w:val="005C1E50"/>
    <w:rsid w:val="005C1E5B"/>
    <w:rsid w:val="005C1ED2"/>
    <w:rsid w:val="005C1FBC"/>
    <w:rsid w:val="005C212E"/>
    <w:rsid w:val="005C23BC"/>
    <w:rsid w:val="005C2CF9"/>
    <w:rsid w:val="005C2F21"/>
    <w:rsid w:val="005C34D6"/>
    <w:rsid w:val="005C35F3"/>
    <w:rsid w:val="005C3642"/>
    <w:rsid w:val="005C366A"/>
    <w:rsid w:val="005C3727"/>
    <w:rsid w:val="005C3747"/>
    <w:rsid w:val="005C3931"/>
    <w:rsid w:val="005C39BC"/>
    <w:rsid w:val="005C39D9"/>
    <w:rsid w:val="005C3A07"/>
    <w:rsid w:val="005C3A20"/>
    <w:rsid w:val="005C3A2D"/>
    <w:rsid w:val="005C3B62"/>
    <w:rsid w:val="005C3CC1"/>
    <w:rsid w:val="005C3DF9"/>
    <w:rsid w:val="005C4034"/>
    <w:rsid w:val="005C40F6"/>
    <w:rsid w:val="005C4137"/>
    <w:rsid w:val="005C41EF"/>
    <w:rsid w:val="005C426F"/>
    <w:rsid w:val="005C42E5"/>
    <w:rsid w:val="005C4437"/>
    <w:rsid w:val="005C4629"/>
    <w:rsid w:val="005C4630"/>
    <w:rsid w:val="005C4806"/>
    <w:rsid w:val="005C4810"/>
    <w:rsid w:val="005C4817"/>
    <w:rsid w:val="005C485A"/>
    <w:rsid w:val="005C48B5"/>
    <w:rsid w:val="005C492A"/>
    <w:rsid w:val="005C4978"/>
    <w:rsid w:val="005C4994"/>
    <w:rsid w:val="005C4BAB"/>
    <w:rsid w:val="005C4BB3"/>
    <w:rsid w:val="005C4BF4"/>
    <w:rsid w:val="005C533F"/>
    <w:rsid w:val="005C5369"/>
    <w:rsid w:val="005C5515"/>
    <w:rsid w:val="005C56FC"/>
    <w:rsid w:val="005C579A"/>
    <w:rsid w:val="005C59C8"/>
    <w:rsid w:val="005C5B04"/>
    <w:rsid w:val="005C5B66"/>
    <w:rsid w:val="005C5D30"/>
    <w:rsid w:val="005C5D98"/>
    <w:rsid w:val="005C6038"/>
    <w:rsid w:val="005C6284"/>
    <w:rsid w:val="005C6297"/>
    <w:rsid w:val="005C6319"/>
    <w:rsid w:val="005C65DB"/>
    <w:rsid w:val="005C664F"/>
    <w:rsid w:val="005C690A"/>
    <w:rsid w:val="005C6D30"/>
    <w:rsid w:val="005C6FAF"/>
    <w:rsid w:val="005C7003"/>
    <w:rsid w:val="005C7070"/>
    <w:rsid w:val="005C708D"/>
    <w:rsid w:val="005C719C"/>
    <w:rsid w:val="005C7338"/>
    <w:rsid w:val="005C746E"/>
    <w:rsid w:val="005C75E8"/>
    <w:rsid w:val="005C75F9"/>
    <w:rsid w:val="005C7733"/>
    <w:rsid w:val="005C7745"/>
    <w:rsid w:val="005C7795"/>
    <w:rsid w:val="005C78ED"/>
    <w:rsid w:val="005C7A11"/>
    <w:rsid w:val="005C7BDC"/>
    <w:rsid w:val="005C7CA1"/>
    <w:rsid w:val="005D0014"/>
    <w:rsid w:val="005D0212"/>
    <w:rsid w:val="005D02B8"/>
    <w:rsid w:val="005D02FC"/>
    <w:rsid w:val="005D034A"/>
    <w:rsid w:val="005D03B5"/>
    <w:rsid w:val="005D03EE"/>
    <w:rsid w:val="005D0413"/>
    <w:rsid w:val="005D0484"/>
    <w:rsid w:val="005D0490"/>
    <w:rsid w:val="005D0494"/>
    <w:rsid w:val="005D0638"/>
    <w:rsid w:val="005D07CB"/>
    <w:rsid w:val="005D087C"/>
    <w:rsid w:val="005D0978"/>
    <w:rsid w:val="005D0AB9"/>
    <w:rsid w:val="005D0DCA"/>
    <w:rsid w:val="005D0EDE"/>
    <w:rsid w:val="005D0FCC"/>
    <w:rsid w:val="005D10B4"/>
    <w:rsid w:val="005D116C"/>
    <w:rsid w:val="005D128F"/>
    <w:rsid w:val="005D129F"/>
    <w:rsid w:val="005D13DD"/>
    <w:rsid w:val="005D14AA"/>
    <w:rsid w:val="005D14AE"/>
    <w:rsid w:val="005D14F6"/>
    <w:rsid w:val="005D15FE"/>
    <w:rsid w:val="005D1641"/>
    <w:rsid w:val="005D175E"/>
    <w:rsid w:val="005D1927"/>
    <w:rsid w:val="005D1A05"/>
    <w:rsid w:val="005D1B61"/>
    <w:rsid w:val="005D1B7C"/>
    <w:rsid w:val="005D2053"/>
    <w:rsid w:val="005D2081"/>
    <w:rsid w:val="005D210D"/>
    <w:rsid w:val="005D22E7"/>
    <w:rsid w:val="005D2328"/>
    <w:rsid w:val="005D23EC"/>
    <w:rsid w:val="005D2536"/>
    <w:rsid w:val="005D2551"/>
    <w:rsid w:val="005D2689"/>
    <w:rsid w:val="005D2739"/>
    <w:rsid w:val="005D29D5"/>
    <w:rsid w:val="005D29F7"/>
    <w:rsid w:val="005D2A7C"/>
    <w:rsid w:val="005D2AE2"/>
    <w:rsid w:val="005D2BC6"/>
    <w:rsid w:val="005D2C2B"/>
    <w:rsid w:val="005D2C38"/>
    <w:rsid w:val="005D2D18"/>
    <w:rsid w:val="005D30A3"/>
    <w:rsid w:val="005D310C"/>
    <w:rsid w:val="005D3160"/>
    <w:rsid w:val="005D3236"/>
    <w:rsid w:val="005D333C"/>
    <w:rsid w:val="005D342E"/>
    <w:rsid w:val="005D34BC"/>
    <w:rsid w:val="005D3588"/>
    <w:rsid w:val="005D358B"/>
    <w:rsid w:val="005D35A1"/>
    <w:rsid w:val="005D3749"/>
    <w:rsid w:val="005D37DD"/>
    <w:rsid w:val="005D37F8"/>
    <w:rsid w:val="005D38F1"/>
    <w:rsid w:val="005D39A3"/>
    <w:rsid w:val="005D39F9"/>
    <w:rsid w:val="005D3B72"/>
    <w:rsid w:val="005D3B85"/>
    <w:rsid w:val="005D3B96"/>
    <w:rsid w:val="005D3C75"/>
    <w:rsid w:val="005D3DAA"/>
    <w:rsid w:val="005D3DAC"/>
    <w:rsid w:val="005D4218"/>
    <w:rsid w:val="005D422C"/>
    <w:rsid w:val="005D427E"/>
    <w:rsid w:val="005D440E"/>
    <w:rsid w:val="005D4461"/>
    <w:rsid w:val="005D44DD"/>
    <w:rsid w:val="005D4582"/>
    <w:rsid w:val="005D45F9"/>
    <w:rsid w:val="005D462E"/>
    <w:rsid w:val="005D474D"/>
    <w:rsid w:val="005D4895"/>
    <w:rsid w:val="005D4982"/>
    <w:rsid w:val="005D4A57"/>
    <w:rsid w:val="005D4A83"/>
    <w:rsid w:val="005D4C1C"/>
    <w:rsid w:val="005D4E43"/>
    <w:rsid w:val="005D4F7E"/>
    <w:rsid w:val="005D5363"/>
    <w:rsid w:val="005D54AB"/>
    <w:rsid w:val="005D5869"/>
    <w:rsid w:val="005D5910"/>
    <w:rsid w:val="005D5B00"/>
    <w:rsid w:val="005D60A9"/>
    <w:rsid w:val="005D65EF"/>
    <w:rsid w:val="005D66B6"/>
    <w:rsid w:val="005D682B"/>
    <w:rsid w:val="005D6893"/>
    <w:rsid w:val="005D6A4C"/>
    <w:rsid w:val="005D6AFC"/>
    <w:rsid w:val="005D6DE0"/>
    <w:rsid w:val="005D711F"/>
    <w:rsid w:val="005D71A7"/>
    <w:rsid w:val="005D7238"/>
    <w:rsid w:val="005D7614"/>
    <w:rsid w:val="005D785E"/>
    <w:rsid w:val="005D7893"/>
    <w:rsid w:val="005D78A2"/>
    <w:rsid w:val="005D7AC3"/>
    <w:rsid w:val="005D7B07"/>
    <w:rsid w:val="005D7CDE"/>
    <w:rsid w:val="005D7CED"/>
    <w:rsid w:val="005D7D7D"/>
    <w:rsid w:val="005D7E8E"/>
    <w:rsid w:val="005D7FD1"/>
    <w:rsid w:val="005DDA03"/>
    <w:rsid w:val="005E0061"/>
    <w:rsid w:val="005E0224"/>
    <w:rsid w:val="005E028A"/>
    <w:rsid w:val="005E02F2"/>
    <w:rsid w:val="005E0340"/>
    <w:rsid w:val="005E04AB"/>
    <w:rsid w:val="005E06BC"/>
    <w:rsid w:val="005E0759"/>
    <w:rsid w:val="005E07D3"/>
    <w:rsid w:val="005E0849"/>
    <w:rsid w:val="005E09E2"/>
    <w:rsid w:val="005E0AFE"/>
    <w:rsid w:val="005E0C1E"/>
    <w:rsid w:val="005E0D33"/>
    <w:rsid w:val="005E0DD4"/>
    <w:rsid w:val="005E0DF8"/>
    <w:rsid w:val="005E0EE4"/>
    <w:rsid w:val="005E0F8D"/>
    <w:rsid w:val="005E1162"/>
    <w:rsid w:val="005E1174"/>
    <w:rsid w:val="005E11E3"/>
    <w:rsid w:val="005E1201"/>
    <w:rsid w:val="005E1283"/>
    <w:rsid w:val="005E13D1"/>
    <w:rsid w:val="005E15E5"/>
    <w:rsid w:val="005E1631"/>
    <w:rsid w:val="005E16A1"/>
    <w:rsid w:val="005E17AE"/>
    <w:rsid w:val="005E180F"/>
    <w:rsid w:val="005E1827"/>
    <w:rsid w:val="005E1A4B"/>
    <w:rsid w:val="005E1AAA"/>
    <w:rsid w:val="005E1CC3"/>
    <w:rsid w:val="005E1D38"/>
    <w:rsid w:val="005E1DAB"/>
    <w:rsid w:val="005E1E74"/>
    <w:rsid w:val="005E1FBE"/>
    <w:rsid w:val="005E207B"/>
    <w:rsid w:val="005E20A8"/>
    <w:rsid w:val="005E20E6"/>
    <w:rsid w:val="005E2152"/>
    <w:rsid w:val="005E218B"/>
    <w:rsid w:val="005E22DC"/>
    <w:rsid w:val="005E275D"/>
    <w:rsid w:val="005E2870"/>
    <w:rsid w:val="005E2976"/>
    <w:rsid w:val="005E2A29"/>
    <w:rsid w:val="005E2A47"/>
    <w:rsid w:val="005E2B2F"/>
    <w:rsid w:val="005E2B7C"/>
    <w:rsid w:val="005E2B98"/>
    <w:rsid w:val="005E2CA7"/>
    <w:rsid w:val="005E2CAF"/>
    <w:rsid w:val="005E2ED5"/>
    <w:rsid w:val="005E30F3"/>
    <w:rsid w:val="005E320B"/>
    <w:rsid w:val="005E32EB"/>
    <w:rsid w:val="005E38BD"/>
    <w:rsid w:val="005E3962"/>
    <w:rsid w:val="005E3AC1"/>
    <w:rsid w:val="005E3DBC"/>
    <w:rsid w:val="005E4594"/>
    <w:rsid w:val="005E45E1"/>
    <w:rsid w:val="005E47DB"/>
    <w:rsid w:val="005E480C"/>
    <w:rsid w:val="005E4860"/>
    <w:rsid w:val="005E4A33"/>
    <w:rsid w:val="005E4B73"/>
    <w:rsid w:val="005E4BF6"/>
    <w:rsid w:val="005E4F35"/>
    <w:rsid w:val="005E4F37"/>
    <w:rsid w:val="005E5030"/>
    <w:rsid w:val="005E50DF"/>
    <w:rsid w:val="005E50F6"/>
    <w:rsid w:val="005E51BD"/>
    <w:rsid w:val="005E52AF"/>
    <w:rsid w:val="005E536F"/>
    <w:rsid w:val="005E5385"/>
    <w:rsid w:val="005E55DA"/>
    <w:rsid w:val="005E58B0"/>
    <w:rsid w:val="005E58F8"/>
    <w:rsid w:val="005E5D1A"/>
    <w:rsid w:val="005E5FDB"/>
    <w:rsid w:val="005E6306"/>
    <w:rsid w:val="005E64F2"/>
    <w:rsid w:val="005E656C"/>
    <w:rsid w:val="005E68B0"/>
    <w:rsid w:val="005E69B3"/>
    <w:rsid w:val="005E6D8A"/>
    <w:rsid w:val="005E6E83"/>
    <w:rsid w:val="005E6F25"/>
    <w:rsid w:val="005E6FE3"/>
    <w:rsid w:val="005E70AD"/>
    <w:rsid w:val="005E7286"/>
    <w:rsid w:val="005E738C"/>
    <w:rsid w:val="005E75F9"/>
    <w:rsid w:val="005E79B3"/>
    <w:rsid w:val="005E7B9F"/>
    <w:rsid w:val="005E7D1F"/>
    <w:rsid w:val="005E7E8A"/>
    <w:rsid w:val="005F004D"/>
    <w:rsid w:val="005F0239"/>
    <w:rsid w:val="005F0378"/>
    <w:rsid w:val="005F03B2"/>
    <w:rsid w:val="005F03DF"/>
    <w:rsid w:val="005F0407"/>
    <w:rsid w:val="005F06E4"/>
    <w:rsid w:val="005F07C1"/>
    <w:rsid w:val="005F09E5"/>
    <w:rsid w:val="005F0AC3"/>
    <w:rsid w:val="005F0E44"/>
    <w:rsid w:val="005F0F25"/>
    <w:rsid w:val="005F100A"/>
    <w:rsid w:val="005F10B7"/>
    <w:rsid w:val="005F10FE"/>
    <w:rsid w:val="005F139D"/>
    <w:rsid w:val="005F1456"/>
    <w:rsid w:val="005F1459"/>
    <w:rsid w:val="005F14EC"/>
    <w:rsid w:val="005F1553"/>
    <w:rsid w:val="005F1639"/>
    <w:rsid w:val="005F16B8"/>
    <w:rsid w:val="005F16D3"/>
    <w:rsid w:val="005F1749"/>
    <w:rsid w:val="005F1E2A"/>
    <w:rsid w:val="005F1EBD"/>
    <w:rsid w:val="005F1FA0"/>
    <w:rsid w:val="005F2038"/>
    <w:rsid w:val="005F208B"/>
    <w:rsid w:val="005F20CE"/>
    <w:rsid w:val="005F2446"/>
    <w:rsid w:val="005F2454"/>
    <w:rsid w:val="005F2696"/>
    <w:rsid w:val="005F2705"/>
    <w:rsid w:val="005F2796"/>
    <w:rsid w:val="005F2BB7"/>
    <w:rsid w:val="005F2BFF"/>
    <w:rsid w:val="005F2CD7"/>
    <w:rsid w:val="005F2D1C"/>
    <w:rsid w:val="005F2D3E"/>
    <w:rsid w:val="005F2D8A"/>
    <w:rsid w:val="005F3214"/>
    <w:rsid w:val="005F3343"/>
    <w:rsid w:val="005F347E"/>
    <w:rsid w:val="005F3564"/>
    <w:rsid w:val="005F3711"/>
    <w:rsid w:val="005F3849"/>
    <w:rsid w:val="005F3936"/>
    <w:rsid w:val="005F3983"/>
    <w:rsid w:val="005F3989"/>
    <w:rsid w:val="005F3991"/>
    <w:rsid w:val="005F3AD1"/>
    <w:rsid w:val="005F3D0C"/>
    <w:rsid w:val="005F3D77"/>
    <w:rsid w:val="005F40AC"/>
    <w:rsid w:val="005F41D4"/>
    <w:rsid w:val="005F42A0"/>
    <w:rsid w:val="005F4323"/>
    <w:rsid w:val="005F43E2"/>
    <w:rsid w:val="005F454B"/>
    <w:rsid w:val="005F456A"/>
    <w:rsid w:val="005F459D"/>
    <w:rsid w:val="005F4697"/>
    <w:rsid w:val="005F4794"/>
    <w:rsid w:val="005F4877"/>
    <w:rsid w:val="005F48B7"/>
    <w:rsid w:val="005F4910"/>
    <w:rsid w:val="005F4AB8"/>
    <w:rsid w:val="005F4E0F"/>
    <w:rsid w:val="005F4EFB"/>
    <w:rsid w:val="005F4EFD"/>
    <w:rsid w:val="005F52C0"/>
    <w:rsid w:val="005F54CE"/>
    <w:rsid w:val="005F5949"/>
    <w:rsid w:val="005F5DD7"/>
    <w:rsid w:val="005F5E44"/>
    <w:rsid w:val="005F5EE8"/>
    <w:rsid w:val="005F5F39"/>
    <w:rsid w:val="005F5F63"/>
    <w:rsid w:val="005F5F6A"/>
    <w:rsid w:val="005F6335"/>
    <w:rsid w:val="005F64E4"/>
    <w:rsid w:val="005F6518"/>
    <w:rsid w:val="005F6806"/>
    <w:rsid w:val="005F68B7"/>
    <w:rsid w:val="005F68EA"/>
    <w:rsid w:val="005F692B"/>
    <w:rsid w:val="005F6D7A"/>
    <w:rsid w:val="005F6E57"/>
    <w:rsid w:val="005F6EAA"/>
    <w:rsid w:val="005F6EF0"/>
    <w:rsid w:val="005F6F4B"/>
    <w:rsid w:val="005F6FA4"/>
    <w:rsid w:val="005F701D"/>
    <w:rsid w:val="005F735B"/>
    <w:rsid w:val="005F73C4"/>
    <w:rsid w:val="005F7580"/>
    <w:rsid w:val="005F75AA"/>
    <w:rsid w:val="005F7641"/>
    <w:rsid w:val="005F76B7"/>
    <w:rsid w:val="005F76D1"/>
    <w:rsid w:val="005F7741"/>
    <w:rsid w:val="005F779B"/>
    <w:rsid w:val="005F7864"/>
    <w:rsid w:val="005F79A3"/>
    <w:rsid w:val="005F7AB1"/>
    <w:rsid w:val="005F7AC7"/>
    <w:rsid w:val="005F7AE3"/>
    <w:rsid w:val="005F7B76"/>
    <w:rsid w:val="005F7C99"/>
    <w:rsid w:val="005F7F65"/>
    <w:rsid w:val="00600147"/>
    <w:rsid w:val="00600267"/>
    <w:rsid w:val="00600381"/>
    <w:rsid w:val="0060048C"/>
    <w:rsid w:val="00600532"/>
    <w:rsid w:val="00600698"/>
    <w:rsid w:val="0060079B"/>
    <w:rsid w:val="006007A7"/>
    <w:rsid w:val="0060094B"/>
    <w:rsid w:val="00600A5E"/>
    <w:rsid w:val="00600B61"/>
    <w:rsid w:val="00600BA3"/>
    <w:rsid w:val="00600D3A"/>
    <w:rsid w:val="00600D6F"/>
    <w:rsid w:val="00600DED"/>
    <w:rsid w:val="00600E7F"/>
    <w:rsid w:val="006010E7"/>
    <w:rsid w:val="006014F1"/>
    <w:rsid w:val="0060179E"/>
    <w:rsid w:val="00601879"/>
    <w:rsid w:val="006018DE"/>
    <w:rsid w:val="006019C4"/>
    <w:rsid w:val="00601AFE"/>
    <w:rsid w:val="00601B08"/>
    <w:rsid w:val="00601B78"/>
    <w:rsid w:val="00601C92"/>
    <w:rsid w:val="00601E29"/>
    <w:rsid w:val="00601E4F"/>
    <w:rsid w:val="0060203E"/>
    <w:rsid w:val="0060221F"/>
    <w:rsid w:val="006022F6"/>
    <w:rsid w:val="00602302"/>
    <w:rsid w:val="00602320"/>
    <w:rsid w:val="00602420"/>
    <w:rsid w:val="00602481"/>
    <w:rsid w:val="006025FF"/>
    <w:rsid w:val="00602769"/>
    <w:rsid w:val="00602872"/>
    <w:rsid w:val="006029FB"/>
    <w:rsid w:val="00602B07"/>
    <w:rsid w:val="00602B5B"/>
    <w:rsid w:val="00602C1A"/>
    <w:rsid w:val="00603157"/>
    <w:rsid w:val="00603219"/>
    <w:rsid w:val="006032A8"/>
    <w:rsid w:val="006032B0"/>
    <w:rsid w:val="0060337E"/>
    <w:rsid w:val="0060375D"/>
    <w:rsid w:val="006038A7"/>
    <w:rsid w:val="006038D4"/>
    <w:rsid w:val="00603915"/>
    <w:rsid w:val="00603981"/>
    <w:rsid w:val="006039FD"/>
    <w:rsid w:val="00603B5B"/>
    <w:rsid w:val="0060402D"/>
    <w:rsid w:val="0060427B"/>
    <w:rsid w:val="00604307"/>
    <w:rsid w:val="00604511"/>
    <w:rsid w:val="00604550"/>
    <w:rsid w:val="00604801"/>
    <w:rsid w:val="00604BD7"/>
    <w:rsid w:val="00604C3C"/>
    <w:rsid w:val="00604D50"/>
    <w:rsid w:val="00604F69"/>
    <w:rsid w:val="00604F90"/>
    <w:rsid w:val="006055DA"/>
    <w:rsid w:val="00605699"/>
    <w:rsid w:val="00605713"/>
    <w:rsid w:val="00605836"/>
    <w:rsid w:val="006058E2"/>
    <w:rsid w:val="00605B07"/>
    <w:rsid w:val="00605B96"/>
    <w:rsid w:val="00605C94"/>
    <w:rsid w:val="00605CA6"/>
    <w:rsid w:val="00605D91"/>
    <w:rsid w:val="00605E9D"/>
    <w:rsid w:val="00605EFB"/>
    <w:rsid w:val="00605F3A"/>
    <w:rsid w:val="00605FFA"/>
    <w:rsid w:val="006062AD"/>
    <w:rsid w:val="00606375"/>
    <w:rsid w:val="006064B0"/>
    <w:rsid w:val="0060653E"/>
    <w:rsid w:val="006065B4"/>
    <w:rsid w:val="0060662B"/>
    <w:rsid w:val="0060662D"/>
    <w:rsid w:val="00606663"/>
    <w:rsid w:val="006067BB"/>
    <w:rsid w:val="006067ED"/>
    <w:rsid w:val="00606855"/>
    <w:rsid w:val="00606A2D"/>
    <w:rsid w:val="00606B72"/>
    <w:rsid w:val="00606B9D"/>
    <w:rsid w:val="00606E6E"/>
    <w:rsid w:val="00606EB8"/>
    <w:rsid w:val="00606F38"/>
    <w:rsid w:val="00606FD7"/>
    <w:rsid w:val="0060700F"/>
    <w:rsid w:val="006071CA"/>
    <w:rsid w:val="00607325"/>
    <w:rsid w:val="00607381"/>
    <w:rsid w:val="006073E6"/>
    <w:rsid w:val="00607487"/>
    <w:rsid w:val="006074B8"/>
    <w:rsid w:val="0060761F"/>
    <w:rsid w:val="00607652"/>
    <w:rsid w:val="006077AF"/>
    <w:rsid w:val="0060799C"/>
    <w:rsid w:val="00607B8D"/>
    <w:rsid w:val="00607C69"/>
    <w:rsid w:val="00607E55"/>
    <w:rsid w:val="00607F29"/>
    <w:rsid w:val="00610003"/>
    <w:rsid w:val="00610196"/>
    <w:rsid w:val="006101EE"/>
    <w:rsid w:val="006104CB"/>
    <w:rsid w:val="006105EB"/>
    <w:rsid w:val="00610868"/>
    <w:rsid w:val="00610892"/>
    <w:rsid w:val="00610914"/>
    <w:rsid w:val="0061093F"/>
    <w:rsid w:val="006109B3"/>
    <w:rsid w:val="00610A99"/>
    <w:rsid w:val="00610B6E"/>
    <w:rsid w:val="00610C03"/>
    <w:rsid w:val="00610CBF"/>
    <w:rsid w:val="00610CF7"/>
    <w:rsid w:val="00610D17"/>
    <w:rsid w:val="00610F07"/>
    <w:rsid w:val="00611102"/>
    <w:rsid w:val="0061118E"/>
    <w:rsid w:val="006115AC"/>
    <w:rsid w:val="006116AF"/>
    <w:rsid w:val="0061173F"/>
    <w:rsid w:val="00611774"/>
    <w:rsid w:val="006117FA"/>
    <w:rsid w:val="006118A3"/>
    <w:rsid w:val="006118A7"/>
    <w:rsid w:val="00611A9E"/>
    <w:rsid w:val="00612009"/>
    <w:rsid w:val="0061201B"/>
    <w:rsid w:val="00612200"/>
    <w:rsid w:val="00612252"/>
    <w:rsid w:val="006126B2"/>
    <w:rsid w:val="00612993"/>
    <w:rsid w:val="00612BB5"/>
    <w:rsid w:val="00612D7C"/>
    <w:rsid w:val="00612E1A"/>
    <w:rsid w:val="00613036"/>
    <w:rsid w:val="006130CD"/>
    <w:rsid w:val="006130D4"/>
    <w:rsid w:val="00613101"/>
    <w:rsid w:val="00613213"/>
    <w:rsid w:val="006132AE"/>
    <w:rsid w:val="00613472"/>
    <w:rsid w:val="006134ED"/>
    <w:rsid w:val="0061385A"/>
    <w:rsid w:val="0061390D"/>
    <w:rsid w:val="0061394B"/>
    <w:rsid w:val="00613A54"/>
    <w:rsid w:val="00613BB0"/>
    <w:rsid w:val="00613C37"/>
    <w:rsid w:val="00613E2E"/>
    <w:rsid w:val="00613E59"/>
    <w:rsid w:val="00613F3F"/>
    <w:rsid w:val="00613FBC"/>
    <w:rsid w:val="0061426D"/>
    <w:rsid w:val="0061430F"/>
    <w:rsid w:val="0061434E"/>
    <w:rsid w:val="0061435E"/>
    <w:rsid w:val="00614443"/>
    <w:rsid w:val="006144AD"/>
    <w:rsid w:val="0061451E"/>
    <w:rsid w:val="006145A3"/>
    <w:rsid w:val="006146D3"/>
    <w:rsid w:val="00614765"/>
    <w:rsid w:val="00614846"/>
    <w:rsid w:val="0061486E"/>
    <w:rsid w:val="006148E5"/>
    <w:rsid w:val="00614F39"/>
    <w:rsid w:val="00614F73"/>
    <w:rsid w:val="00615024"/>
    <w:rsid w:val="00615099"/>
    <w:rsid w:val="0061519B"/>
    <w:rsid w:val="006151BA"/>
    <w:rsid w:val="006152DF"/>
    <w:rsid w:val="0061544C"/>
    <w:rsid w:val="006156B9"/>
    <w:rsid w:val="00615868"/>
    <w:rsid w:val="00615884"/>
    <w:rsid w:val="00615897"/>
    <w:rsid w:val="00615A12"/>
    <w:rsid w:val="00615A50"/>
    <w:rsid w:val="00615BD0"/>
    <w:rsid w:val="00615DA9"/>
    <w:rsid w:val="00615E5B"/>
    <w:rsid w:val="00615EB0"/>
    <w:rsid w:val="00615FFE"/>
    <w:rsid w:val="00616258"/>
    <w:rsid w:val="006162D9"/>
    <w:rsid w:val="006164D7"/>
    <w:rsid w:val="006164E5"/>
    <w:rsid w:val="006165A2"/>
    <w:rsid w:val="006168B3"/>
    <w:rsid w:val="00616A81"/>
    <w:rsid w:val="00616EEE"/>
    <w:rsid w:val="00616FBE"/>
    <w:rsid w:val="00616FE5"/>
    <w:rsid w:val="00617110"/>
    <w:rsid w:val="0061715D"/>
    <w:rsid w:val="006172B7"/>
    <w:rsid w:val="0061774D"/>
    <w:rsid w:val="006177C3"/>
    <w:rsid w:val="006179EE"/>
    <w:rsid w:val="00617A47"/>
    <w:rsid w:val="00617A7C"/>
    <w:rsid w:val="00617A8D"/>
    <w:rsid w:val="00617AA6"/>
    <w:rsid w:val="00617BC9"/>
    <w:rsid w:val="00617C0C"/>
    <w:rsid w:val="00617C76"/>
    <w:rsid w:val="00617E63"/>
    <w:rsid w:val="00617F86"/>
    <w:rsid w:val="0061E471"/>
    <w:rsid w:val="0062017D"/>
    <w:rsid w:val="006201E8"/>
    <w:rsid w:val="00620287"/>
    <w:rsid w:val="006203FF"/>
    <w:rsid w:val="006204CC"/>
    <w:rsid w:val="00620507"/>
    <w:rsid w:val="00620644"/>
    <w:rsid w:val="006206B7"/>
    <w:rsid w:val="0062076F"/>
    <w:rsid w:val="00620872"/>
    <w:rsid w:val="0062087A"/>
    <w:rsid w:val="006208CA"/>
    <w:rsid w:val="00620A35"/>
    <w:rsid w:val="00620A68"/>
    <w:rsid w:val="00620AC7"/>
    <w:rsid w:val="00620B40"/>
    <w:rsid w:val="00620CE3"/>
    <w:rsid w:val="00620D3F"/>
    <w:rsid w:val="00620E09"/>
    <w:rsid w:val="00621043"/>
    <w:rsid w:val="006213E4"/>
    <w:rsid w:val="00621459"/>
    <w:rsid w:val="006215A9"/>
    <w:rsid w:val="00621648"/>
    <w:rsid w:val="006217E8"/>
    <w:rsid w:val="006217FB"/>
    <w:rsid w:val="00621854"/>
    <w:rsid w:val="006218C5"/>
    <w:rsid w:val="00621964"/>
    <w:rsid w:val="00621C1F"/>
    <w:rsid w:val="00621F67"/>
    <w:rsid w:val="006221B3"/>
    <w:rsid w:val="00622310"/>
    <w:rsid w:val="0062233D"/>
    <w:rsid w:val="006227EB"/>
    <w:rsid w:val="00622871"/>
    <w:rsid w:val="0062289A"/>
    <w:rsid w:val="00622982"/>
    <w:rsid w:val="00622A43"/>
    <w:rsid w:val="00622BD2"/>
    <w:rsid w:val="00622BD9"/>
    <w:rsid w:val="00622C45"/>
    <w:rsid w:val="00622C69"/>
    <w:rsid w:val="00622D1F"/>
    <w:rsid w:val="00622D6F"/>
    <w:rsid w:val="00622DF5"/>
    <w:rsid w:val="00622E60"/>
    <w:rsid w:val="00622FC0"/>
    <w:rsid w:val="0062300A"/>
    <w:rsid w:val="0062325C"/>
    <w:rsid w:val="00623321"/>
    <w:rsid w:val="00623445"/>
    <w:rsid w:val="00623640"/>
    <w:rsid w:val="00623665"/>
    <w:rsid w:val="0062368D"/>
    <w:rsid w:val="006237AA"/>
    <w:rsid w:val="006237C4"/>
    <w:rsid w:val="0062383F"/>
    <w:rsid w:val="0062384C"/>
    <w:rsid w:val="006238B3"/>
    <w:rsid w:val="00623A1F"/>
    <w:rsid w:val="00623A54"/>
    <w:rsid w:val="00623B1A"/>
    <w:rsid w:val="00623B98"/>
    <w:rsid w:val="00623BA8"/>
    <w:rsid w:val="00623C40"/>
    <w:rsid w:val="00623C8B"/>
    <w:rsid w:val="00624158"/>
    <w:rsid w:val="00624317"/>
    <w:rsid w:val="0062443D"/>
    <w:rsid w:val="00624586"/>
    <w:rsid w:val="00624651"/>
    <w:rsid w:val="00624652"/>
    <w:rsid w:val="00624897"/>
    <w:rsid w:val="00624AE5"/>
    <w:rsid w:val="00624D6E"/>
    <w:rsid w:val="00624EBA"/>
    <w:rsid w:val="00624F48"/>
    <w:rsid w:val="006252D8"/>
    <w:rsid w:val="00625365"/>
    <w:rsid w:val="006253D7"/>
    <w:rsid w:val="0062558C"/>
    <w:rsid w:val="006255D0"/>
    <w:rsid w:val="00625612"/>
    <w:rsid w:val="00625621"/>
    <w:rsid w:val="00625641"/>
    <w:rsid w:val="0062585B"/>
    <w:rsid w:val="0062591E"/>
    <w:rsid w:val="00625B75"/>
    <w:rsid w:val="00625DA9"/>
    <w:rsid w:val="00625E19"/>
    <w:rsid w:val="00625FBF"/>
    <w:rsid w:val="00625FD2"/>
    <w:rsid w:val="00626160"/>
    <w:rsid w:val="006261F5"/>
    <w:rsid w:val="00626283"/>
    <w:rsid w:val="0062630C"/>
    <w:rsid w:val="0062632A"/>
    <w:rsid w:val="006264B4"/>
    <w:rsid w:val="00626509"/>
    <w:rsid w:val="0062654F"/>
    <w:rsid w:val="00626A3E"/>
    <w:rsid w:val="00626AF4"/>
    <w:rsid w:val="00626B99"/>
    <w:rsid w:val="00626D96"/>
    <w:rsid w:val="00626E49"/>
    <w:rsid w:val="00627239"/>
    <w:rsid w:val="0062770B"/>
    <w:rsid w:val="00627775"/>
    <w:rsid w:val="006277DE"/>
    <w:rsid w:val="00627838"/>
    <w:rsid w:val="00627856"/>
    <w:rsid w:val="0062788A"/>
    <w:rsid w:val="006278B0"/>
    <w:rsid w:val="006278E7"/>
    <w:rsid w:val="00627A96"/>
    <w:rsid w:val="00627ACB"/>
    <w:rsid w:val="00627D4D"/>
    <w:rsid w:val="00627E2D"/>
    <w:rsid w:val="00627E87"/>
    <w:rsid w:val="00627FF9"/>
    <w:rsid w:val="00630029"/>
    <w:rsid w:val="006300F1"/>
    <w:rsid w:val="00630124"/>
    <w:rsid w:val="006302A0"/>
    <w:rsid w:val="006302A2"/>
    <w:rsid w:val="006302AA"/>
    <w:rsid w:val="006302EA"/>
    <w:rsid w:val="0063040D"/>
    <w:rsid w:val="00630425"/>
    <w:rsid w:val="0063055F"/>
    <w:rsid w:val="00630731"/>
    <w:rsid w:val="00630814"/>
    <w:rsid w:val="0063088D"/>
    <w:rsid w:val="006308AA"/>
    <w:rsid w:val="006309D7"/>
    <w:rsid w:val="00630B96"/>
    <w:rsid w:val="00630EA1"/>
    <w:rsid w:val="00630EDE"/>
    <w:rsid w:val="00630F93"/>
    <w:rsid w:val="00630FEF"/>
    <w:rsid w:val="006310D0"/>
    <w:rsid w:val="006311D1"/>
    <w:rsid w:val="006314E4"/>
    <w:rsid w:val="006315AC"/>
    <w:rsid w:val="006317D9"/>
    <w:rsid w:val="00631890"/>
    <w:rsid w:val="006319C3"/>
    <w:rsid w:val="00631C50"/>
    <w:rsid w:val="00631D06"/>
    <w:rsid w:val="00631DA7"/>
    <w:rsid w:val="00631DDE"/>
    <w:rsid w:val="00631F46"/>
    <w:rsid w:val="00632019"/>
    <w:rsid w:val="0063218E"/>
    <w:rsid w:val="00632198"/>
    <w:rsid w:val="006322F5"/>
    <w:rsid w:val="00632448"/>
    <w:rsid w:val="00632501"/>
    <w:rsid w:val="006325C2"/>
    <w:rsid w:val="0063269A"/>
    <w:rsid w:val="006328B0"/>
    <w:rsid w:val="00632994"/>
    <w:rsid w:val="00632AA4"/>
    <w:rsid w:val="00632C42"/>
    <w:rsid w:val="00632F22"/>
    <w:rsid w:val="00633278"/>
    <w:rsid w:val="00633440"/>
    <w:rsid w:val="006334EA"/>
    <w:rsid w:val="0063356E"/>
    <w:rsid w:val="006335AC"/>
    <w:rsid w:val="0063388D"/>
    <w:rsid w:val="00633A4F"/>
    <w:rsid w:val="00633A52"/>
    <w:rsid w:val="00633AF0"/>
    <w:rsid w:val="00633B4F"/>
    <w:rsid w:val="00633B6A"/>
    <w:rsid w:val="00633C61"/>
    <w:rsid w:val="00633C76"/>
    <w:rsid w:val="00633D5D"/>
    <w:rsid w:val="00633DED"/>
    <w:rsid w:val="00633E61"/>
    <w:rsid w:val="00633E67"/>
    <w:rsid w:val="00633F13"/>
    <w:rsid w:val="00634043"/>
    <w:rsid w:val="0063410D"/>
    <w:rsid w:val="00634171"/>
    <w:rsid w:val="00634190"/>
    <w:rsid w:val="0063433B"/>
    <w:rsid w:val="006344C1"/>
    <w:rsid w:val="00634580"/>
    <w:rsid w:val="006345AE"/>
    <w:rsid w:val="0063470C"/>
    <w:rsid w:val="0063475C"/>
    <w:rsid w:val="006349D0"/>
    <w:rsid w:val="00634B67"/>
    <w:rsid w:val="00634B75"/>
    <w:rsid w:val="00634BF8"/>
    <w:rsid w:val="00634CCE"/>
    <w:rsid w:val="00634ED1"/>
    <w:rsid w:val="00634ED6"/>
    <w:rsid w:val="00634F9D"/>
    <w:rsid w:val="00634FF8"/>
    <w:rsid w:val="0063503C"/>
    <w:rsid w:val="006350C0"/>
    <w:rsid w:val="006351F4"/>
    <w:rsid w:val="006352FB"/>
    <w:rsid w:val="00635452"/>
    <w:rsid w:val="00635480"/>
    <w:rsid w:val="006354FA"/>
    <w:rsid w:val="00635824"/>
    <w:rsid w:val="006358CC"/>
    <w:rsid w:val="00635A09"/>
    <w:rsid w:val="00635A34"/>
    <w:rsid w:val="00635ABD"/>
    <w:rsid w:val="00635B6F"/>
    <w:rsid w:val="00635D75"/>
    <w:rsid w:val="00635F02"/>
    <w:rsid w:val="00635FC8"/>
    <w:rsid w:val="006360B8"/>
    <w:rsid w:val="00636188"/>
    <w:rsid w:val="00636218"/>
    <w:rsid w:val="00636262"/>
    <w:rsid w:val="0063637D"/>
    <w:rsid w:val="006363A7"/>
    <w:rsid w:val="0063647A"/>
    <w:rsid w:val="00636489"/>
    <w:rsid w:val="006364D3"/>
    <w:rsid w:val="0063676E"/>
    <w:rsid w:val="006368AA"/>
    <w:rsid w:val="006369C3"/>
    <w:rsid w:val="00636AC5"/>
    <w:rsid w:val="00636D4A"/>
    <w:rsid w:val="00636E4B"/>
    <w:rsid w:val="00636EDF"/>
    <w:rsid w:val="00637130"/>
    <w:rsid w:val="00637370"/>
    <w:rsid w:val="0063752E"/>
    <w:rsid w:val="0063774C"/>
    <w:rsid w:val="0063776C"/>
    <w:rsid w:val="006377BD"/>
    <w:rsid w:val="006377EE"/>
    <w:rsid w:val="00637922"/>
    <w:rsid w:val="0063793C"/>
    <w:rsid w:val="00637983"/>
    <w:rsid w:val="00637AF1"/>
    <w:rsid w:val="00637B98"/>
    <w:rsid w:val="00637CB5"/>
    <w:rsid w:val="00637D03"/>
    <w:rsid w:val="00637E3F"/>
    <w:rsid w:val="00640102"/>
    <w:rsid w:val="006401A9"/>
    <w:rsid w:val="006401D8"/>
    <w:rsid w:val="006401FD"/>
    <w:rsid w:val="0064025A"/>
    <w:rsid w:val="006402BD"/>
    <w:rsid w:val="006402D4"/>
    <w:rsid w:val="00640369"/>
    <w:rsid w:val="00640597"/>
    <w:rsid w:val="006406AA"/>
    <w:rsid w:val="00640732"/>
    <w:rsid w:val="00640884"/>
    <w:rsid w:val="006408E4"/>
    <w:rsid w:val="006409A1"/>
    <w:rsid w:val="00640B03"/>
    <w:rsid w:val="00640CDC"/>
    <w:rsid w:val="00640D18"/>
    <w:rsid w:val="00640D49"/>
    <w:rsid w:val="00640D58"/>
    <w:rsid w:val="00640DBC"/>
    <w:rsid w:val="00640DBD"/>
    <w:rsid w:val="00641033"/>
    <w:rsid w:val="0064106F"/>
    <w:rsid w:val="00641439"/>
    <w:rsid w:val="006414A2"/>
    <w:rsid w:val="006417F3"/>
    <w:rsid w:val="006419C5"/>
    <w:rsid w:val="00641AD0"/>
    <w:rsid w:val="00641D7C"/>
    <w:rsid w:val="00641D9A"/>
    <w:rsid w:val="00641DE1"/>
    <w:rsid w:val="00641EE9"/>
    <w:rsid w:val="00641FB5"/>
    <w:rsid w:val="00641FC2"/>
    <w:rsid w:val="00642057"/>
    <w:rsid w:val="00642101"/>
    <w:rsid w:val="0064215D"/>
    <w:rsid w:val="00642592"/>
    <w:rsid w:val="0064261E"/>
    <w:rsid w:val="006426C2"/>
    <w:rsid w:val="00642764"/>
    <w:rsid w:val="00642799"/>
    <w:rsid w:val="00642865"/>
    <w:rsid w:val="006428A3"/>
    <w:rsid w:val="006429DF"/>
    <w:rsid w:val="00642A8A"/>
    <w:rsid w:val="00642AA5"/>
    <w:rsid w:val="00642ABB"/>
    <w:rsid w:val="00642B74"/>
    <w:rsid w:val="00642BDE"/>
    <w:rsid w:val="00642BF0"/>
    <w:rsid w:val="00642CFF"/>
    <w:rsid w:val="00642EDE"/>
    <w:rsid w:val="00642FC5"/>
    <w:rsid w:val="00643111"/>
    <w:rsid w:val="006431E6"/>
    <w:rsid w:val="006433D0"/>
    <w:rsid w:val="00643553"/>
    <w:rsid w:val="0064365B"/>
    <w:rsid w:val="0064399F"/>
    <w:rsid w:val="00643BDC"/>
    <w:rsid w:val="00643F10"/>
    <w:rsid w:val="00644102"/>
    <w:rsid w:val="0064414C"/>
    <w:rsid w:val="0064453B"/>
    <w:rsid w:val="00644616"/>
    <w:rsid w:val="00644768"/>
    <w:rsid w:val="006447CC"/>
    <w:rsid w:val="00644986"/>
    <w:rsid w:val="00644AC9"/>
    <w:rsid w:val="00644B71"/>
    <w:rsid w:val="00644C61"/>
    <w:rsid w:val="00644CAE"/>
    <w:rsid w:val="00644D07"/>
    <w:rsid w:val="00644DA3"/>
    <w:rsid w:val="00644E8A"/>
    <w:rsid w:val="00644F2F"/>
    <w:rsid w:val="0064506F"/>
    <w:rsid w:val="006450A5"/>
    <w:rsid w:val="00645217"/>
    <w:rsid w:val="00645286"/>
    <w:rsid w:val="006454EA"/>
    <w:rsid w:val="006456BE"/>
    <w:rsid w:val="006456C5"/>
    <w:rsid w:val="006456F1"/>
    <w:rsid w:val="0064570F"/>
    <w:rsid w:val="00645792"/>
    <w:rsid w:val="00645817"/>
    <w:rsid w:val="00645941"/>
    <w:rsid w:val="00645A44"/>
    <w:rsid w:val="00645AF7"/>
    <w:rsid w:val="00645B24"/>
    <w:rsid w:val="00645B5B"/>
    <w:rsid w:val="00645D4B"/>
    <w:rsid w:val="00645DA1"/>
    <w:rsid w:val="00645E00"/>
    <w:rsid w:val="006461F0"/>
    <w:rsid w:val="0064659E"/>
    <w:rsid w:val="006465A1"/>
    <w:rsid w:val="006465B8"/>
    <w:rsid w:val="00646656"/>
    <w:rsid w:val="00646A30"/>
    <w:rsid w:val="00646B27"/>
    <w:rsid w:val="00646CFE"/>
    <w:rsid w:val="00646DCE"/>
    <w:rsid w:val="00646E83"/>
    <w:rsid w:val="00646E9A"/>
    <w:rsid w:val="006470C9"/>
    <w:rsid w:val="00647154"/>
    <w:rsid w:val="00647251"/>
    <w:rsid w:val="00647254"/>
    <w:rsid w:val="006474FD"/>
    <w:rsid w:val="0064793F"/>
    <w:rsid w:val="00647A0F"/>
    <w:rsid w:val="00647B41"/>
    <w:rsid w:val="00647EAE"/>
    <w:rsid w:val="00650136"/>
    <w:rsid w:val="0065013A"/>
    <w:rsid w:val="00650236"/>
    <w:rsid w:val="00650245"/>
    <w:rsid w:val="00650327"/>
    <w:rsid w:val="00650347"/>
    <w:rsid w:val="006503C8"/>
    <w:rsid w:val="006504B2"/>
    <w:rsid w:val="006508EE"/>
    <w:rsid w:val="00650B08"/>
    <w:rsid w:val="00650B58"/>
    <w:rsid w:val="00650C88"/>
    <w:rsid w:val="00650D1A"/>
    <w:rsid w:val="00650E0C"/>
    <w:rsid w:val="0065105E"/>
    <w:rsid w:val="0065124E"/>
    <w:rsid w:val="006512CB"/>
    <w:rsid w:val="006512CD"/>
    <w:rsid w:val="0065134E"/>
    <w:rsid w:val="006514C0"/>
    <w:rsid w:val="006516ED"/>
    <w:rsid w:val="00651864"/>
    <w:rsid w:val="00651879"/>
    <w:rsid w:val="00651893"/>
    <w:rsid w:val="0065189B"/>
    <w:rsid w:val="00651920"/>
    <w:rsid w:val="00651AAF"/>
    <w:rsid w:val="00651C6C"/>
    <w:rsid w:val="00651CA0"/>
    <w:rsid w:val="00651E0B"/>
    <w:rsid w:val="00651E55"/>
    <w:rsid w:val="0065212C"/>
    <w:rsid w:val="0065225E"/>
    <w:rsid w:val="00652469"/>
    <w:rsid w:val="00652483"/>
    <w:rsid w:val="00652633"/>
    <w:rsid w:val="00652726"/>
    <w:rsid w:val="00652878"/>
    <w:rsid w:val="0065291F"/>
    <w:rsid w:val="00652986"/>
    <w:rsid w:val="00652A08"/>
    <w:rsid w:val="00652A39"/>
    <w:rsid w:val="00652A92"/>
    <w:rsid w:val="00652ACA"/>
    <w:rsid w:val="00652C9B"/>
    <w:rsid w:val="00652E2E"/>
    <w:rsid w:val="00652E60"/>
    <w:rsid w:val="00652EA2"/>
    <w:rsid w:val="00652F61"/>
    <w:rsid w:val="00653262"/>
    <w:rsid w:val="0065330A"/>
    <w:rsid w:val="0065346B"/>
    <w:rsid w:val="00653513"/>
    <w:rsid w:val="006538DA"/>
    <w:rsid w:val="0065394A"/>
    <w:rsid w:val="00653953"/>
    <w:rsid w:val="00653957"/>
    <w:rsid w:val="00653980"/>
    <w:rsid w:val="00653995"/>
    <w:rsid w:val="00653D04"/>
    <w:rsid w:val="00653D8C"/>
    <w:rsid w:val="00653E4A"/>
    <w:rsid w:val="00653EA8"/>
    <w:rsid w:val="00654195"/>
    <w:rsid w:val="00654215"/>
    <w:rsid w:val="00654263"/>
    <w:rsid w:val="006542F9"/>
    <w:rsid w:val="00654312"/>
    <w:rsid w:val="00654327"/>
    <w:rsid w:val="00654640"/>
    <w:rsid w:val="006548F0"/>
    <w:rsid w:val="00654900"/>
    <w:rsid w:val="0065491D"/>
    <w:rsid w:val="00654A06"/>
    <w:rsid w:val="00654A58"/>
    <w:rsid w:val="00654B71"/>
    <w:rsid w:val="00654BCF"/>
    <w:rsid w:val="00654DBD"/>
    <w:rsid w:val="00654EA6"/>
    <w:rsid w:val="00655566"/>
    <w:rsid w:val="006555BF"/>
    <w:rsid w:val="00655742"/>
    <w:rsid w:val="0065581F"/>
    <w:rsid w:val="00655931"/>
    <w:rsid w:val="006559C8"/>
    <w:rsid w:val="00655A19"/>
    <w:rsid w:val="00655DF7"/>
    <w:rsid w:val="00656218"/>
    <w:rsid w:val="006563FD"/>
    <w:rsid w:val="0065657B"/>
    <w:rsid w:val="006565CE"/>
    <w:rsid w:val="00656753"/>
    <w:rsid w:val="00656781"/>
    <w:rsid w:val="00656AA7"/>
    <w:rsid w:val="00656BA8"/>
    <w:rsid w:val="00656C80"/>
    <w:rsid w:val="00656F88"/>
    <w:rsid w:val="00657084"/>
    <w:rsid w:val="00657141"/>
    <w:rsid w:val="00657196"/>
    <w:rsid w:val="006571B4"/>
    <w:rsid w:val="00657241"/>
    <w:rsid w:val="0065728E"/>
    <w:rsid w:val="00657409"/>
    <w:rsid w:val="006574B4"/>
    <w:rsid w:val="00657545"/>
    <w:rsid w:val="0065767F"/>
    <w:rsid w:val="006577D1"/>
    <w:rsid w:val="006577EB"/>
    <w:rsid w:val="00657820"/>
    <w:rsid w:val="006579C9"/>
    <w:rsid w:val="00657AF6"/>
    <w:rsid w:val="00657D68"/>
    <w:rsid w:val="00657DF6"/>
    <w:rsid w:val="00657FBC"/>
    <w:rsid w:val="00657FCE"/>
    <w:rsid w:val="00660081"/>
    <w:rsid w:val="0066008E"/>
    <w:rsid w:val="00660225"/>
    <w:rsid w:val="00660415"/>
    <w:rsid w:val="0066060F"/>
    <w:rsid w:val="0066069D"/>
    <w:rsid w:val="006606A3"/>
    <w:rsid w:val="0066077B"/>
    <w:rsid w:val="00660A4A"/>
    <w:rsid w:val="00660C37"/>
    <w:rsid w:val="00660CE9"/>
    <w:rsid w:val="00660DA3"/>
    <w:rsid w:val="00660E5D"/>
    <w:rsid w:val="00660E7D"/>
    <w:rsid w:val="00660EC7"/>
    <w:rsid w:val="00660FC3"/>
    <w:rsid w:val="00661036"/>
    <w:rsid w:val="00661066"/>
    <w:rsid w:val="006611B0"/>
    <w:rsid w:val="0066138B"/>
    <w:rsid w:val="00661391"/>
    <w:rsid w:val="00661B38"/>
    <w:rsid w:val="00661C84"/>
    <w:rsid w:val="00661F7F"/>
    <w:rsid w:val="006625AB"/>
    <w:rsid w:val="006625C5"/>
    <w:rsid w:val="00662658"/>
    <w:rsid w:val="00662845"/>
    <w:rsid w:val="00662866"/>
    <w:rsid w:val="0066298D"/>
    <w:rsid w:val="00662FD3"/>
    <w:rsid w:val="00662FF9"/>
    <w:rsid w:val="006630C9"/>
    <w:rsid w:val="00663445"/>
    <w:rsid w:val="006634BA"/>
    <w:rsid w:val="00663501"/>
    <w:rsid w:val="006635DE"/>
    <w:rsid w:val="00663740"/>
    <w:rsid w:val="006637B4"/>
    <w:rsid w:val="00663825"/>
    <w:rsid w:val="00663951"/>
    <w:rsid w:val="00663A42"/>
    <w:rsid w:val="00663E5B"/>
    <w:rsid w:val="00663F36"/>
    <w:rsid w:val="00663F98"/>
    <w:rsid w:val="0066401C"/>
    <w:rsid w:val="006640E4"/>
    <w:rsid w:val="00664348"/>
    <w:rsid w:val="00664378"/>
    <w:rsid w:val="00664540"/>
    <w:rsid w:val="006645E3"/>
    <w:rsid w:val="006645F8"/>
    <w:rsid w:val="00664787"/>
    <w:rsid w:val="00664847"/>
    <w:rsid w:val="00664930"/>
    <w:rsid w:val="006649C9"/>
    <w:rsid w:val="006649E0"/>
    <w:rsid w:val="00664B8B"/>
    <w:rsid w:val="00664E25"/>
    <w:rsid w:val="00664E30"/>
    <w:rsid w:val="00664E57"/>
    <w:rsid w:val="00664F77"/>
    <w:rsid w:val="006650BA"/>
    <w:rsid w:val="00665170"/>
    <w:rsid w:val="00665290"/>
    <w:rsid w:val="00665335"/>
    <w:rsid w:val="006653B7"/>
    <w:rsid w:val="006654B9"/>
    <w:rsid w:val="006656E4"/>
    <w:rsid w:val="006656F6"/>
    <w:rsid w:val="00665822"/>
    <w:rsid w:val="00665890"/>
    <w:rsid w:val="00665C48"/>
    <w:rsid w:val="00665C5A"/>
    <w:rsid w:val="00665C9E"/>
    <w:rsid w:val="00665D90"/>
    <w:rsid w:val="00665F1F"/>
    <w:rsid w:val="0066629D"/>
    <w:rsid w:val="0066636E"/>
    <w:rsid w:val="00666464"/>
    <w:rsid w:val="0066660E"/>
    <w:rsid w:val="006667AC"/>
    <w:rsid w:val="006667B6"/>
    <w:rsid w:val="00666842"/>
    <w:rsid w:val="00666BC4"/>
    <w:rsid w:val="00666C06"/>
    <w:rsid w:val="00666D0A"/>
    <w:rsid w:val="00666E35"/>
    <w:rsid w:val="00666E7C"/>
    <w:rsid w:val="00666EA0"/>
    <w:rsid w:val="00666F70"/>
    <w:rsid w:val="00667098"/>
    <w:rsid w:val="00667213"/>
    <w:rsid w:val="00667322"/>
    <w:rsid w:val="0066741D"/>
    <w:rsid w:val="00667446"/>
    <w:rsid w:val="0066746E"/>
    <w:rsid w:val="0066757B"/>
    <w:rsid w:val="0066759C"/>
    <w:rsid w:val="0066791A"/>
    <w:rsid w:val="00667933"/>
    <w:rsid w:val="00667A35"/>
    <w:rsid w:val="00667A7D"/>
    <w:rsid w:val="00667B3D"/>
    <w:rsid w:val="00667BE9"/>
    <w:rsid w:val="00667C48"/>
    <w:rsid w:val="00667C6D"/>
    <w:rsid w:val="00667CBA"/>
    <w:rsid w:val="00667F8A"/>
    <w:rsid w:val="00670300"/>
    <w:rsid w:val="00670307"/>
    <w:rsid w:val="00670587"/>
    <w:rsid w:val="00670599"/>
    <w:rsid w:val="0067067E"/>
    <w:rsid w:val="00670794"/>
    <w:rsid w:val="00670932"/>
    <w:rsid w:val="00670D4B"/>
    <w:rsid w:val="00670DB6"/>
    <w:rsid w:val="00670E7D"/>
    <w:rsid w:val="00671110"/>
    <w:rsid w:val="0067120A"/>
    <w:rsid w:val="0067121F"/>
    <w:rsid w:val="00671334"/>
    <w:rsid w:val="006714E2"/>
    <w:rsid w:val="0067153C"/>
    <w:rsid w:val="00671592"/>
    <w:rsid w:val="0067176F"/>
    <w:rsid w:val="006717B3"/>
    <w:rsid w:val="006718C4"/>
    <w:rsid w:val="00671B06"/>
    <w:rsid w:val="00671C15"/>
    <w:rsid w:val="00671CD3"/>
    <w:rsid w:val="00671D6E"/>
    <w:rsid w:val="00671E3B"/>
    <w:rsid w:val="00671F22"/>
    <w:rsid w:val="00671F2D"/>
    <w:rsid w:val="00672121"/>
    <w:rsid w:val="0067220B"/>
    <w:rsid w:val="006722D4"/>
    <w:rsid w:val="00672377"/>
    <w:rsid w:val="00672440"/>
    <w:rsid w:val="00672465"/>
    <w:rsid w:val="006724BC"/>
    <w:rsid w:val="006724DB"/>
    <w:rsid w:val="00672579"/>
    <w:rsid w:val="00672693"/>
    <w:rsid w:val="006726ED"/>
    <w:rsid w:val="00672720"/>
    <w:rsid w:val="00672936"/>
    <w:rsid w:val="0067295D"/>
    <w:rsid w:val="00672A56"/>
    <w:rsid w:val="00672BD3"/>
    <w:rsid w:val="00672C6D"/>
    <w:rsid w:val="00672CF6"/>
    <w:rsid w:val="00672FAE"/>
    <w:rsid w:val="006730C9"/>
    <w:rsid w:val="006731C9"/>
    <w:rsid w:val="00673312"/>
    <w:rsid w:val="0067336E"/>
    <w:rsid w:val="0067338B"/>
    <w:rsid w:val="006733FB"/>
    <w:rsid w:val="00673529"/>
    <w:rsid w:val="0067368F"/>
    <w:rsid w:val="006736CE"/>
    <w:rsid w:val="00673886"/>
    <w:rsid w:val="006738E5"/>
    <w:rsid w:val="006739B9"/>
    <w:rsid w:val="00673A41"/>
    <w:rsid w:val="00673C46"/>
    <w:rsid w:val="00673C73"/>
    <w:rsid w:val="00673CEB"/>
    <w:rsid w:val="00673DDB"/>
    <w:rsid w:val="0067413D"/>
    <w:rsid w:val="006741A8"/>
    <w:rsid w:val="006741E8"/>
    <w:rsid w:val="00674355"/>
    <w:rsid w:val="006743FC"/>
    <w:rsid w:val="0067450B"/>
    <w:rsid w:val="00674574"/>
    <w:rsid w:val="0067462A"/>
    <w:rsid w:val="006747D3"/>
    <w:rsid w:val="006748A7"/>
    <w:rsid w:val="00674920"/>
    <w:rsid w:val="00674ADF"/>
    <w:rsid w:val="00674C10"/>
    <w:rsid w:val="00674E09"/>
    <w:rsid w:val="00674ECF"/>
    <w:rsid w:val="00674F5A"/>
    <w:rsid w:val="00674FDF"/>
    <w:rsid w:val="00675337"/>
    <w:rsid w:val="00675476"/>
    <w:rsid w:val="00675693"/>
    <w:rsid w:val="006756C0"/>
    <w:rsid w:val="006756C3"/>
    <w:rsid w:val="006757AA"/>
    <w:rsid w:val="0067585D"/>
    <w:rsid w:val="00675920"/>
    <w:rsid w:val="0067592C"/>
    <w:rsid w:val="006759D7"/>
    <w:rsid w:val="00675B80"/>
    <w:rsid w:val="00675C6E"/>
    <w:rsid w:val="00676041"/>
    <w:rsid w:val="00676134"/>
    <w:rsid w:val="00676227"/>
    <w:rsid w:val="00676502"/>
    <w:rsid w:val="006765CF"/>
    <w:rsid w:val="00676625"/>
    <w:rsid w:val="006766E4"/>
    <w:rsid w:val="006769BC"/>
    <w:rsid w:val="00676ADF"/>
    <w:rsid w:val="00676B37"/>
    <w:rsid w:val="00676BA9"/>
    <w:rsid w:val="00676BB0"/>
    <w:rsid w:val="00676D33"/>
    <w:rsid w:val="00676D3F"/>
    <w:rsid w:val="00676D73"/>
    <w:rsid w:val="00676F29"/>
    <w:rsid w:val="0067700B"/>
    <w:rsid w:val="00677045"/>
    <w:rsid w:val="006771A6"/>
    <w:rsid w:val="00677370"/>
    <w:rsid w:val="006773F2"/>
    <w:rsid w:val="00677445"/>
    <w:rsid w:val="00677806"/>
    <w:rsid w:val="00677D4B"/>
    <w:rsid w:val="00677DE9"/>
    <w:rsid w:val="00677F9C"/>
    <w:rsid w:val="00677FC5"/>
    <w:rsid w:val="006800DD"/>
    <w:rsid w:val="006801CB"/>
    <w:rsid w:val="00680292"/>
    <w:rsid w:val="006805B7"/>
    <w:rsid w:val="006805F4"/>
    <w:rsid w:val="006807E0"/>
    <w:rsid w:val="0068083C"/>
    <w:rsid w:val="00680897"/>
    <w:rsid w:val="006808A5"/>
    <w:rsid w:val="00680995"/>
    <w:rsid w:val="00680BEF"/>
    <w:rsid w:val="00680C04"/>
    <w:rsid w:val="00680CE7"/>
    <w:rsid w:val="00680D2C"/>
    <w:rsid w:val="00680DBC"/>
    <w:rsid w:val="00680EF2"/>
    <w:rsid w:val="00680FF2"/>
    <w:rsid w:val="00681046"/>
    <w:rsid w:val="0068108F"/>
    <w:rsid w:val="0068112D"/>
    <w:rsid w:val="00681163"/>
    <w:rsid w:val="0068133F"/>
    <w:rsid w:val="0068134D"/>
    <w:rsid w:val="00681361"/>
    <w:rsid w:val="00681477"/>
    <w:rsid w:val="00681521"/>
    <w:rsid w:val="006815BF"/>
    <w:rsid w:val="00681837"/>
    <w:rsid w:val="006818C6"/>
    <w:rsid w:val="0068198B"/>
    <w:rsid w:val="00681C46"/>
    <w:rsid w:val="00681C49"/>
    <w:rsid w:val="00681CB8"/>
    <w:rsid w:val="006821C1"/>
    <w:rsid w:val="00682221"/>
    <w:rsid w:val="006822DF"/>
    <w:rsid w:val="006823DE"/>
    <w:rsid w:val="0068242A"/>
    <w:rsid w:val="00682463"/>
    <w:rsid w:val="0068246F"/>
    <w:rsid w:val="00682605"/>
    <w:rsid w:val="0068284C"/>
    <w:rsid w:val="00682A2F"/>
    <w:rsid w:val="00682A9C"/>
    <w:rsid w:val="00682AF3"/>
    <w:rsid w:val="00682B42"/>
    <w:rsid w:val="00682CDE"/>
    <w:rsid w:val="00682F60"/>
    <w:rsid w:val="0068334A"/>
    <w:rsid w:val="006833F3"/>
    <w:rsid w:val="00683438"/>
    <w:rsid w:val="00683584"/>
    <w:rsid w:val="006835B4"/>
    <w:rsid w:val="006835D3"/>
    <w:rsid w:val="0068361F"/>
    <w:rsid w:val="00683843"/>
    <w:rsid w:val="00683861"/>
    <w:rsid w:val="006838FD"/>
    <w:rsid w:val="00683950"/>
    <w:rsid w:val="00683A44"/>
    <w:rsid w:val="00683BF8"/>
    <w:rsid w:val="00683C75"/>
    <w:rsid w:val="00683C8A"/>
    <w:rsid w:val="00683D53"/>
    <w:rsid w:val="00683E83"/>
    <w:rsid w:val="00684579"/>
    <w:rsid w:val="0068463A"/>
    <w:rsid w:val="00684806"/>
    <w:rsid w:val="0068481C"/>
    <w:rsid w:val="00684A7E"/>
    <w:rsid w:val="00684C76"/>
    <w:rsid w:val="00684D42"/>
    <w:rsid w:val="00685115"/>
    <w:rsid w:val="0068531C"/>
    <w:rsid w:val="0068538F"/>
    <w:rsid w:val="006853AD"/>
    <w:rsid w:val="0068560F"/>
    <w:rsid w:val="0068598B"/>
    <w:rsid w:val="00685ECC"/>
    <w:rsid w:val="00685F18"/>
    <w:rsid w:val="006860C9"/>
    <w:rsid w:val="00686385"/>
    <w:rsid w:val="006863CF"/>
    <w:rsid w:val="006864EA"/>
    <w:rsid w:val="00686511"/>
    <w:rsid w:val="0068653C"/>
    <w:rsid w:val="0068656D"/>
    <w:rsid w:val="00686616"/>
    <w:rsid w:val="006866CC"/>
    <w:rsid w:val="00686944"/>
    <w:rsid w:val="00686979"/>
    <w:rsid w:val="00686A61"/>
    <w:rsid w:val="00686DF2"/>
    <w:rsid w:val="00687017"/>
    <w:rsid w:val="006870A6"/>
    <w:rsid w:val="006871CA"/>
    <w:rsid w:val="0068735E"/>
    <w:rsid w:val="00687448"/>
    <w:rsid w:val="006874FC"/>
    <w:rsid w:val="00687595"/>
    <w:rsid w:val="00687697"/>
    <w:rsid w:val="006877FB"/>
    <w:rsid w:val="00687926"/>
    <w:rsid w:val="00687F4D"/>
    <w:rsid w:val="00687F67"/>
    <w:rsid w:val="00687FB2"/>
    <w:rsid w:val="0068AFFC"/>
    <w:rsid w:val="006900A5"/>
    <w:rsid w:val="006900F3"/>
    <w:rsid w:val="0069035F"/>
    <w:rsid w:val="00690361"/>
    <w:rsid w:val="0069036C"/>
    <w:rsid w:val="006904EA"/>
    <w:rsid w:val="00690568"/>
    <w:rsid w:val="00690617"/>
    <w:rsid w:val="00690638"/>
    <w:rsid w:val="006906AA"/>
    <w:rsid w:val="00690787"/>
    <w:rsid w:val="006907A4"/>
    <w:rsid w:val="00690899"/>
    <w:rsid w:val="006909D9"/>
    <w:rsid w:val="006909FD"/>
    <w:rsid w:val="00690C5B"/>
    <w:rsid w:val="00690E2B"/>
    <w:rsid w:val="00690E2D"/>
    <w:rsid w:val="00690EFE"/>
    <w:rsid w:val="00690FE2"/>
    <w:rsid w:val="00691256"/>
    <w:rsid w:val="006913AA"/>
    <w:rsid w:val="00691420"/>
    <w:rsid w:val="0069144A"/>
    <w:rsid w:val="00691705"/>
    <w:rsid w:val="006917DB"/>
    <w:rsid w:val="00691990"/>
    <w:rsid w:val="00691BA9"/>
    <w:rsid w:val="00691BDA"/>
    <w:rsid w:val="00691C55"/>
    <w:rsid w:val="00691E5D"/>
    <w:rsid w:val="00691F7E"/>
    <w:rsid w:val="00691FD7"/>
    <w:rsid w:val="006920AB"/>
    <w:rsid w:val="0069248A"/>
    <w:rsid w:val="006926B2"/>
    <w:rsid w:val="00692736"/>
    <w:rsid w:val="006927B7"/>
    <w:rsid w:val="00692851"/>
    <w:rsid w:val="006928D4"/>
    <w:rsid w:val="0069294A"/>
    <w:rsid w:val="006929F2"/>
    <w:rsid w:val="00692A4D"/>
    <w:rsid w:val="00692AD1"/>
    <w:rsid w:val="00692B3B"/>
    <w:rsid w:val="00692CD9"/>
    <w:rsid w:val="00692DE3"/>
    <w:rsid w:val="00692EAA"/>
    <w:rsid w:val="00692F6F"/>
    <w:rsid w:val="00693039"/>
    <w:rsid w:val="006930AC"/>
    <w:rsid w:val="00693111"/>
    <w:rsid w:val="006931B7"/>
    <w:rsid w:val="006931D8"/>
    <w:rsid w:val="006931FB"/>
    <w:rsid w:val="006932A5"/>
    <w:rsid w:val="006932FE"/>
    <w:rsid w:val="006934E2"/>
    <w:rsid w:val="006936FA"/>
    <w:rsid w:val="00693838"/>
    <w:rsid w:val="0069387D"/>
    <w:rsid w:val="00693B86"/>
    <w:rsid w:val="00693D58"/>
    <w:rsid w:val="00693F90"/>
    <w:rsid w:val="00693FDC"/>
    <w:rsid w:val="00694127"/>
    <w:rsid w:val="006942E9"/>
    <w:rsid w:val="006943E9"/>
    <w:rsid w:val="006944FE"/>
    <w:rsid w:val="006945C6"/>
    <w:rsid w:val="0069467F"/>
    <w:rsid w:val="006946FC"/>
    <w:rsid w:val="00694855"/>
    <w:rsid w:val="00694B09"/>
    <w:rsid w:val="00694B2C"/>
    <w:rsid w:val="00694D80"/>
    <w:rsid w:val="00694FCF"/>
    <w:rsid w:val="006951B3"/>
    <w:rsid w:val="00695209"/>
    <w:rsid w:val="00695453"/>
    <w:rsid w:val="00695469"/>
    <w:rsid w:val="006954BA"/>
    <w:rsid w:val="00695628"/>
    <w:rsid w:val="00695716"/>
    <w:rsid w:val="00695B68"/>
    <w:rsid w:val="00695B6D"/>
    <w:rsid w:val="00695D82"/>
    <w:rsid w:val="00695DC1"/>
    <w:rsid w:val="00695E26"/>
    <w:rsid w:val="00695F93"/>
    <w:rsid w:val="006963A1"/>
    <w:rsid w:val="0069642F"/>
    <w:rsid w:val="00696455"/>
    <w:rsid w:val="00696782"/>
    <w:rsid w:val="00696795"/>
    <w:rsid w:val="006967A5"/>
    <w:rsid w:val="00696887"/>
    <w:rsid w:val="00696A0C"/>
    <w:rsid w:val="00696A1B"/>
    <w:rsid w:val="00696E79"/>
    <w:rsid w:val="00696F51"/>
    <w:rsid w:val="0069701D"/>
    <w:rsid w:val="006970C1"/>
    <w:rsid w:val="006972F5"/>
    <w:rsid w:val="006972FF"/>
    <w:rsid w:val="00697439"/>
    <w:rsid w:val="006974BD"/>
    <w:rsid w:val="00697520"/>
    <w:rsid w:val="00697564"/>
    <w:rsid w:val="00697616"/>
    <w:rsid w:val="00697642"/>
    <w:rsid w:val="00697763"/>
    <w:rsid w:val="006978B5"/>
    <w:rsid w:val="00697937"/>
    <w:rsid w:val="00697B06"/>
    <w:rsid w:val="00697CF5"/>
    <w:rsid w:val="00697D62"/>
    <w:rsid w:val="00697F4D"/>
    <w:rsid w:val="00697FFD"/>
    <w:rsid w:val="006A0085"/>
    <w:rsid w:val="006A021E"/>
    <w:rsid w:val="006A035A"/>
    <w:rsid w:val="006A058A"/>
    <w:rsid w:val="006A05E4"/>
    <w:rsid w:val="006A076B"/>
    <w:rsid w:val="006A087C"/>
    <w:rsid w:val="006A0A2F"/>
    <w:rsid w:val="006A0A4F"/>
    <w:rsid w:val="006A0C24"/>
    <w:rsid w:val="006A0C8B"/>
    <w:rsid w:val="006A0D8E"/>
    <w:rsid w:val="006A0E1E"/>
    <w:rsid w:val="006A0E99"/>
    <w:rsid w:val="006A0F27"/>
    <w:rsid w:val="006A0F2B"/>
    <w:rsid w:val="006A10ED"/>
    <w:rsid w:val="006A140C"/>
    <w:rsid w:val="006A1567"/>
    <w:rsid w:val="006A1673"/>
    <w:rsid w:val="006A1730"/>
    <w:rsid w:val="006A1741"/>
    <w:rsid w:val="006A17DA"/>
    <w:rsid w:val="006A1818"/>
    <w:rsid w:val="006A18F7"/>
    <w:rsid w:val="006A193E"/>
    <w:rsid w:val="006A198D"/>
    <w:rsid w:val="006A1ABA"/>
    <w:rsid w:val="006A1D6E"/>
    <w:rsid w:val="006A1D6F"/>
    <w:rsid w:val="006A1F5F"/>
    <w:rsid w:val="006A1F60"/>
    <w:rsid w:val="006A22C2"/>
    <w:rsid w:val="006A2322"/>
    <w:rsid w:val="006A23E4"/>
    <w:rsid w:val="006A2405"/>
    <w:rsid w:val="006A2512"/>
    <w:rsid w:val="006A298A"/>
    <w:rsid w:val="006A2BAF"/>
    <w:rsid w:val="006A2C46"/>
    <w:rsid w:val="006A325F"/>
    <w:rsid w:val="006A32AD"/>
    <w:rsid w:val="006A32E2"/>
    <w:rsid w:val="006A33D9"/>
    <w:rsid w:val="006A33E5"/>
    <w:rsid w:val="006A34E3"/>
    <w:rsid w:val="006A36D5"/>
    <w:rsid w:val="006A373C"/>
    <w:rsid w:val="006A3A54"/>
    <w:rsid w:val="006A3B6D"/>
    <w:rsid w:val="006A3D7B"/>
    <w:rsid w:val="006A3DF7"/>
    <w:rsid w:val="006A3E63"/>
    <w:rsid w:val="006A3EA0"/>
    <w:rsid w:val="006A3F01"/>
    <w:rsid w:val="006A40E5"/>
    <w:rsid w:val="006A42F2"/>
    <w:rsid w:val="006A4333"/>
    <w:rsid w:val="006A43A9"/>
    <w:rsid w:val="006A446E"/>
    <w:rsid w:val="006A44EA"/>
    <w:rsid w:val="006A44FA"/>
    <w:rsid w:val="006A4653"/>
    <w:rsid w:val="006A47B3"/>
    <w:rsid w:val="006A4877"/>
    <w:rsid w:val="006A48F0"/>
    <w:rsid w:val="006A4B18"/>
    <w:rsid w:val="006A4B80"/>
    <w:rsid w:val="006A4BC3"/>
    <w:rsid w:val="006A4FE3"/>
    <w:rsid w:val="006A538A"/>
    <w:rsid w:val="006A54CB"/>
    <w:rsid w:val="006A55CC"/>
    <w:rsid w:val="006A57A8"/>
    <w:rsid w:val="006A57D8"/>
    <w:rsid w:val="006A5B18"/>
    <w:rsid w:val="006A5B47"/>
    <w:rsid w:val="006A5D37"/>
    <w:rsid w:val="006A5D58"/>
    <w:rsid w:val="006A5EBE"/>
    <w:rsid w:val="006A5F04"/>
    <w:rsid w:val="006A6074"/>
    <w:rsid w:val="006A61CA"/>
    <w:rsid w:val="006A644B"/>
    <w:rsid w:val="006A6453"/>
    <w:rsid w:val="006A64B8"/>
    <w:rsid w:val="006A65E8"/>
    <w:rsid w:val="006A6745"/>
    <w:rsid w:val="006A6C20"/>
    <w:rsid w:val="006A6CE0"/>
    <w:rsid w:val="006A6D44"/>
    <w:rsid w:val="006A6DD4"/>
    <w:rsid w:val="006A6E58"/>
    <w:rsid w:val="006A70CE"/>
    <w:rsid w:val="006A720C"/>
    <w:rsid w:val="006A73F4"/>
    <w:rsid w:val="006A741D"/>
    <w:rsid w:val="006A745D"/>
    <w:rsid w:val="006A760F"/>
    <w:rsid w:val="006A778A"/>
    <w:rsid w:val="006A779E"/>
    <w:rsid w:val="006A789B"/>
    <w:rsid w:val="006A7A24"/>
    <w:rsid w:val="006A7B4E"/>
    <w:rsid w:val="006A7C03"/>
    <w:rsid w:val="006A7C5D"/>
    <w:rsid w:val="006A7F64"/>
    <w:rsid w:val="006B0030"/>
    <w:rsid w:val="006B01CB"/>
    <w:rsid w:val="006B01FF"/>
    <w:rsid w:val="006B0319"/>
    <w:rsid w:val="006B032F"/>
    <w:rsid w:val="006B0490"/>
    <w:rsid w:val="006B062E"/>
    <w:rsid w:val="006B06B3"/>
    <w:rsid w:val="006B0729"/>
    <w:rsid w:val="006B0777"/>
    <w:rsid w:val="006B0805"/>
    <w:rsid w:val="006B087E"/>
    <w:rsid w:val="006B0B4C"/>
    <w:rsid w:val="006B0CFD"/>
    <w:rsid w:val="006B0DA8"/>
    <w:rsid w:val="006B0DD4"/>
    <w:rsid w:val="006B0EC1"/>
    <w:rsid w:val="006B0FF8"/>
    <w:rsid w:val="006B1109"/>
    <w:rsid w:val="006B1138"/>
    <w:rsid w:val="006B1172"/>
    <w:rsid w:val="006B1207"/>
    <w:rsid w:val="006B1277"/>
    <w:rsid w:val="006B1307"/>
    <w:rsid w:val="006B136D"/>
    <w:rsid w:val="006B1391"/>
    <w:rsid w:val="006B139B"/>
    <w:rsid w:val="006B1538"/>
    <w:rsid w:val="006B1585"/>
    <w:rsid w:val="006B193D"/>
    <w:rsid w:val="006B1A4C"/>
    <w:rsid w:val="006B1A9A"/>
    <w:rsid w:val="006B1AEF"/>
    <w:rsid w:val="006B1B7A"/>
    <w:rsid w:val="006B1CDC"/>
    <w:rsid w:val="006B1D09"/>
    <w:rsid w:val="006B1DFE"/>
    <w:rsid w:val="006B1E37"/>
    <w:rsid w:val="006B2045"/>
    <w:rsid w:val="006B20E4"/>
    <w:rsid w:val="006B210C"/>
    <w:rsid w:val="006B21D7"/>
    <w:rsid w:val="006B241A"/>
    <w:rsid w:val="006B2668"/>
    <w:rsid w:val="006B27BE"/>
    <w:rsid w:val="006B27ED"/>
    <w:rsid w:val="006B2806"/>
    <w:rsid w:val="006B28AD"/>
    <w:rsid w:val="006B2A8C"/>
    <w:rsid w:val="006B2AA7"/>
    <w:rsid w:val="006B2B4D"/>
    <w:rsid w:val="006B2B85"/>
    <w:rsid w:val="006B2D76"/>
    <w:rsid w:val="006B2FA5"/>
    <w:rsid w:val="006B2FFC"/>
    <w:rsid w:val="006B3181"/>
    <w:rsid w:val="006B322A"/>
    <w:rsid w:val="006B32DB"/>
    <w:rsid w:val="006B34A8"/>
    <w:rsid w:val="006B388C"/>
    <w:rsid w:val="006B3928"/>
    <w:rsid w:val="006B3A0A"/>
    <w:rsid w:val="006B3D68"/>
    <w:rsid w:val="006B3E9E"/>
    <w:rsid w:val="006B3F33"/>
    <w:rsid w:val="006B4058"/>
    <w:rsid w:val="006B41CA"/>
    <w:rsid w:val="006B446C"/>
    <w:rsid w:val="006B48D6"/>
    <w:rsid w:val="006B4DD2"/>
    <w:rsid w:val="006B4EAC"/>
    <w:rsid w:val="006B4EBB"/>
    <w:rsid w:val="006B4F21"/>
    <w:rsid w:val="006B4FD1"/>
    <w:rsid w:val="006B5324"/>
    <w:rsid w:val="006B53EB"/>
    <w:rsid w:val="006B54E1"/>
    <w:rsid w:val="006B55EC"/>
    <w:rsid w:val="006B560E"/>
    <w:rsid w:val="006B59CC"/>
    <w:rsid w:val="006B59D4"/>
    <w:rsid w:val="006B5AB6"/>
    <w:rsid w:val="006B5B18"/>
    <w:rsid w:val="006B5B73"/>
    <w:rsid w:val="006B5BA9"/>
    <w:rsid w:val="006B5BBF"/>
    <w:rsid w:val="006B5C2C"/>
    <w:rsid w:val="006B5CCB"/>
    <w:rsid w:val="006B5E9F"/>
    <w:rsid w:val="006B5F1A"/>
    <w:rsid w:val="006B5F67"/>
    <w:rsid w:val="006B616E"/>
    <w:rsid w:val="006B65FC"/>
    <w:rsid w:val="006B67C1"/>
    <w:rsid w:val="006B6817"/>
    <w:rsid w:val="006B6879"/>
    <w:rsid w:val="006B68D3"/>
    <w:rsid w:val="006B6A5E"/>
    <w:rsid w:val="006B6D35"/>
    <w:rsid w:val="006B6FD1"/>
    <w:rsid w:val="006B6FD4"/>
    <w:rsid w:val="006B6FF5"/>
    <w:rsid w:val="006B70CE"/>
    <w:rsid w:val="006B712A"/>
    <w:rsid w:val="006B7450"/>
    <w:rsid w:val="006B7496"/>
    <w:rsid w:val="006B74CC"/>
    <w:rsid w:val="006B7741"/>
    <w:rsid w:val="006B78D3"/>
    <w:rsid w:val="006B7942"/>
    <w:rsid w:val="006B7A35"/>
    <w:rsid w:val="006B7B42"/>
    <w:rsid w:val="006B7CE8"/>
    <w:rsid w:val="006C0081"/>
    <w:rsid w:val="006C0098"/>
    <w:rsid w:val="006C0152"/>
    <w:rsid w:val="006C07E2"/>
    <w:rsid w:val="006C093C"/>
    <w:rsid w:val="006C0AAD"/>
    <w:rsid w:val="006C0D18"/>
    <w:rsid w:val="006C0ED9"/>
    <w:rsid w:val="006C115A"/>
    <w:rsid w:val="006C121E"/>
    <w:rsid w:val="006C1250"/>
    <w:rsid w:val="006C15C2"/>
    <w:rsid w:val="006C1609"/>
    <w:rsid w:val="006C16CF"/>
    <w:rsid w:val="006C179E"/>
    <w:rsid w:val="006C1877"/>
    <w:rsid w:val="006C18DA"/>
    <w:rsid w:val="006C1A76"/>
    <w:rsid w:val="006C1BA5"/>
    <w:rsid w:val="006C1D24"/>
    <w:rsid w:val="006C1DBE"/>
    <w:rsid w:val="006C223D"/>
    <w:rsid w:val="006C224A"/>
    <w:rsid w:val="006C23A2"/>
    <w:rsid w:val="006C23EE"/>
    <w:rsid w:val="006C2403"/>
    <w:rsid w:val="006C2474"/>
    <w:rsid w:val="006C2535"/>
    <w:rsid w:val="006C266A"/>
    <w:rsid w:val="006C2711"/>
    <w:rsid w:val="006C2868"/>
    <w:rsid w:val="006C28EE"/>
    <w:rsid w:val="006C2C9B"/>
    <w:rsid w:val="006C2CA6"/>
    <w:rsid w:val="006C2D98"/>
    <w:rsid w:val="006C2E4A"/>
    <w:rsid w:val="006C2F37"/>
    <w:rsid w:val="006C3067"/>
    <w:rsid w:val="006C306A"/>
    <w:rsid w:val="006C31A8"/>
    <w:rsid w:val="006C334D"/>
    <w:rsid w:val="006C35F2"/>
    <w:rsid w:val="006C367A"/>
    <w:rsid w:val="006C376B"/>
    <w:rsid w:val="006C381D"/>
    <w:rsid w:val="006C38B3"/>
    <w:rsid w:val="006C3A8C"/>
    <w:rsid w:val="006C3D98"/>
    <w:rsid w:val="006C3F04"/>
    <w:rsid w:val="006C40AD"/>
    <w:rsid w:val="006C41C2"/>
    <w:rsid w:val="006C42C4"/>
    <w:rsid w:val="006C42FC"/>
    <w:rsid w:val="006C44B3"/>
    <w:rsid w:val="006C44FF"/>
    <w:rsid w:val="006C45B6"/>
    <w:rsid w:val="006C4868"/>
    <w:rsid w:val="006C4930"/>
    <w:rsid w:val="006C4ADC"/>
    <w:rsid w:val="006C4C47"/>
    <w:rsid w:val="006C4D96"/>
    <w:rsid w:val="006C4E8C"/>
    <w:rsid w:val="006C5094"/>
    <w:rsid w:val="006C50DB"/>
    <w:rsid w:val="006C5100"/>
    <w:rsid w:val="006C515E"/>
    <w:rsid w:val="006C5168"/>
    <w:rsid w:val="006C51D5"/>
    <w:rsid w:val="006C5405"/>
    <w:rsid w:val="006C54A2"/>
    <w:rsid w:val="006C5684"/>
    <w:rsid w:val="006C570A"/>
    <w:rsid w:val="006C57AB"/>
    <w:rsid w:val="006C585D"/>
    <w:rsid w:val="006C5A73"/>
    <w:rsid w:val="006C5CB1"/>
    <w:rsid w:val="006C5D26"/>
    <w:rsid w:val="006C5D4A"/>
    <w:rsid w:val="006C5EEA"/>
    <w:rsid w:val="006C5EF8"/>
    <w:rsid w:val="006C5F8A"/>
    <w:rsid w:val="006C6067"/>
    <w:rsid w:val="006C60F5"/>
    <w:rsid w:val="006C61D3"/>
    <w:rsid w:val="006C6818"/>
    <w:rsid w:val="006C6840"/>
    <w:rsid w:val="006C6843"/>
    <w:rsid w:val="006C6891"/>
    <w:rsid w:val="006C694B"/>
    <w:rsid w:val="006C6959"/>
    <w:rsid w:val="006C6999"/>
    <w:rsid w:val="006C6BA4"/>
    <w:rsid w:val="006C6C74"/>
    <w:rsid w:val="006C6C76"/>
    <w:rsid w:val="006C6CFD"/>
    <w:rsid w:val="006C6DB5"/>
    <w:rsid w:val="006C6DB6"/>
    <w:rsid w:val="006C6FB1"/>
    <w:rsid w:val="006C706A"/>
    <w:rsid w:val="006C709D"/>
    <w:rsid w:val="006C70E1"/>
    <w:rsid w:val="006C7215"/>
    <w:rsid w:val="006C73DA"/>
    <w:rsid w:val="006C7524"/>
    <w:rsid w:val="006C754C"/>
    <w:rsid w:val="006C7613"/>
    <w:rsid w:val="006C7646"/>
    <w:rsid w:val="006C7C43"/>
    <w:rsid w:val="006C7C44"/>
    <w:rsid w:val="006C7FED"/>
    <w:rsid w:val="006D0022"/>
    <w:rsid w:val="006D042D"/>
    <w:rsid w:val="006D04CB"/>
    <w:rsid w:val="006D05D6"/>
    <w:rsid w:val="006D0622"/>
    <w:rsid w:val="006D066C"/>
    <w:rsid w:val="006D0682"/>
    <w:rsid w:val="006D0744"/>
    <w:rsid w:val="006D0ADA"/>
    <w:rsid w:val="006D0BCC"/>
    <w:rsid w:val="006D0C85"/>
    <w:rsid w:val="006D0C8F"/>
    <w:rsid w:val="006D0CE5"/>
    <w:rsid w:val="006D0E8D"/>
    <w:rsid w:val="006D0F9A"/>
    <w:rsid w:val="006D1036"/>
    <w:rsid w:val="006D10E4"/>
    <w:rsid w:val="006D1119"/>
    <w:rsid w:val="006D120C"/>
    <w:rsid w:val="006D13A2"/>
    <w:rsid w:val="006D153E"/>
    <w:rsid w:val="006D1685"/>
    <w:rsid w:val="006D1703"/>
    <w:rsid w:val="006D17D2"/>
    <w:rsid w:val="006D199C"/>
    <w:rsid w:val="006D1A8A"/>
    <w:rsid w:val="006D1B87"/>
    <w:rsid w:val="006D1DDA"/>
    <w:rsid w:val="006D1E6E"/>
    <w:rsid w:val="006D1F98"/>
    <w:rsid w:val="006D1FC2"/>
    <w:rsid w:val="006D2198"/>
    <w:rsid w:val="006D21EC"/>
    <w:rsid w:val="006D22E8"/>
    <w:rsid w:val="006D2456"/>
    <w:rsid w:val="006D2470"/>
    <w:rsid w:val="006D274E"/>
    <w:rsid w:val="006D2818"/>
    <w:rsid w:val="006D285F"/>
    <w:rsid w:val="006D2964"/>
    <w:rsid w:val="006D2B70"/>
    <w:rsid w:val="006D2CF2"/>
    <w:rsid w:val="006D2E04"/>
    <w:rsid w:val="006D2E31"/>
    <w:rsid w:val="006D2ECB"/>
    <w:rsid w:val="006D2FD7"/>
    <w:rsid w:val="006D31C8"/>
    <w:rsid w:val="006D323B"/>
    <w:rsid w:val="006D329C"/>
    <w:rsid w:val="006D3380"/>
    <w:rsid w:val="006D3544"/>
    <w:rsid w:val="006D3610"/>
    <w:rsid w:val="006D36F0"/>
    <w:rsid w:val="006D387F"/>
    <w:rsid w:val="006D3920"/>
    <w:rsid w:val="006D3B40"/>
    <w:rsid w:val="006D3B82"/>
    <w:rsid w:val="006D3C85"/>
    <w:rsid w:val="006D3E14"/>
    <w:rsid w:val="006D3E33"/>
    <w:rsid w:val="006D3F38"/>
    <w:rsid w:val="006D4009"/>
    <w:rsid w:val="006D40A7"/>
    <w:rsid w:val="006D4646"/>
    <w:rsid w:val="006D472D"/>
    <w:rsid w:val="006D476B"/>
    <w:rsid w:val="006D4988"/>
    <w:rsid w:val="006D4A27"/>
    <w:rsid w:val="006D4A3F"/>
    <w:rsid w:val="006D4A44"/>
    <w:rsid w:val="006D4A71"/>
    <w:rsid w:val="006D4C74"/>
    <w:rsid w:val="006D4C84"/>
    <w:rsid w:val="006D4D0B"/>
    <w:rsid w:val="006D502E"/>
    <w:rsid w:val="006D53CD"/>
    <w:rsid w:val="006D562B"/>
    <w:rsid w:val="006D5639"/>
    <w:rsid w:val="006D56DE"/>
    <w:rsid w:val="006D56E1"/>
    <w:rsid w:val="006D5722"/>
    <w:rsid w:val="006D57A1"/>
    <w:rsid w:val="006D5825"/>
    <w:rsid w:val="006D5B3C"/>
    <w:rsid w:val="006D5D49"/>
    <w:rsid w:val="006D5D73"/>
    <w:rsid w:val="006D5EFD"/>
    <w:rsid w:val="006D5F44"/>
    <w:rsid w:val="006D5FAA"/>
    <w:rsid w:val="006D62B3"/>
    <w:rsid w:val="006D650E"/>
    <w:rsid w:val="006D659D"/>
    <w:rsid w:val="006D6724"/>
    <w:rsid w:val="006D676C"/>
    <w:rsid w:val="006D683A"/>
    <w:rsid w:val="006D697C"/>
    <w:rsid w:val="006D6B38"/>
    <w:rsid w:val="006D6C76"/>
    <w:rsid w:val="006D6CD9"/>
    <w:rsid w:val="006D6DD3"/>
    <w:rsid w:val="006D6F38"/>
    <w:rsid w:val="006D70BD"/>
    <w:rsid w:val="006D716E"/>
    <w:rsid w:val="006D7270"/>
    <w:rsid w:val="006D7372"/>
    <w:rsid w:val="006D7514"/>
    <w:rsid w:val="006D7B5F"/>
    <w:rsid w:val="006D7C1C"/>
    <w:rsid w:val="006D7C26"/>
    <w:rsid w:val="006D7C7A"/>
    <w:rsid w:val="006D7D41"/>
    <w:rsid w:val="006D7DCE"/>
    <w:rsid w:val="006D7DD9"/>
    <w:rsid w:val="006D7FDE"/>
    <w:rsid w:val="006E0093"/>
    <w:rsid w:val="006E0170"/>
    <w:rsid w:val="006E02D9"/>
    <w:rsid w:val="006E0300"/>
    <w:rsid w:val="006E0330"/>
    <w:rsid w:val="006E0338"/>
    <w:rsid w:val="006E0362"/>
    <w:rsid w:val="006E041F"/>
    <w:rsid w:val="006E05A7"/>
    <w:rsid w:val="006E05D9"/>
    <w:rsid w:val="006E069E"/>
    <w:rsid w:val="006E06D1"/>
    <w:rsid w:val="006E08D5"/>
    <w:rsid w:val="006E0911"/>
    <w:rsid w:val="006E0AA2"/>
    <w:rsid w:val="006E0AEF"/>
    <w:rsid w:val="006E0D3C"/>
    <w:rsid w:val="006E0EB1"/>
    <w:rsid w:val="006E0EFD"/>
    <w:rsid w:val="006E0FB3"/>
    <w:rsid w:val="006E1235"/>
    <w:rsid w:val="006E1373"/>
    <w:rsid w:val="006E137C"/>
    <w:rsid w:val="006E13C4"/>
    <w:rsid w:val="006E15B9"/>
    <w:rsid w:val="006E183E"/>
    <w:rsid w:val="006E18E7"/>
    <w:rsid w:val="006E1935"/>
    <w:rsid w:val="006E19AD"/>
    <w:rsid w:val="006E19C9"/>
    <w:rsid w:val="006E19F3"/>
    <w:rsid w:val="006E1A2C"/>
    <w:rsid w:val="006E1A82"/>
    <w:rsid w:val="006E1F18"/>
    <w:rsid w:val="006E1F21"/>
    <w:rsid w:val="006E1FB0"/>
    <w:rsid w:val="006E1FEF"/>
    <w:rsid w:val="006E22A1"/>
    <w:rsid w:val="006E22A5"/>
    <w:rsid w:val="006E22A9"/>
    <w:rsid w:val="006E2555"/>
    <w:rsid w:val="006E2620"/>
    <w:rsid w:val="006E274B"/>
    <w:rsid w:val="006E27E0"/>
    <w:rsid w:val="006E2A34"/>
    <w:rsid w:val="006E2A56"/>
    <w:rsid w:val="006E2C22"/>
    <w:rsid w:val="006E2E52"/>
    <w:rsid w:val="006E3100"/>
    <w:rsid w:val="006E315C"/>
    <w:rsid w:val="006E3197"/>
    <w:rsid w:val="006E3271"/>
    <w:rsid w:val="006E32F1"/>
    <w:rsid w:val="006E3328"/>
    <w:rsid w:val="006E347B"/>
    <w:rsid w:val="006E369B"/>
    <w:rsid w:val="006E36D7"/>
    <w:rsid w:val="006E3C57"/>
    <w:rsid w:val="006E3EBF"/>
    <w:rsid w:val="006E4298"/>
    <w:rsid w:val="006E4308"/>
    <w:rsid w:val="006E4491"/>
    <w:rsid w:val="006E46B6"/>
    <w:rsid w:val="006E4711"/>
    <w:rsid w:val="006E473D"/>
    <w:rsid w:val="006E483B"/>
    <w:rsid w:val="006E48C1"/>
    <w:rsid w:val="006E490C"/>
    <w:rsid w:val="006E4993"/>
    <w:rsid w:val="006E4AB6"/>
    <w:rsid w:val="006E4B0C"/>
    <w:rsid w:val="006E4B55"/>
    <w:rsid w:val="006E4D7B"/>
    <w:rsid w:val="006E4DC6"/>
    <w:rsid w:val="006E4E07"/>
    <w:rsid w:val="006E4F2F"/>
    <w:rsid w:val="006E4FDA"/>
    <w:rsid w:val="006E50B1"/>
    <w:rsid w:val="006E50E8"/>
    <w:rsid w:val="006E5109"/>
    <w:rsid w:val="006E52A2"/>
    <w:rsid w:val="006E54A4"/>
    <w:rsid w:val="006E54C1"/>
    <w:rsid w:val="006E5540"/>
    <w:rsid w:val="006E559E"/>
    <w:rsid w:val="006E5683"/>
    <w:rsid w:val="006E5B9E"/>
    <w:rsid w:val="006E5BE4"/>
    <w:rsid w:val="006E5F69"/>
    <w:rsid w:val="006E613C"/>
    <w:rsid w:val="006E6237"/>
    <w:rsid w:val="006E633C"/>
    <w:rsid w:val="006E6654"/>
    <w:rsid w:val="006E67EA"/>
    <w:rsid w:val="006E6ABA"/>
    <w:rsid w:val="006E6D1B"/>
    <w:rsid w:val="006E7021"/>
    <w:rsid w:val="006E70DD"/>
    <w:rsid w:val="006E7388"/>
    <w:rsid w:val="006E7488"/>
    <w:rsid w:val="006E7ACF"/>
    <w:rsid w:val="006E7B94"/>
    <w:rsid w:val="006E7C57"/>
    <w:rsid w:val="006E7F29"/>
    <w:rsid w:val="006E7F86"/>
    <w:rsid w:val="006F015D"/>
    <w:rsid w:val="006F01D3"/>
    <w:rsid w:val="006F0289"/>
    <w:rsid w:val="006F02B8"/>
    <w:rsid w:val="006F040D"/>
    <w:rsid w:val="006F0503"/>
    <w:rsid w:val="006F067F"/>
    <w:rsid w:val="006F0786"/>
    <w:rsid w:val="006F09B0"/>
    <w:rsid w:val="006F09DB"/>
    <w:rsid w:val="006F0B35"/>
    <w:rsid w:val="006F0C0B"/>
    <w:rsid w:val="006F0CAE"/>
    <w:rsid w:val="006F0D78"/>
    <w:rsid w:val="006F0F2D"/>
    <w:rsid w:val="006F1055"/>
    <w:rsid w:val="006F10E0"/>
    <w:rsid w:val="006F111C"/>
    <w:rsid w:val="006F1199"/>
    <w:rsid w:val="006F11F5"/>
    <w:rsid w:val="006F1240"/>
    <w:rsid w:val="006F1333"/>
    <w:rsid w:val="006F133D"/>
    <w:rsid w:val="006F14AF"/>
    <w:rsid w:val="006F14FE"/>
    <w:rsid w:val="006F1745"/>
    <w:rsid w:val="006F185C"/>
    <w:rsid w:val="006F1971"/>
    <w:rsid w:val="006F1A99"/>
    <w:rsid w:val="006F1C14"/>
    <w:rsid w:val="006F1DEC"/>
    <w:rsid w:val="006F1EE6"/>
    <w:rsid w:val="006F204B"/>
    <w:rsid w:val="006F2143"/>
    <w:rsid w:val="006F214B"/>
    <w:rsid w:val="006F251C"/>
    <w:rsid w:val="006F2538"/>
    <w:rsid w:val="006F253F"/>
    <w:rsid w:val="006F2629"/>
    <w:rsid w:val="006F27D8"/>
    <w:rsid w:val="006F2998"/>
    <w:rsid w:val="006F2B8E"/>
    <w:rsid w:val="006F2B97"/>
    <w:rsid w:val="006F2D1C"/>
    <w:rsid w:val="006F2D2C"/>
    <w:rsid w:val="006F2D60"/>
    <w:rsid w:val="006F2D9F"/>
    <w:rsid w:val="006F2DC8"/>
    <w:rsid w:val="006F2F7D"/>
    <w:rsid w:val="006F2FBE"/>
    <w:rsid w:val="006F2FDC"/>
    <w:rsid w:val="006F3103"/>
    <w:rsid w:val="006F3145"/>
    <w:rsid w:val="006F36A8"/>
    <w:rsid w:val="006F3791"/>
    <w:rsid w:val="006F38DE"/>
    <w:rsid w:val="006F38DF"/>
    <w:rsid w:val="006F390E"/>
    <w:rsid w:val="006F39E6"/>
    <w:rsid w:val="006F3AF2"/>
    <w:rsid w:val="006F3AF9"/>
    <w:rsid w:val="006F3BC5"/>
    <w:rsid w:val="006F3D8B"/>
    <w:rsid w:val="006F3FE1"/>
    <w:rsid w:val="006F40BD"/>
    <w:rsid w:val="006F4237"/>
    <w:rsid w:val="006F433C"/>
    <w:rsid w:val="006F4509"/>
    <w:rsid w:val="006F455A"/>
    <w:rsid w:val="006F45DC"/>
    <w:rsid w:val="006F4667"/>
    <w:rsid w:val="006F46A1"/>
    <w:rsid w:val="006F473B"/>
    <w:rsid w:val="006F47B5"/>
    <w:rsid w:val="006F48D2"/>
    <w:rsid w:val="006F4A2C"/>
    <w:rsid w:val="006F4AD1"/>
    <w:rsid w:val="006F4C76"/>
    <w:rsid w:val="006F4E1D"/>
    <w:rsid w:val="006F4EE6"/>
    <w:rsid w:val="006F4F5D"/>
    <w:rsid w:val="006F4F6D"/>
    <w:rsid w:val="006F50D9"/>
    <w:rsid w:val="006F5284"/>
    <w:rsid w:val="006F533E"/>
    <w:rsid w:val="006F545A"/>
    <w:rsid w:val="006F54D0"/>
    <w:rsid w:val="006F55E1"/>
    <w:rsid w:val="006F5637"/>
    <w:rsid w:val="006F56E1"/>
    <w:rsid w:val="006F570D"/>
    <w:rsid w:val="006F5719"/>
    <w:rsid w:val="006F57BE"/>
    <w:rsid w:val="006F58F5"/>
    <w:rsid w:val="006F5934"/>
    <w:rsid w:val="006F5AE5"/>
    <w:rsid w:val="006F5B82"/>
    <w:rsid w:val="006F5C7A"/>
    <w:rsid w:val="006F5D41"/>
    <w:rsid w:val="006F5DC3"/>
    <w:rsid w:val="006F5EA8"/>
    <w:rsid w:val="006F5ED4"/>
    <w:rsid w:val="006F606A"/>
    <w:rsid w:val="006F6209"/>
    <w:rsid w:val="006F6238"/>
    <w:rsid w:val="006F624E"/>
    <w:rsid w:val="006F6352"/>
    <w:rsid w:val="006F6626"/>
    <w:rsid w:val="006F6800"/>
    <w:rsid w:val="006F6918"/>
    <w:rsid w:val="006F69C3"/>
    <w:rsid w:val="006F6BB5"/>
    <w:rsid w:val="006F6C12"/>
    <w:rsid w:val="006F6C5F"/>
    <w:rsid w:val="006F6C8F"/>
    <w:rsid w:val="006F6DF8"/>
    <w:rsid w:val="006F6F28"/>
    <w:rsid w:val="006F6F8A"/>
    <w:rsid w:val="006F73E7"/>
    <w:rsid w:val="006F7579"/>
    <w:rsid w:val="006F759D"/>
    <w:rsid w:val="006F76BA"/>
    <w:rsid w:val="006F76F8"/>
    <w:rsid w:val="006F7811"/>
    <w:rsid w:val="006F7886"/>
    <w:rsid w:val="006F7946"/>
    <w:rsid w:val="006F7A79"/>
    <w:rsid w:val="006F7D2D"/>
    <w:rsid w:val="006F7D8E"/>
    <w:rsid w:val="006F7F77"/>
    <w:rsid w:val="006F7F96"/>
    <w:rsid w:val="00700181"/>
    <w:rsid w:val="00700220"/>
    <w:rsid w:val="00700228"/>
    <w:rsid w:val="007003D4"/>
    <w:rsid w:val="007003F0"/>
    <w:rsid w:val="00700450"/>
    <w:rsid w:val="0070049F"/>
    <w:rsid w:val="0070089C"/>
    <w:rsid w:val="00700B31"/>
    <w:rsid w:val="00700BF9"/>
    <w:rsid w:val="00700CDD"/>
    <w:rsid w:val="007010E7"/>
    <w:rsid w:val="0070122C"/>
    <w:rsid w:val="007014C8"/>
    <w:rsid w:val="00701543"/>
    <w:rsid w:val="00701595"/>
    <w:rsid w:val="007015DD"/>
    <w:rsid w:val="00701884"/>
    <w:rsid w:val="00701B89"/>
    <w:rsid w:val="00701C14"/>
    <w:rsid w:val="00701C65"/>
    <w:rsid w:val="00701DF4"/>
    <w:rsid w:val="00701E99"/>
    <w:rsid w:val="00701ED1"/>
    <w:rsid w:val="0070215C"/>
    <w:rsid w:val="00702257"/>
    <w:rsid w:val="007022EA"/>
    <w:rsid w:val="00702340"/>
    <w:rsid w:val="00702351"/>
    <w:rsid w:val="00702363"/>
    <w:rsid w:val="00702455"/>
    <w:rsid w:val="00702684"/>
    <w:rsid w:val="00702695"/>
    <w:rsid w:val="0070280E"/>
    <w:rsid w:val="007028B8"/>
    <w:rsid w:val="007028C6"/>
    <w:rsid w:val="007028FE"/>
    <w:rsid w:val="00702C18"/>
    <w:rsid w:val="00702F59"/>
    <w:rsid w:val="00702F83"/>
    <w:rsid w:val="00702FD3"/>
    <w:rsid w:val="00703051"/>
    <w:rsid w:val="00703129"/>
    <w:rsid w:val="0070320C"/>
    <w:rsid w:val="00703296"/>
    <w:rsid w:val="0070329B"/>
    <w:rsid w:val="007032C8"/>
    <w:rsid w:val="007035C3"/>
    <w:rsid w:val="00703789"/>
    <w:rsid w:val="007037A1"/>
    <w:rsid w:val="0070397F"/>
    <w:rsid w:val="007039CB"/>
    <w:rsid w:val="00703CE9"/>
    <w:rsid w:val="00703EFA"/>
    <w:rsid w:val="00703F18"/>
    <w:rsid w:val="00703FFC"/>
    <w:rsid w:val="00704069"/>
    <w:rsid w:val="0070417E"/>
    <w:rsid w:val="007041DC"/>
    <w:rsid w:val="0070424A"/>
    <w:rsid w:val="0070439F"/>
    <w:rsid w:val="007044B1"/>
    <w:rsid w:val="00704635"/>
    <w:rsid w:val="007049BF"/>
    <w:rsid w:val="007049D3"/>
    <w:rsid w:val="00704A46"/>
    <w:rsid w:val="00704B5D"/>
    <w:rsid w:val="00704C78"/>
    <w:rsid w:val="00704D75"/>
    <w:rsid w:val="00704F6A"/>
    <w:rsid w:val="007050E2"/>
    <w:rsid w:val="00705517"/>
    <w:rsid w:val="00705572"/>
    <w:rsid w:val="00705753"/>
    <w:rsid w:val="00705962"/>
    <w:rsid w:val="00705AC8"/>
    <w:rsid w:val="00705B56"/>
    <w:rsid w:val="00705BA8"/>
    <w:rsid w:val="00705BAD"/>
    <w:rsid w:val="00705C6E"/>
    <w:rsid w:val="00705CC5"/>
    <w:rsid w:val="00706088"/>
    <w:rsid w:val="0070608F"/>
    <w:rsid w:val="007060E3"/>
    <w:rsid w:val="007061ED"/>
    <w:rsid w:val="00706329"/>
    <w:rsid w:val="00706534"/>
    <w:rsid w:val="00706653"/>
    <w:rsid w:val="007067BD"/>
    <w:rsid w:val="007068DE"/>
    <w:rsid w:val="007068E3"/>
    <w:rsid w:val="00706B61"/>
    <w:rsid w:val="00706BB7"/>
    <w:rsid w:val="00706BDF"/>
    <w:rsid w:val="00706C0A"/>
    <w:rsid w:val="00706F30"/>
    <w:rsid w:val="00707121"/>
    <w:rsid w:val="0070718A"/>
    <w:rsid w:val="007071E3"/>
    <w:rsid w:val="007073C2"/>
    <w:rsid w:val="00707430"/>
    <w:rsid w:val="007079EF"/>
    <w:rsid w:val="00707B45"/>
    <w:rsid w:val="00707D77"/>
    <w:rsid w:val="00707D93"/>
    <w:rsid w:val="00707F6E"/>
    <w:rsid w:val="007101D4"/>
    <w:rsid w:val="0071021C"/>
    <w:rsid w:val="00710249"/>
    <w:rsid w:val="00710276"/>
    <w:rsid w:val="007104D0"/>
    <w:rsid w:val="007107F4"/>
    <w:rsid w:val="0071083A"/>
    <w:rsid w:val="007109EE"/>
    <w:rsid w:val="00710B9B"/>
    <w:rsid w:val="00710C96"/>
    <w:rsid w:val="00710DC9"/>
    <w:rsid w:val="00710EFE"/>
    <w:rsid w:val="00710F26"/>
    <w:rsid w:val="00710F2D"/>
    <w:rsid w:val="007110C6"/>
    <w:rsid w:val="00711122"/>
    <w:rsid w:val="0071129D"/>
    <w:rsid w:val="0071131D"/>
    <w:rsid w:val="00711482"/>
    <w:rsid w:val="007114AB"/>
    <w:rsid w:val="0071156A"/>
    <w:rsid w:val="0071165A"/>
    <w:rsid w:val="007118F1"/>
    <w:rsid w:val="00711C28"/>
    <w:rsid w:val="00711D6A"/>
    <w:rsid w:val="00712028"/>
    <w:rsid w:val="007120D0"/>
    <w:rsid w:val="007122EF"/>
    <w:rsid w:val="007123D1"/>
    <w:rsid w:val="00712408"/>
    <w:rsid w:val="00712675"/>
    <w:rsid w:val="007126EF"/>
    <w:rsid w:val="00712BF7"/>
    <w:rsid w:val="00712F9E"/>
    <w:rsid w:val="0071301F"/>
    <w:rsid w:val="00713037"/>
    <w:rsid w:val="00713082"/>
    <w:rsid w:val="007131B5"/>
    <w:rsid w:val="0071326C"/>
    <w:rsid w:val="0071357E"/>
    <w:rsid w:val="00713593"/>
    <w:rsid w:val="0071370E"/>
    <w:rsid w:val="0071373F"/>
    <w:rsid w:val="00713A48"/>
    <w:rsid w:val="00713AA1"/>
    <w:rsid w:val="00713C30"/>
    <w:rsid w:val="00713CB5"/>
    <w:rsid w:val="00713CF6"/>
    <w:rsid w:val="00713D20"/>
    <w:rsid w:val="00713EC8"/>
    <w:rsid w:val="00713F50"/>
    <w:rsid w:val="00714036"/>
    <w:rsid w:val="00714091"/>
    <w:rsid w:val="007141CE"/>
    <w:rsid w:val="00714282"/>
    <w:rsid w:val="007142DB"/>
    <w:rsid w:val="00714499"/>
    <w:rsid w:val="00714817"/>
    <w:rsid w:val="00714877"/>
    <w:rsid w:val="007148F7"/>
    <w:rsid w:val="00714A20"/>
    <w:rsid w:val="00714A24"/>
    <w:rsid w:val="00714C60"/>
    <w:rsid w:val="00714D74"/>
    <w:rsid w:val="00714DFC"/>
    <w:rsid w:val="00714F02"/>
    <w:rsid w:val="00714F1A"/>
    <w:rsid w:val="00714F2D"/>
    <w:rsid w:val="00715026"/>
    <w:rsid w:val="00715125"/>
    <w:rsid w:val="007152B0"/>
    <w:rsid w:val="00715466"/>
    <w:rsid w:val="00715518"/>
    <w:rsid w:val="0071552C"/>
    <w:rsid w:val="00715552"/>
    <w:rsid w:val="00715558"/>
    <w:rsid w:val="007155BB"/>
    <w:rsid w:val="007156A4"/>
    <w:rsid w:val="007156F8"/>
    <w:rsid w:val="007159AB"/>
    <w:rsid w:val="00715C32"/>
    <w:rsid w:val="00716004"/>
    <w:rsid w:val="007160EF"/>
    <w:rsid w:val="007161EC"/>
    <w:rsid w:val="00716282"/>
    <w:rsid w:val="00716351"/>
    <w:rsid w:val="0071643A"/>
    <w:rsid w:val="007164AE"/>
    <w:rsid w:val="00716565"/>
    <w:rsid w:val="007168F0"/>
    <w:rsid w:val="00716A02"/>
    <w:rsid w:val="00716A3F"/>
    <w:rsid w:val="00716ADC"/>
    <w:rsid w:val="00716C04"/>
    <w:rsid w:val="00716CD3"/>
    <w:rsid w:val="00716E6C"/>
    <w:rsid w:val="00716EC0"/>
    <w:rsid w:val="00716F58"/>
    <w:rsid w:val="00717093"/>
    <w:rsid w:val="0071709A"/>
    <w:rsid w:val="00717180"/>
    <w:rsid w:val="007171C4"/>
    <w:rsid w:val="00717208"/>
    <w:rsid w:val="00717269"/>
    <w:rsid w:val="00717290"/>
    <w:rsid w:val="007174D0"/>
    <w:rsid w:val="00717A94"/>
    <w:rsid w:val="00717BF0"/>
    <w:rsid w:val="00717CD4"/>
    <w:rsid w:val="00717D2F"/>
    <w:rsid w:val="00717D9A"/>
    <w:rsid w:val="00717EBD"/>
    <w:rsid w:val="00717ECC"/>
    <w:rsid w:val="007201EB"/>
    <w:rsid w:val="007205F5"/>
    <w:rsid w:val="007206D3"/>
    <w:rsid w:val="007207BB"/>
    <w:rsid w:val="007209A5"/>
    <w:rsid w:val="007209E5"/>
    <w:rsid w:val="007209F9"/>
    <w:rsid w:val="00720AF3"/>
    <w:rsid w:val="007214B3"/>
    <w:rsid w:val="00721527"/>
    <w:rsid w:val="00721535"/>
    <w:rsid w:val="0072198E"/>
    <w:rsid w:val="00721C96"/>
    <w:rsid w:val="00721CA1"/>
    <w:rsid w:val="00721E6F"/>
    <w:rsid w:val="00722139"/>
    <w:rsid w:val="007223F0"/>
    <w:rsid w:val="00722431"/>
    <w:rsid w:val="00722434"/>
    <w:rsid w:val="0072243D"/>
    <w:rsid w:val="00722537"/>
    <w:rsid w:val="007225C0"/>
    <w:rsid w:val="007226B3"/>
    <w:rsid w:val="0072294D"/>
    <w:rsid w:val="007229A9"/>
    <w:rsid w:val="00722ACD"/>
    <w:rsid w:val="00722E4E"/>
    <w:rsid w:val="00722FA7"/>
    <w:rsid w:val="0072303C"/>
    <w:rsid w:val="0072304D"/>
    <w:rsid w:val="00723115"/>
    <w:rsid w:val="0072326F"/>
    <w:rsid w:val="007233CA"/>
    <w:rsid w:val="007233E0"/>
    <w:rsid w:val="007235DE"/>
    <w:rsid w:val="00723785"/>
    <w:rsid w:val="00723824"/>
    <w:rsid w:val="00723895"/>
    <w:rsid w:val="007238C7"/>
    <w:rsid w:val="007238D0"/>
    <w:rsid w:val="007239ED"/>
    <w:rsid w:val="00723A1E"/>
    <w:rsid w:val="00723AD4"/>
    <w:rsid w:val="00723AEE"/>
    <w:rsid w:val="00723DAE"/>
    <w:rsid w:val="00723E1F"/>
    <w:rsid w:val="00723EA0"/>
    <w:rsid w:val="00723F72"/>
    <w:rsid w:val="00723FA8"/>
    <w:rsid w:val="007241A9"/>
    <w:rsid w:val="007241CB"/>
    <w:rsid w:val="0072429C"/>
    <w:rsid w:val="0072447E"/>
    <w:rsid w:val="00724537"/>
    <w:rsid w:val="007247B3"/>
    <w:rsid w:val="00724B57"/>
    <w:rsid w:val="00724BBD"/>
    <w:rsid w:val="00724CB3"/>
    <w:rsid w:val="00724CDC"/>
    <w:rsid w:val="00724DA4"/>
    <w:rsid w:val="00724E32"/>
    <w:rsid w:val="00724F9D"/>
    <w:rsid w:val="0072500E"/>
    <w:rsid w:val="007250C6"/>
    <w:rsid w:val="007250D7"/>
    <w:rsid w:val="00725295"/>
    <w:rsid w:val="00725A5F"/>
    <w:rsid w:val="00725BB1"/>
    <w:rsid w:val="00725D52"/>
    <w:rsid w:val="00725EE1"/>
    <w:rsid w:val="00725FC3"/>
    <w:rsid w:val="00726089"/>
    <w:rsid w:val="007260E8"/>
    <w:rsid w:val="00726149"/>
    <w:rsid w:val="007261F3"/>
    <w:rsid w:val="00726291"/>
    <w:rsid w:val="00726378"/>
    <w:rsid w:val="00726427"/>
    <w:rsid w:val="007265A7"/>
    <w:rsid w:val="007266B7"/>
    <w:rsid w:val="0072695F"/>
    <w:rsid w:val="00726E91"/>
    <w:rsid w:val="00727104"/>
    <w:rsid w:val="00727527"/>
    <w:rsid w:val="00727674"/>
    <w:rsid w:val="007276E7"/>
    <w:rsid w:val="0072773A"/>
    <w:rsid w:val="0072774D"/>
    <w:rsid w:val="007278BB"/>
    <w:rsid w:val="007279BD"/>
    <w:rsid w:val="00727A03"/>
    <w:rsid w:val="00727B85"/>
    <w:rsid w:val="00727BBF"/>
    <w:rsid w:val="00727C8C"/>
    <w:rsid w:val="00727F23"/>
    <w:rsid w:val="00727F6D"/>
    <w:rsid w:val="00727FA1"/>
    <w:rsid w:val="00730109"/>
    <w:rsid w:val="0073015C"/>
    <w:rsid w:val="007302B2"/>
    <w:rsid w:val="00730376"/>
    <w:rsid w:val="00730414"/>
    <w:rsid w:val="0073042D"/>
    <w:rsid w:val="00730503"/>
    <w:rsid w:val="00730740"/>
    <w:rsid w:val="0073074A"/>
    <w:rsid w:val="0073093E"/>
    <w:rsid w:val="00730970"/>
    <w:rsid w:val="00730A52"/>
    <w:rsid w:val="00730B92"/>
    <w:rsid w:val="00730CA6"/>
    <w:rsid w:val="0073122E"/>
    <w:rsid w:val="00731233"/>
    <w:rsid w:val="00731245"/>
    <w:rsid w:val="0073132F"/>
    <w:rsid w:val="0073138A"/>
    <w:rsid w:val="00731544"/>
    <w:rsid w:val="00731589"/>
    <w:rsid w:val="007316CC"/>
    <w:rsid w:val="00731959"/>
    <w:rsid w:val="00731969"/>
    <w:rsid w:val="00731A3C"/>
    <w:rsid w:val="00731A69"/>
    <w:rsid w:val="00731F9C"/>
    <w:rsid w:val="00731FF9"/>
    <w:rsid w:val="0073202E"/>
    <w:rsid w:val="0073225D"/>
    <w:rsid w:val="007323D9"/>
    <w:rsid w:val="0073246F"/>
    <w:rsid w:val="007325D0"/>
    <w:rsid w:val="007327B0"/>
    <w:rsid w:val="007327D0"/>
    <w:rsid w:val="007329B6"/>
    <w:rsid w:val="00732AF6"/>
    <w:rsid w:val="00732BEB"/>
    <w:rsid w:val="00732CD1"/>
    <w:rsid w:val="00732F75"/>
    <w:rsid w:val="00733006"/>
    <w:rsid w:val="0073323B"/>
    <w:rsid w:val="0073325F"/>
    <w:rsid w:val="00733289"/>
    <w:rsid w:val="007333B6"/>
    <w:rsid w:val="0073342A"/>
    <w:rsid w:val="00733499"/>
    <w:rsid w:val="007335D0"/>
    <w:rsid w:val="00733694"/>
    <w:rsid w:val="00733A0E"/>
    <w:rsid w:val="00733A31"/>
    <w:rsid w:val="00733DA6"/>
    <w:rsid w:val="00733FE4"/>
    <w:rsid w:val="00733FED"/>
    <w:rsid w:val="00734310"/>
    <w:rsid w:val="00734391"/>
    <w:rsid w:val="00734533"/>
    <w:rsid w:val="0073477F"/>
    <w:rsid w:val="007347C7"/>
    <w:rsid w:val="00734841"/>
    <w:rsid w:val="0073496F"/>
    <w:rsid w:val="00734992"/>
    <w:rsid w:val="007349C1"/>
    <w:rsid w:val="00734B7A"/>
    <w:rsid w:val="00734D2E"/>
    <w:rsid w:val="00734E98"/>
    <w:rsid w:val="00734F82"/>
    <w:rsid w:val="00734FE5"/>
    <w:rsid w:val="00735269"/>
    <w:rsid w:val="00735287"/>
    <w:rsid w:val="0073532D"/>
    <w:rsid w:val="007353D2"/>
    <w:rsid w:val="007354A1"/>
    <w:rsid w:val="007354F8"/>
    <w:rsid w:val="0073568B"/>
    <w:rsid w:val="00735749"/>
    <w:rsid w:val="00735771"/>
    <w:rsid w:val="007357C5"/>
    <w:rsid w:val="0073587D"/>
    <w:rsid w:val="007358A4"/>
    <w:rsid w:val="007358C9"/>
    <w:rsid w:val="007359B1"/>
    <w:rsid w:val="007359F8"/>
    <w:rsid w:val="00735BE0"/>
    <w:rsid w:val="00735C21"/>
    <w:rsid w:val="00735CFB"/>
    <w:rsid w:val="00735DF8"/>
    <w:rsid w:val="00735EBE"/>
    <w:rsid w:val="00735F1C"/>
    <w:rsid w:val="00735F83"/>
    <w:rsid w:val="0073613C"/>
    <w:rsid w:val="00736218"/>
    <w:rsid w:val="0073621A"/>
    <w:rsid w:val="00736409"/>
    <w:rsid w:val="007367DD"/>
    <w:rsid w:val="00736932"/>
    <w:rsid w:val="00736B47"/>
    <w:rsid w:val="00736C4A"/>
    <w:rsid w:val="00736D0E"/>
    <w:rsid w:val="00736DDA"/>
    <w:rsid w:val="00736E07"/>
    <w:rsid w:val="00736E18"/>
    <w:rsid w:val="00736F51"/>
    <w:rsid w:val="00736FB5"/>
    <w:rsid w:val="00737139"/>
    <w:rsid w:val="00737145"/>
    <w:rsid w:val="0073718B"/>
    <w:rsid w:val="00737314"/>
    <w:rsid w:val="0073733B"/>
    <w:rsid w:val="007373FD"/>
    <w:rsid w:val="007375F0"/>
    <w:rsid w:val="00737777"/>
    <w:rsid w:val="00737908"/>
    <w:rsid w:val="007379EB"/>
    <w:rsid w:val="00737A05"/>
    <w:rsid w:val="00737A39"/>
    <w:rsid w:val="00737EA5"/>
    <w:rsid w:val="00740035"/>
    <w:rsid w:val="007400FD"/>
    <w:rsid w:val="0074016F"/>
    <w:rsid w:val="007401BE"/>
    <w:rsid w:val="007403AD"/>
    <w:rsid w:val="0074045F"/>
    <w:rsid w:val="0074049E"/>
    <w:rsid w:val="0074058F"/>
    <w:rsid w:val="007405DE"/>
    <w:rsid w:val="00740643"/>
    <w:rsid w:val="0074067F"/>
    <w:rsid w:val="0074075B"/>
    <w:rsid w:val="00740793"/>
    <w:rsid w:val="007407D1"/>
    <w:rsid w:val="00740813"/>
    <w:rsid w:val="0074087A"/>
    <w:rsid w:val="007409A6"/>
    <w:rsid w:val="00740BCC"/>
    <w:rsid w:val="00740C78"/>
    <w:rsid w:val="00740CA0"/>
    <w:rsid w:val="00740D3D"/>
    <w:rsid w:val="00740E3B"/>
    <w:rsid w:val="00740EC6"/>
    <w:rsid w:val="00740F56"/>
    <w:rsid w:val="007410CD"/>
    <w:rsid w:val="007412B8"/>
    <w:rsid w:val="007412C6"/>
    <w:rsid w:val="0074138C"/>
    <w:rsid w:val="00741896"/>
    <w:rsid w:val="007418C3"/>
    <w:rsid w:val="007418DD"/>
    <w:rsid w:val="00741C79"/>
    <w:rsid w:val="00741F4D"/>
    <w:rsid w:val="00741FFE"/>
    <w:rsid w:val="007421A3"/>
    <w:rsid w:val="00742372"/>
    <w:rsid w:val="00742388"/>
    <w:rsid w:val="0074240F"/>
    <w:rsid w:val="00742511"/>
    <w:rsid w:val="00742559"/>
    <w:rsid w:val="00742ADF"/>
    <w:rsid w:val="00742C01"/>
    <w:rsid w:val="00742C18"/>
    <w:rsid w:val="00742C92"/>
    <w:rsid w:val="00742EC7"/>
    <w:rsid w:val="00742F7C"/>
    <w:rsid w:val="0074302D"/>
    <w:rsid w:val="00743443"/>
    <w:rsid w:val="0074349D"/>
    <w:rsid w:val="00743528"/>
    <w:rsid w:val="00743723"/>
    <w:rsid w:val="00743922"/>
    <w:rsid w:val="00743955"/>
    <w:rsid w:val="0074399D"/>
    <w:rsid w:val="007439B6"/>
    <w:rsid w:val="007439FA"/>
    <w:rsid w:val="00743EE1"/>
    <w:rsid w:val="00744035"/>
    <w:rsid w:val="00744059"/>
    <w:rsid w:val="007443AC"/>
    <w:rsid w:val="0074445B"/>
    <w:rsid w:val="00744494"/>
    <w:rsid w:val="00744556"/>
    <w:rsid w:val="00744638"/>
    <w:rsid w:val="00744652"/>
    <w:rsid w:val="007447F6"/>
    <w:rsid w:val="00744821"/>
    <w:rsid w:val="00744891"/>
    <w:rsid w:val="007448D9"/>
    <w:rsid w:val="0074496D"/>
    <w:rsid w:val="00744BE6"/>
    <w:rsid w:val="00744BFD"/>
    <w:rsid w:val="00744D5D"/>
    <w:rsid w:val="00744D8C"/>
    <w:rsid w:val="00744DCA"/>
    <w:rsid w:val="00744F0F"/>
    <w:rsid w:val="00744F7A"/>
    <w:rsid w:val="0074509F"/>
    <w:rsid w:val="0074511F"/>
    <w:rsid w:val="00745265"/>
    <w:rsid w:val="0074570F"/>
    <w:rsid w:val="007457B4"/>
    <w:rsid w:val="007457C3"/>
    <w:rsid w:val="007458A1"/>
    <w:rsid w:val="00745B94"/>
    <w:rsid w:val="00745EAD"/>
    <w:rsid w:val="00746005"/>
    <w:rsid w:val="00746067"/>
    <w:rsid w:val="0074611B"/>
    <w:rsid w:val="00746144"/>
    <w:rsid w:val="0074650D"/>
    <w:rsid w:val="00746854"/>
    <w:rsid w:val="00746874"/>
    <w:rsid w:val="007468EB"/>
    <w:rsid w:val="00746929"/>
    <w:rsid w:val="00746A73"/>
    <w:rsid w:val="00746AFF"/>
    <w:rsid w:val="00746BA8"/>
    <w:rsid w:val="00746CED"/>
    <w:rsid w:val="00746DA2"/>
    <w:rsid w:val="00746E87"/>
    <w:rsid w:val="00746ECA"/>
    <w:rsid w:val="00746F32"/>
    <w:rsid w:val="00746FBF"/>
    <w:rsid w:val="00747071"/>
    <w:rsid w:val="007470E9"/>
    <w:rsid w:val="007470FA"/>
    <w:rsid w:val="0074714E"/>
    <w:rsid w:val="007471F4"/>
    <w:rsid w:val="0074722B"/>
    <w:rsid w:val="007472C2"/>
    <w:rsid w:val="007472CF"/>
    <w:rsid w:val="0074734D"/>
    <w:rsid w:val="007473B4"/>
    <w:rsid w:val="007474A0"/>
    <w:rsid w:val="00747607"/>
    <w:rsid w:val="00747889"/>
    <w:rsid w:val="00747CBD"/>
    <w:rsid w:val="00750128"/>
    <w:rsid w:val="0075015A"/>
    <w:rsid w:val="00750294"/>
    <w:rsid w:val="00750328"/>
    <w:rsid w:val="00750524"/>
    <w:rsid w:val="007506CA"/>
    <w:rsid w:val="00750789"/>
    <w:rsid w:val="007507D2"/>
    <w:rsid w:val="00750840"/>
    <w:rsid w:val="00750961"/>
    <w:rsid w:val="00750AF8"/>
    <w:rsid w:val="00750BAE"/>
    <w:rsid w:val="00750C67"/>
    <w:rsid w:val="00750FDD"/>
    <w:rsid w:val="007511D7"/>
    <w:rsid w:val="00751223"/>
    <w:rsid w:val="00751257"/>
    <w:rsid w:val="0075138D"/>
    <w:rsid w:val="007516C0"/>
    <w:rsid w:val="00751955"/>
    <w:rsid w:val="00751A50"/>
    <w:rsid w:val="00751B1D"/>
    <w:rsid w:val="00751D78"/>
    <w:rsid w:val="00751F3A"/>
    <w:rsid w:val="00752291"/>
    <w:rsid w:val="00752353"/>
    <w:rsid w:val="007524E8"/>
    <w:rsid w:val="00752500"/>
    <w:rsid w:val="0075255A"/>
    <w:rsid w:val="0075258D"/>
    <w:rsid w:val="0075272F"/>
    <w:rsid w:val="00752768"/>
    <w:rsid w:val="007527BE"/>
    <w:rsid w:val="00752918"/>
    <w:rsid w:val="00752990"/>
    <w:rsid w:val="007529C2"/>
    <w:rsid w:val="007529F9"/>
    <w:rsid w:val="00752A96"/>
    <w:rsid w:val="00752BEA"/>
    <w:rsid w:val="00752F05"/>
    <w:rsid w:val="00752F2C"/>
    <w:rsid w:val="00752F83"/>
    <w:rsid w:val="00753008"/>
    <w:rsid w:val="007532E5"/>
    <w:rsid w:val="0075336D"/>
    <w:rsid w:val="007533EE"/>
    <w:rsid w:val="00753668"/>
    <w:rsid w:val="00753786"/>
    <w:rsid w:val="007537A6"/>
    <w:rsid w:val="00753812"/>
    <w:rsid w:val="007538D3"/>
    <w:rsid w:val="00753916"/>
    <w:rsid w:val="00753A58"/>
    <w:rsid w:val="00753D41"/>
    <w:rsid w:val="00753EDC"/>
    <w:rsid w:val="00753EF8"/>
    <w:rsid w:val="0075416D"/>
    <w:rsid w:val="007547A9"/>
    <w:rsid w:val="007547D7"/>
    <w:rsid w:val="007549B3"/>
    <w:rsid w:val="00754CFE"/>
    <w:rsid w:val="00754D80"/>
    <w:rsid w:val="00754DD2"/>
    <w:rsid w:val="00754F8E"/>
    <w:rsid w:val="007550DC"/>
    <w:rsid w:val="007551AE"/>
    <w:rsid w:val="007552AF"/>
    <w:rsid w:val="007552EF"/>
    <w:rsid w:val="0075534E"/>
    <w:rsid w:val="0075535F"/>
    <w:rsid w:val="00755366"/>
    <w:rsid w:val="007555DB"/>
    <w:rsid w:val="007556E1"/>
    <w:rsid w:val="00755727"/>
    <w:rsid w:val="007558EB"/>
    <w:rsid w:val="00755999"/>
    <w:rsid w:val="00755AE2"/>
    <w:rsid w:val="00755BA0"/>
    <w:rsid w:val="00755BBF"/>
    <w:rsid w:val="00755E22"/>
    <w:rsid w:val="00755F3F"/>
    <w:rsid w:val="00755F65"/>
    <w:rsid w:val="00755FC9"/>
    <w:rsid w:val="00755FCD"/>
    <w:rsid w:val="00756593"/>
    <w:rsid w:val="007565DE"/>
    <w:rsid w:val="007565FA"/>
    <w:rsid w:val="00756682"/>
    <w:rsid w:val="0075697F"/>
    <w:rsid w:val="00756A11"/>
    <w:rsid w:val="00756A32"/>
    <w:rsid w:val="00756A70"/>
    <w:rsid w:val="00756C86"/>
    <w:rsid w:val="00756CE1"/>
    <w:rsid w:val="00756DA6"/>
    <w:rsid w:val="00756F54"/>
    <w:rsid w:val="007571DC"/>
    <w:rsid w:val="0075722D"/>
    <w:rsid w:val="0075725A"/>
    <w:rsid w:val="007573B1"/>
    <w:rsid w:val="007574D2"/>
    <w:rsid w:val="00757544"/>
    <w:rsid w:val="007575A5"/>
    <w:rsid w:val="007575C2"/>
    <w:rsid w:val="00757787"/>
    <w:rsid w:val="007577F9"/>
    <w:rsid w:val="00757842"/>
    <w:rsid w:val="00757860"/>
    <w:rsid w:val="00757B7F"/>
    <w:rsid w:val="00757E22"/>
    <w:rsid w:val="00757E25"/>
    <w:rsid w:val="00757E76"/>
    <w:rsid w:val="00757EA2"/>
    <w:rsid w:val="00757F12"/>
    <w:rsid w:val="00760549"/>
    <w:rsid w:val="0076057C"/>
    <w:rsid w:val="00760726"/>
    <w:rsid w:val="0076073A"/>
    <w:rsid w:val="00760CAF"/>
    <w:rsid w:val="00760D4A"/>
    <w:rsid w:val="00760DC5"/>
    <w:rsid w:val="00760EBF"/>
    <w:rsid w:val="00760EE2"/>
    <w:rsid w:val="00761027"/>
    <w:rsid w:val="00761354"/>
    <w:rsid w:val="00761619"/>
    <w:rsid w:val="007616B3"/>
    <w:rsid w:val="00761A69"/>
    <w:rsid w:val="00761B7D"/>
    <w:rsid w:val="00761E44"/>
    <w:rsid w:val="00761E57"/>
    <w:rsid w:val="00761EB3"/>
    <w:rsid w:val="00761F73"/>
    <w:rsid w:val="00761FC6"/>
    <w:rsid w:val="00761FE3"/>
    <w:rsid w:val="0076227E"/>
    <w:rsid w:val="007624FD"/>
    <w:rsid w:val="007627E2"/>
    <w:rsid w:val="007628A4"/>
    <w:rsid w:val="00762BCB"/>
    <w:rsid w:val="00762BE2"/>
    <w:rsid w:val="00762D6C"/>
    <w:rsid w:val="00762D6D"/>
    <w:rsid w:val="00762E37"/>
    <w:rsid w:val="00762E42"/>
    <w:rsid w:val="00763085"/>
    <w:rsid w:val="00763089"/>
    <w:rsid w:val="0076319F"/>
    <w:rsid w:val="007632DA"/>
    <w:rsid w:val="00763337"/>
    <w:rsid w:val="007634AD"/>
    <w:rsid w:val="007636B9"/>
    <w:rsid w:val="007636C6"/>
    <w:rsid w:val="00763800"/>
    <w:rsid w:val="007638FE"/>
    <w:rsid w:val="00763B58"/>
    <w:rsid w:val="00763C4D"/>
    <w:rsid w:val="00763CFF"/>
    <w:rsid w:val="00763D95"/>
    <w:rsid w:val="00763F40"/>
    <w:rsid w:val="00764025"/>
    <w:rsid w:val="00764210"/>
    <w:rsid w:val="00764419"/>
    <w:rsid w:val="00764432"/>
    <w:rsid w:val="00764444"/>
    <w:rsid w:val="00764469"/>
    <w:rsid w:val="00764506"/>
    <w:rsid w:val="00764766"/>
    <w:rsid w:val="0076498B"/>
    <w:rsid w:val="00764B50"/>
    <w:rsid w:val="00764D27"/>
    <w:rsid w:val="0076501B"/>
    <w:rsid w:val="00765080"/>
    <w:rsid w:val="007651DC"/>
    <w:rsid w:val="007652C0"/>
    <w:rsid w:val="0076540D"/>
    <w:rsid w:val="007654E9"/>
    <w:rsid w:val="007655F7"/>
    <w:rsid w:val="0076561C"/>
    <w:rsid w:val="007656E6"/>
    <w:rsid w:val="0076571A"/>
    <w:rsid w:val="007658DF"/>
    <w:rsid w:val="007659B0"/>
    <w:rsid w:val="00766014"/>
    <w:rsid w:val="0076611B"/>
    <w:rsid w:val="00766164"/>
    <w:rsid w:val="0076644D"/>
    <w:rsid w:val="007665C8"/>
    <w:rsid w:val="007667D8"/>
    <w:rsid w:val="007668B0"/>
    <w:rsid w:val="00766956"/>
    <w:rsid w:val="00766A54"/>
    <w:rsid w:val="00766DF4"/>
    <w:rsid w:val="00766E59"/>
    <w:rsid w:val="00766F30"/>
    <w:rsid w:val="00767479"/>
    <w:rsid w:val="007678B3"/>
    <w:rsid w:val="00767999"/>
    <w:rsid w:val="00767A37"/>
    <w:rsid w:val="00767A3A"/>
    <w:rsid w:val="00767B2F"/>
    <w:rsid w:val="00767EE0"/>
    <w:rsid w:val="00770032"/>
    <w:rsid w:val="0077007E"/>
    <w:rsid w:val="00770361"/>
    <w:rsid w:val="0077038A"/>
    <w:rsid w:val="0077046F"/>
    <w:rsid w:val="00770538"/>
    <w:rsid w:val="007705F5"/>
    <w:rsid w:val="0077076B"/>
    <w:rsid w:val="007707A0"/>
    <w:rsid w:val="007707B2"/>
    <w:rsid w:val="0077080D"/>
    <w:rsid w:val="007708C1"/>
    <w:rsid w:val="007708F3"/>
    <w:rsid w:val="00770AB5"/>
    <w:rsid w:val="00770B93"/>
    <w:rsid w:val="00770C2C"/>
    <w:rsid w:val="00770CC8"/>
    <w:rsid w:val="00770F73"/>
    <w:rsid w:val="007711F0"/>
    <w:rsid w:val="00771361"/>
    <w:rsid w:val="007716CD"/>
    <w:rsid w:val="00771709"/>
    <w:rsid w:val="0077177C"/>
    <w:rsid w:val="00771891"/>
    <w:rsid w:val="00771926"/>
    <w:rsid w:val="0077193A"/>
    <w:rsid w:val="00771A09"/>
    <w:rsid w:val="00771A90"/>
    <w:rsid w:val="00771B2F"/>
    <w:rsid w:val="00771B83"/>
    <w:rsid w:val="00771C2D"/>
    <w:rsid w:val="00771C55"/>
    <w:rsid w:val="00771D77"/>
    <w:rsid w:val="00771DA8"/>
    <w:rsid w:val="00771ED5"/>
    <w:rsid w:val="00771F1B"/>
    <w:rsid w:val="00771F49"/>
    <w:rsid w:val="00772002"/>
    <w:rsid w:val="007721BD"/>
    <w:rsid w:val="007721FC"/>
    <w:rsid w:val="007722AE"/>
    <w:rsid w:val="0077232F"/>
    <w:rsid w:val="007723B6"/>
    <w:rsid w:val="00772406"/>
    <w:rsid w:val="0077244E"/>
    <w:rsid w:val="00772753"/>
    <w:rsid w:val="00772759"/>
    <w:rsid w:val="007727B5"/>
    <w:rsid w:val="007727DC"/>
    <w:rsid w:val="0077283A"/>
    <w:rsid w:val="007728EB"/>
    <w:rsid w:val="00772A9D"/>
    <w:rsid w:val="00772B42"/>
    <w:rsid w:val="00772B7D"/>
    <w:rsid w:val="00772BB2"/>
    <w:rsid w:val="00772CD9"/>
    <w:rsid w:val="00772D24"/>
    <w:rsid w:val="00773049"/>
    <w:rsid w:val="007731F6"/>
    <w:rsid w:val="007732B8"/>
    <w:rsid w:val="0077330F"/>
    <w:rsid w:val="00773358"/>
    <w:rsid w:val="00773550"/>
    <w:rsid w:val="00773564"/>
    <w:rsid w:val="007735E1"/>
    <w:rsid w:val="00773810"/>
    <w:rsid w:val="0077391C"/>
    <w:rsid w:val="007739CC"/>
    <w:rsid w:val="007739D1"/>
    <w:rsid w:val="00773A0B"/>
    <w:rsid w:val="00773A45"/>
    <w:rsid w:val="00773B5A"/>
    <w:rsid w:val="00773B80"/>
    <w:rsid w:val="00773DD1"/>
    <w:rsid w:val="00773E14"/>
    <w:rsid w:val="0077407C"/>
    <w:rsid w:val="00774117"/>
    <w:rsid w:val="00774201"/>
    <w:rsid w:val="007742BE"/>
    <w:rsid w:val="007742F9"/>
    <w:rsid w:val="00774641"/>
    <w:rsid w:val="007746F3"/>
    <w:rsid w:val="00774799"/>
    <w:rsid w:val="0077484B"/>
    <w:rsid w:val="00774893"/>
    <w:rsid w:val="0077490E"/>
    <w:rsid w:val="007749EC"/>
    <w:rsid w:val="00774AFD"/>
    <w:rsid w:val="00774D10"/>
    <w:rsid w:val="00774DE6"/>
    <w:rsid w:val="0077508F"/>
    <w:rsid w:val="0077515C"/>
    <w:rsid w:val="007753A5"/>
    <w:rsid w:val="007755C1"/>
    <w:rsid w:val="007755E3"/>
    <w:rsid w:val="00775883"/>
    <w:rsid w:val="00775B28"/>
    <w:rsid w:val="00775B2E"/>
    <w:rsid w:val="00775BF2"/>
    <w:rsid w:val="00775CC4"/>
    <w:rsid w:val="00776068"/>
    <w:rsid w:val="007760DE"/>
    <w:rsid w:val="00776550"/>
    <w:rsid w:val="00776AFA"/>
    <w:rsid w:val="00776DF3"/>
    <w:rsid w:val="00776E82"/>
    <w:rsid w:val="00776F14"/>
    <w:rsid w:val="00776F56"/>
    <w:rsid w:val="00776F7C"/>
    <w:rsid w:val="0077716A"/>
    <w:rsid w:val="0077726B"/>
    <w:rsid w:val="007772E0"/>
    <w:rsid w:val="00777416"/>
    <w:rsid w:val="0077752A"/>
    <w:rsid w:val="007776C2"/>
    <w:rsid w:val="0077772A"/>
    <w:rsid w:val="007779A3"/>
    <w:rsid w:val="007779CB"/>
    <w:rsid w:val="007779D2"/>
    <w:rsid w:val="00777BEF"/>
    <w:rsid w:val="00777CCC"/>
    <w:rsid w:val="007800F2"/>
    <w:rsid w:val="00780397"/>
    <w:rsid w:val="007805C9"/>
    <w:rsid w:val="007808BE"/>
    <w:rsid w:val="00780A88"/>
    <w:rsid w:val="00780B55"/>
    <w:rsid w:val="00780B5D"/>
    <w:rsid w:val="00780B96"/>
    <w:rsid w:val="00780CD2"/>
    <w:rsid w:val="00780D58"/>
    <w:rsid w:val="007810C0"/>
    <w:rsid w:val="00781263"/>
    <w:rsid w:val="0078138F"/>
    <w:rsid w:val="00781583"/>
    <w:rsid w:val="007817BB"/>
    <w:rsid w:val="007819DA"/>
    <w:rsid w:val="00781AF9"/>
    <w:rsid w:val="00781DEC"/>
    <w:rsid w:val="00781E48"/>
    <w:rsid w:val="00781E82"/>
    <w:rsid w:val="00782006"/>
    <w:rsid w:val="0078202E"/>
    <w:rsid w:val="0078206E"/>
    <w:rsid w:val="00782182"/>
    <w:rsid w:val="0078232A"/>
    <w:rsid w:val="0078246D"/>
    <w:rsid w:val="00782680"/>
    <w:rsid w:val="00782694"/>
    <w:rsid w:val="0078290D"/>
    <w:rsid w:val="007829ED"/>
    <w:rsid w:val="00782A6F"/>
    <w:rsid w:val="00782CD2"/>
    <w:rsid w:val="00782FFB"/>
    <w:rsid w:val="00783062"/>
    <w:rsid w:val="00783099"/>
    <w:rsid w:val="007832D3"/>
    <w:rsid w:val="00783321"/>
    <w:rsid w:val="007834B6"/>
    <w:rsid w:val="007834CB"/>
    <w:rsid w:val="00783766"/>
    <w:rsid w:val="00783823"/>
    <w:rsid w:val="00783873"/>
    <w:rsid w:val="00783A9A"/>
    <w:rsid w:val="00783B79"/>
    <w:rsid w:val="00784059"/>
    <w:rsid w:val="00784271"/>
    <w:rsid w:val="007842BC"/>
    <w:rsid w:val="00784606"/>
    <w:rsid w:val="00784635"/>
    <w:rsid w:val="007849F9"/>
    <w:rsid w:val="00784A22"/>
    <w:rsid w:val="00784B03"/>
    <w:rsid w:val="00784C2F"/>
    <w:rsid w:val="00784EE2"/>
    <w:rsid w:val="0078506F"/>
    <w:rsid w:val="00785096"/>
    <w:rsid w:val="0078517E"/>
    <w:rsid w:val="007853DB"/>
    <w:rsid w:val="0078547B"/>
    <w:rsid w:val="007854AB"/>
    <w:rsid w:val="007855B6"/>
    <w:rsid w:val="0078576A"/>
    <w:rsid w:val="007859DB"/>
    <w:rsid w:val="00785CA2"/>
    <w:rsid w:val="00785D41"/>
    <w:rsid w:val="00785EC7"/>
    <w:rsid w:val="00786109"/>
    <w:rsid w:val="00786210"/>
    <w:rsid w:val="00786230"/>
    <w:rsid w:val="00786321"/>
    <w:rsid w:val="007863B4"/>
    <w:rsid w:val="007866BB"/>
    <w:rsid w:val="00786712"/>
    <w:rsid w:val="00786B1C"/>
    <w:rsid w:val="00786BE8"/>
    <w:rsid w:val="0078715A"/>
    <w:rsid w:val="0078716B"/>
    <w:rsid w:val="007871ED"/>
    <w:rsid w:val="007872D6"/>
    <w:rsid w:val="0078736F"/>
    <w:rsid w:val="007873C0"/>
    <w:rsid w:val="007873D1"/>
    <w:rsid w:val="00787522"/>
    <w:rsid w:val="00787555"/>
    <w:rsid w:val="0078757E"/>
    <w:rsid w:val="007875CA"/>
    <w:rsid w:val="00787621"/>
    <w:rsid w:val="00787705"/>
    <w:rsid w:val="0078781A"/>
    <w:rsid w:val="00787855"/>
    <w:rsid w:val="007878E8"/>
    <w:rsid w:val="007878F2"/>
    <w:rsid w:val="00787927"/>
    <w:rsid w:val="00787960"/>
    <w:rsid w:val="007879D2"/>
    <w:rsid w:val="007879F6"/>
    <w:rsid w:val="00787A0B"/>
    <w:rsid w:val="00787B72"/>
    <w:rsid w:val="00787C4D"/>
    <w:rsid w:val="007901D7"/>
    <w:rsid w:val="00790286"/>
    <w:rsid w:val="0079035C"/>
    <w:rsid w:val="007905BB"/>
    <w:rsid w:val="00790641"/>
    <w:rsid w:val="007907B4"/>
    <w:rsid w:val="0079086D"/>
    <w:rsid w:val="0079089B"/>
    <w:rsid w:val="00790AC1"/>
    <w:rsid w:val="00790BF1"/>
    <w:rsid w:val="00790DEE"/>
    <w:rsid w:val="00790FAC"/>
    <w:rsid w:val="00791059"/>
    <w:rsid w:val="0079109C"/>
    <w:rsid w:val="007910DC"/>
    <w:rsid w:val="00791122"/>
    <w:rsid w:val="007912D7"/>
    <w:rsid w:val="007912FB"/>
    <w:rsid w:val="00791326"/>
    <w:rsid w:val="0079159D"/>
    <w:rsid w:val="00791747"/>
    <w:rsid w:val="00791903"/>
    <w:rsid w:val="00791963"/>
    <w:rsid w:val="00791C44"/>
    <w:rsid w:val="00791ECF"/>
    <w:rsid w:val="007920B2"/>
    <w:rsid w:val="0079216D"/>
    <w:rsid w:val="007921C1"/>
    <w:rsid w:val="0079242A"/>
    <w:rsid w:val="007925C6"/>
    <w:rsid w:val="007927A5"/>
    <w:rsid w:val="00792838"/>
    <w:rsid w:val="007928BE"/>
    <w:rsid w:val="00792906"/>
    <w:rsid w:val="0079290E"/>
    <w:rsid w:val="00792A35"/>
    <w:rsid w:val="00792A47"/>
    <w:rsid w:val="00792D0E"/>
    <w:rsid w:val="00792D1E"/>
    <w:rsid w:val="00792EF3"/>
    <w:rsid w:val="00792FF5"/>
    <w:rsid w:val="00793090"/>
    <w:rsid w:val="007930CB"/>
    <w:rsid w:val="007934AB"/>
    <w:rsid w:val="007934CB"/>
    <w:rsid w:val="007934CC"/>
    <w:rsid w:val="007934DC"/>
    <w:rsid w:val="007934F2"/>
    <w:rsid w:val="00793527"/>
    <w:rsid w:val="00793769"/>
    <w:rsid w:val="007937C4"/>
    <w:rsid w:val="00793863"/>
    <w:rsid w:val="0079394F"/>
    <w:rsid w:val="00793A53"/>
    <w:rsid w:val="00793C45"/>
    <w:rsid w:val="00793D56"/>
    <w:rsid w:val="00793E08"/>
    <w:rsid w:val="00793E7E"/>
    <w:rsid w:val="0079404D"/>
    <w:rsid w:val="00794260"/>
    <w:rsid w:val="0079457B"/>
    <w:rsid w:val="00794784"/>
    <w:rsid w:val="00794807"/>
    <w:rsid w:val="00794C96"/>
    <w:rsid w:val="00794CDE"/>
    <w:rsid w:val="00794E11"/>
    <w:rsid w:val="00794E48"/>
    <w:rsid w:val="00794FA3"/>
    <w:rsid w:val="0079500E"/>
    <w:rsid w:val="0079503D"/>
    <w:rsid w:val="0079513A"/>
    <w:rsid w:val="00795381"/>
    <w:rsid w:val="0079547E"/>
    <w:rsid w:val="007957A8"/>
    <w:rsid w:val="00795925"/>
    <w:rsid w:val="00795ABC"/>
    <w:rsid w:val="00795AFE"/>
    <w:rsid w:val="00795B51"/>
    <w:rsid w:val="00795B75"/>
    <w:rsid w:val="00795BE1"/>
    <w:rsid w:val="00795CAE"/>
    <w:rsid w:val="00795CCA"/>
    <w:rsid w:val="00795CCB"/>
    <w:rsid w:val="00795CEE"/>
    <w:rsid w:val="00795D57"/>
    <w:rsid w:val="00795D9C"/>
    <w:rsid w:val="00795DCD"/>
    <w:rsid w:val="00795E34"/>
    <w:rsid w:val="00795E82"/>
    <w:rsid w:val="00796073"/>
    <w:rsid w:val="007960A9"/>
    <w:rsid w:val="00796147"/>
    <w:rsid w:val="007961DA"/>
    <w:rsid w:val="00796266"/>
    <w:rsid w:val="00796304"/>
    <w:rsid w:val="00796521"/>
    <w:rsid w:val="00796525"/>
    <w:rsid w:val="0079663F"/>
    <w:rsid w:val="0079668F"/>
    <w:rsid w:val="00796A05"/>
    <w:rsid w:val="00796B50"/>
    <w:rsid w:val="00796B57"/>
    <w:rsid w:val="00796C58"/>
    <w:rsid w:val="00796D1F"/>
    <w:rsid w:val="00796F2E"/>
    <w:rsid w:val="007970B7"/>
    <w:rsid w:val="007971F5"/>
    <w:rsid w:val="007972A0"/>
    <w:rsid w:val="007972CB"/>
    <w:rsid w:val="00797315"/>
    <w:rsid w:val="0079738D"/>
    <w:rsid w:val="00797420"/>
    <w:rsid w:val="0079743E"/>
    <w:rsid w:val="007974CE"/>
    <w:rsid w:val="0079769F"/>
    <w:rsid w:val="0079775D"/>
    <w:rsid w:val="00797A16"/>
    <w:rsid w:val="00797AA3"/>
    <w:rsid w:val="00797C44"/>
    <w:rsid w:val="00797CA2"/>
    <w:rsid w:val="00797DE0"/>
    <w:rsid w:val="00797EEA"/>
    <w:rsid w:val="00797FC9"/>
    <w:rsid w:val="007A002E"/>
    <w:rsid w:val="007A00B1"/>
    <w:rsid w:val="007A00B4"/>
    <w:rsid w:val="007A0155"/>
    <w:rsid w:val="007A017B"/>
    <w:rsid w:val="007A0207"/>
    <w:rsid w:val="007A0285"/>
    <w:rsid w:val="007A03A7"/>
    <w:rsid w:val="007A0582"/>
    <w:rsid w:val="007A08F1"/>
    <w:rsid w:val="007A08F9"/>
    <w:rsid w:val="007A093C"/>
    <w:rsid w:val="007A0B76"/>
    <w:rsid w:val="007A0C30"/>
    <w:rsid w:val="007A0F98"/>
    <w:rsid w:val="007A14C7"/>
    <w:rsid w:val="007A1587"/>
    <w:rsid w:val="007A168F"/>
    <w:rsid w:val="007A17D6"/>
    <w:rsid w:val="007A185C"/>
    <w:rsid w:val="007A18CF"/>
    <w:rsid w:val="007A1924"/>
    <w:rsid w:val="007A1AA8"/>
    <w:rsid w:val="007A1AB6"/>
    <w:rsid w:val="007A1BCB"/>
    <w:rsid w:val="007A1CEA"/>
    <w:rsid w:val="007A1D25"/>
    <w:rsid w:val="007A1DB7"/>
    <w:rsid w:val="007A1DED"/>
    <w:rsid w:val="007A1F25"/>
    <w:rsid w:val="007A213A"/>
    <w:rsid w:val="007A2289"/>
    <w:rsid w:val="007A239F"/>
    <w:rsid w:val="007A242B"/>
    <w:rsid w:val="007A2478"/>
    <w:rsid w:val="007A25BF"/>
    <w:rsid w:val="007A273A"/>
    <w:rsid w:val="007A2830"/>
    <w:rsid w:val="007A2A03"/>
    <w:rsid w:val="007A2A56"/>
    <w:rsid w:val="007A2AB1"/>
    <w:rsid w:val="007A2E4C"/>
    <w:rsid w:val="007A2E9D"/>
    <w:rsid w:val="007A313B"/>
    <w:rsid w:val="007A318B"/>
    <w:rsid w:val="007A31A9"/>
    <w:rsid w:val="007A3282"/>
    <w:rsid w:val="007A33E5"/>
    <w:rsid w:val="007A34D4"/>
    <w:rsid w:val="007A3543"/>
    <w:rsid w:val="007A35C3"/>
    <w:rsid w:val="007A36C1"/>
    <w:rsid w:val="007A374B"/>
    <w:rsid w:val="007A394B"/>
    <w:rsid w:val="007A3A87"/>
    <w:rsid w:val="007A3EAD"/>
    <w:rsid w:val="007A3FFC"/>
    <w:rsid w:val="007A4015"/>
    <w:rsid w:val="007A40CB"/>
    <w:rsid w:val="007A41CD"/>
    <w:rsid w:val="007A4267"/>
    <w:rsid w:val="007A4522"/>
    <w:rsid w:val="007A485F"/>
    <w:rsid w:val="007A4B73"/>
    <w:rsid w:val="007A4C91"/>
    <w:rsid w:val="007A4E21"/>
    <w:rsid w:val="007A5040"/>
    <w:rsid w:val="007A50B9"/>
    <w:rsid w:val="007A5187"/>
    <w:rsid w:val="007A52D6"/>
    <w:rsid w:val="007A530B"/>
    <w:rsid w:val="007A54A5"/>
    <w:rsid w:val="007A5593"/>
    <w:rsid w:val="007A59B1"/>
    <w:rsid w:val="007A59E1"/>
    <w:rsid w:val="007A5ABF"/>
    <w:rsid w:val="007A5BD2"/>
    <w:rsid w:val="007A5C0F"/>
    <w:rsid w:val="007A5C93"/>
    <w:rsid w:val="007A6092"/>
    <w:rsid w:val="007A60F9"/>
    <w:rsid w:val="007A6140"/>
    <w:rsid w:val="007A615C"/>
    <w:rsid w:val="007A61B9"/>
    <w:rsid w:val="007A62A4"/>
    <w:rsid w:val="007A62B9"/>
    <w:rsid w:val="007A62E4"/>
    <w:rsid w:val="007A63C0"/>
    <w:rsid w:val="007A63FE"/>
    <w:rsid w:val="007A643C"/>
    <w:rsid w:val="007A6475"/>
    <w:rsid w:val="007A656C"/>
    <w:rsid w:val="007A67F2"/>
    <w:rsid w:val="007A695F"/>
    <w:rsid w:val="007A6AE6"/>
    <w:rsid w:val="007A6CA2"/>
    <w:rsid w:val="007A6CB1"/>
    <w:rsid w:val="007A6CC0"/>
    <w:rsid w:val="007A6CF6"/>
    <w:rsid w:val="007A6D85"/>
    <w:rsid w:val="007A6E6A"/>
    <w:rsid w:val="007A6F36"/>
    <w:rsid w:val="007A700B"/>
    <w:rsid w:val="007A7062"/>
    <w:rsid w:val="007A7108"/>
    <w:rsid w:val="007A7335"/>
    <w:rsid w:val="007A7463"/>
    <w:rsid w:val="007A7499"/>
    <w:rsid w:val="007A7619"/>
    <w:rsid w:val="007A7644"/>
    <w:rsid w:val="007A7686"/>
    <w:rsid w:val="007A7764"/>
    <w:rsid w:val="007A7A84"/>
    <w:rsid w:val="007A7A8A"/>
    <w:rsid w:val="007A7A92"/>
    <w:rsid w:val="007A7AA1"/>
    <w:rsid w:val="007A7B07"/>
    <w:rsid w:val="007A7C5C"/>
    <w:rsid w:val="007A7E26"/>
    <w:rsid w:val="007A7EA2"/>
    <w:rsid w:val="007A7F22"/>
    <w:rsid w:val="007A7FB0"/>
    <w:rsid w:val="007B0270"/>
    <w:rsid w:val="007B0285"/>
    <w:rsid w:val="007B0556"/>
    <w:rsid w:val="007B072F"/>
    <w:rsid w:val="007B09F4"/>
    <w:rsid w:val="007B0BE3"/>
    <w:rsid w:val="007B0C21"/>
    <w:rsid w:val="007B0CB1"/>
    <w:rsid w:val="007B0CFF"/>
    <w:rsid w:val="007B0D19"/>
    <w:rsid w:val="007B0D90"/>
    <w:rsid w:val="007B0F98"/>
    <w:rsid w:val="007B105C"/>
    <w:rsid w:val="007B1087"/>
    <w:rsid w:val="007B11FE"/>
    <w:rsid w:val="007B12C1"/>
    <w:rsid w:val="007B1542"/>
    <w:rsid w:val="007B1708"/>
    <w:rsid w:val="007B17EF"/>
    <w:rsid w:val="007B19DE"/>
    <w:rsid w:val="007B1A9A"/>
    <w:rsid w:val="007B1ABF"/>
    <w:rsid w:val="007B1B8B"/>
    <w:rsid w:val="007B1EBB"/>
    <w:rsid w:val="007B202B"/>
    <w:rsid w:val="007B2218"/>
    <w:rsid w:val="007B22A7"/>
    <w:rsid w:val="007B22CB"/>
    <w:rsid w:val="007B2360"/>
    <w:rsid w:val="007B2459"/>
    <w:rsid w:val="007B2469"/>
    <w:rsid w:val="007B24FE"/>
    <w:rsid w:val="007B26B3"/>
    <w:rsid w:val="007B27AB"/>
    <w:rsid w:val="007B28DB"/>
    <w:rsid w:val="007B2A45"/>
    <w:rsid w:val="007B2DB1"/>
    <w:rsid w:val="007B2F60"/>
    <w:rsid w:val="007B2F83"/>
    <w:rsid w:val="007B30D6"/>
    <w:rsid w:val="007B3179"/>
    <w:rsid w:val="007B322C"/>
    <w:rsid w:val="007B3258"/>
    <w:rsid w:val="007B33DC"/>
    <w:rsid w:val="007B3419"/>
    <w:rsid w:val="007B34A4"/>
    <w:rsid w:val="007B3562"/>
    <w:rsid w:val="007B372C"/>
    <w:rsid w:val="007B380D"/>
    <w:rsid w:val="007B3A3A"/>
    <w:rsid w:val="007B3A7A"/>
    <w:rsid w:val="007B3ABB"/>
    <w:rsid w:val="007B3C5D"/>
    <w:rsid w:val="007B3D80"/>
    <w:rsid w:val="007B3EB6"/>
    <w:rsid w:val="007B412E"/>
    <w:rsid w:val="007B4130"/>
    <w:rsid w:val="007B416E"/>
    <w:rsid w:val="007B4244"/>
    <w:rsid w:val="007B44F0"/>
    <w:rsid w:val="007B452D"/>
    <w:rsid w:val="007B4572"/>
    <w:rsid w:val="007B468A"/>
    <w:rsid w:val="007B474C"/>
    <w:rsid w:val="007B4D14"/>
    <w:rsid w:val="007B4D6F"/>
    <w:rsid w:val="007B50A0"/>
    <w:rsid w:val="007B5188"/>
    <w:rsid w:val="007B52BD"/>
    <w:rsid w:val="007B541C"/>
    <w:rsid w:val="007B5423"/>
    <w:rsid w:val="007B5495"/>
    <w:rsid w:val="007B59B4"/>
    <w:rsid w:val="007B5A09"/>
    <w:rsid w:val="007B5B96"/>
    <w:rsid w:val="007B5C95"/>
    <w:rsid w:val="007B5E59"/>
    <w:rsid w:val="007B608E"/>
    <w:rsid w:val="007B6114"/>
    <w:rsid w:val="007B614C"/>
    <w:rsid w:val="007B61F3"/>
    <w:rsid w:val="007B6924"/>
    <w:rsid w:val="007B69AE"/>
    <w:rsid w:val="007B6D74"/>
    <w:rsid w:val="007B6DAC"/>
    <w:rsid w:val="007B6DB9"/>
    <w:rsid w:val="007B6E5B"/>
    <w:rsid w:val="007B6E73"/>
    <w:rsid w:val="007B7330"/>
    <w:rsid w:val="007B7454"/>
    <w:rsid w:val="007B751D"/>
    <w:rsid w:val="007B75EC"/>
    <w:rsid w:val="007B7611"/>
    <w:rsid w:val="007B780D"/>
    <w:rsid w:val="007B7866"/>
    <w:rsid w:val="007B78F8"/>
    <w:rsid w:val="007B7B0B"/>
    <w:rsid w:val="007B7B52"/>
    <w:rsid w:val="007B7CD6"/>
    <w:rsid w:val="007B7D77"/>
    <w:rsid w:val="007B7EA5"/>
    <w:rsid w:val="007BA321"/>
    <w:rsid w:val="007C014E"/>
    <w:rsid w:val="007C0204"/>
    <w:rsid w:val="007C0650"/>
    <w:rsid w:val="007C06FD"/>
    <w:rsid w:val="007C08E0"/>
    <w:rsid w:val="007C0B04"/>
    <w:rsid w:val="007C0B74"/>
    <w:rsid w:val="007C0E23"/>
    <w:rsid w:val="007C0EA2"/>
    <w:rsid w:val="007C12C0"/>
    <w:rsid w:val="007C12FF"/>
    <w:rsid w:val="007C1476"/>
    <w:rsid w:val="007C14F6"/>
    <w:rsid w:val="007C16DD"/>
    <w:rsid w:val="007C198C"/>
    <w:rsid w:val="007C1A6E"/>
    <w:rsid w:val="007C1ABB"/>
    <w:rsid w:val="007C1AC7"/>
    <w:rsid w:val="007C1D70"/>
    <w:rsid w:val="007C21F1"/>
    <w:rsid w:val="007C2338"/>
    <w:rsid w:val="007C2743"/>
    <w:rsid w:val="007C276C"/>
    <w:rsid w:val="007C283C"/>
    <w:rsid w:val="007C283E"/>
    <w:rsid w:val="007C28F3"/>
    <w:rsid w:val="007C2F27"/>
    <w:rsid w:val="007C30BE"/>
    <w:rsid w:val="007C3239"/>
    <w:rsid w:val="007C3267"/>
    <w:rsid w:val="007C330C"/>
    <w:rsid w:val="007C3353"/>
    <w:rsid w:val="007C34B6"/>
    <w:rsid w:val="007C34BD"/>
    <w:rsid w:val="007C34D8"/>
    <w:rsid w:val="007C359A"/>
    <w:rsid w:val="007C35A5"/>
    <w:rsid w:val="007C35BE"/>
    <w:rsid w:val="007C3693"/>
    <w:rsid w:val="007C3B8E"/>
    <w:rsid w:val="007C3C38"/>
    <w:rsid w:val="007C3D6C"/>
    <w:rsid w:val="007C3D71"/>
    <w:rsid w:val="007C3D74"/>
    <w:rsid w:val="007C436E"/>
    <w:rsid w:val="007C45D6"/>
    <w:rsid w:val="007C4899"/>
    <w:rsid w:val="007C49E6"/>
    <w:rsid w:val="007C4AF5"/>
    <w:rsid w:val="007C4CB0"/>
    <w:rsid w:val="007C4D6C"/>
    <w:rsid w:val="007C4FBF"/>
    <w:rsid w:val="007C50FD"/>
    <w:rsid w:val="007C516D"/>
    <w:rsid w:val="007C5371"/>
    <w:rsid w:val="007C53EB"/>
    <w:rsid w:val="007C563F"/>
    <w:rsid w:val="007C56BB"/>
    <w:rsid w:val="007C5A7B"/>
    <w:rsid w:val="007C5A92"/>
    <w:rsid w:val="007C5AE4"/>
    <w:rsid w:val="007C5E3B"/>
    <w:rsid w:val="007C619C"/>
    <w:rsid w:val="007C61E4"/>
    <w:rsid w:val="007C632F"/>
    <w:rsid w:val="007C6339"/>
    <w:rsid w:val="007C6347"/>
    <w:rsid w:val="007C6370"/>
    <w:rsid w:val="007C639D"/>
    <w:rsid w:val="007C6592"/>
    <w:rsid w:val="007C68F6"/>
    <w:rsid w:val="007C6EB4"/>
    <w:rsid w:val="007C7135"/>
    <w:rsid w:val="007C7330"/>
    <w:rsid w:val="007C7817"/>
    <w:rsid w:val="007C7823"/>
    <w:rsid w:val="007C7926"/>
    <w:rsid w:val="007C79E7"/>
    <w:rsid w:val="007C7B44"/>
    <w:rsid w:val="007C7C90"/>
    <w:rsid w:val="007C7CCA"/>
    <w:rsid w:val="007C7D49"/>
    <w:rsid w:val="007C7DCE"/>
    <w:rsid w:val="007C7F33"/>
    <w:rsid w:val="007C7F92"/>
    <w:rsid w:val="007CEF38"/>
    <w:rsid w:val="007D01E9"/>
    <w:rsid w:val="007D02CA"/>
    <w:rsid w:val="007D0336"/>
    <w:rsid w:val="007D0626"/>
    <w:rsid w:val="007D08EA"/>
    <w:rsid w:val="007D0986"/>
    <w:rsid w:val="007D0989"/>
    <w:rsid w:val="007D0A5F"/>
    <w:rsid w:val="007D0B13"/>
    <w:rsid w:val="007D0BA4"/>
    <w:rsid w:val="007D0CBB"/>
    <w:rsid w:val="007D0E9B"/>
    <w:rsid w:val="007D1022"/>
    <w:rsid w:val="007D1148"/>
    <w:rsid w:val="007D133D"/>
    <w:rsid w:val="007D13E9"/>
    <w:rsid w:val="007D15D7"/>
    <w:rsid w:val="007D181C"/>
    <w:rsid w:val="007D1984"/>
    <w:rsid w:val="007D1AB8"/>
    <w:rsid w:val="007D1D38"/>
    <w:rsid w:val="007D1D6B"/>
    <w:rsid w:val="007D1D96"/>
    <w:rsid w:val="007D20ED"/>
    <w:rsid w:val="007D221B"/>
    <w:rsid w:val="007D24D2"/>
    <w:rsid w:val="007D28ED"/>
    <w:rsid w:val="007D2F56"/>
    <w:rsid w:val="007D2F93"/>
    <w:rsid w:val="007D315D"/>
    <w:rsid w:val="007D31A9"/>
    <w:rsid w:val="007D346E"/>
    <w:rsid w:val="007D35A8"/>
    <w:rsid w:val="007D39C3"/>
    <w:rsid w:val="007D3AEE"/>
    <w:rsid w:val="007D3B3E"/>
    <w:rsid w:val="007D3BC2"/>
    <w:rsid w:val="007D3D89"/>
    <w:rsid w:val="007D3DF9"/>
    <w:rsid w:val="007D3EC5"/>
    <w:rsid w:val="007D3F7A"/>
    <w:rsid w:val="007D4082"/>
    <w:rsid w:val="007D4386"/>
    <w:rsid w:val="007D44DC"/>
    <w:rsid w:val="007D457C"/>
    <w:rsid w:val="007D47AC"/>
    <w:rsid w:val="007D480B"/>
    <w:rsid w:val="007D488E"/>
    <w:rsid w:val="007D48B0"/>
    <w:rsid w:val="007D4A17"/>
    <w:rsid w:val="007D4B39"/>
    <w:rsid w:val="007D4D98"/>
    <w:rsid w:val="007D4EA3"/>
    <w:rsid w:val="007D4EE7"/>
    <w:rsid w:val="007D502A"/>
    <w:rsid w:val="007D5263"/>
    <w:rsid w:val="007D52DE"/>
    <w:rsid w:val="007D540A"/>
    <w:rsid w:val="007D5615"/>
    <w:rsid w:val="007D58D0"/>
    <w:rsid w:val="007D59A1"/>
    <w:rsid w:val="007D5AD1"/>
    <w:rsid w:val="007D5BB1"/>
    <w:rsid w:val="007D5BBF"/>
    <w:rsid w:val="007D5E90"/>
    <w:rsid w:val="007D5FC3"/>
    <w:rsid w:val="007D60C8"/>
    <w:rsid w:val="007D6147"/>
    <w:rsid w:val="007D6535"/>
    <w:rsid w:val="007D659E"/>
    <w:rsid w:val="007D680A"/>
    <w:rsid w:val="007D684A"/>
    <w:rsid w:val="007D694F"/>
    <w:rsid w:val="007D6A71"/>
    <w:rsid w:val="007D6B4E"/>
    <w:rsid w:val="007D6B56"/>
    <w:rsid w:val="007D6B9F"/>
    <w:rsid w:val="007D6E1C"/>
    <w:rsid w:val="007D6E21"/>
    <w:rsid w:val="007D7092"/>
    <w:rsid w:val="007D720C"/>
    <w:rsid w:val="007D757E"/>
    <w:rsid w:val="007D75A3"/>
    <w:rsid w:val="007D7B59"/>
    <w:rsid w:val="007D7CF2"/>
    <w:rsid w:val="007D7CF3"/>
    <w:rsid w:val="007D7D7E"/>
    <w:rsid w:val="007D7F22"/>
    <w:rsid w:val="007D7F49"/>
    <w:rsid w:val="007E011D"/>
    <w:rsid w:val="007E0211"/>
    <w:rsid w:val="007E02D3"/>
    <w:rsid w:val="007E04A9"/>
    <w:rsid w:val="007E096A"/>
    <w:rsid w:val="007E0AD8"/>
    <w:rsid w:val="007E0D1C"/>
    <w:rsid w:val="007E0E38"/>
    <w:rsid w:val="007E128B"/>
    <w:rsid w:val="007E1380"/>
    <w:rsid w:val="007E13E2"/>
    <w:rsid w:val="007E15C7"/>
    <w:rsid w:val="007E17AB"/>
    <w:rsid w:val="007E1828"/>
    <w:rsid w:val="007E1A49"/>
    <w:rsid w:val="007E1C8B"/>
    <w:rsid w:val="007E1D1F"/>
    <w:rsid w:val="007E1DCD"/>
    <w:rsid w:val="007E1E4A"/>
    <w:rsid w:val="007E1E92"/>
    <w:rsid w:val="007E1EA7"/>
    <w:rsid w:val="007E21A1"/>
    <w:rsid w:val="007E23AB"/>
    <w:rsid w:val="007E24F8"/>
    <w:rsid w:val="007E2598"/>
    <w:rsid w:val="007E276F"/>
    <w:rsid w:val="007E2B3B"/>
    <w:rsid w:val="007E2B5E"/>
    <w:rsid w:val="007E2C25"/>
    <w:rsid w:val="007E2D74"/>
    <w:rsid w:val="007E2DA1"/>
    <w:rsid w:val="007E2F2C"/>
    <w:rsid w:val="007E2FEB"/>
    <w:rsid w:val="007E30BA"/>
    <w:rsid w:val="007E326E"/>
    <w:rsid w:val="007E33D2"/>
    <w:rsid w:val="007E340C"/>
    <w:rsid w:val="007E3575"/>
    <w:rsid w:val="007E357D"/>
    <w:rsid w:val="007E36DB"/>
    <w:rsid w:val="007E3701"/>
    <w:rsid w:val="007E3841"/>
    <w:rsid w:val="007E39C2"/>
    <w:rsid w:val="007E3B47"/>
    <w:rsid w:val="007E3B48"/>
    <w:rsid w:val="007E3BBC"/>
    <w:rsid w:val="007E3CBC"/>
    <w:rsid w:val="007E3D69"/>
    <w:rsid w:val="007E3DEB"/>
    <w:rsid w:val="007E3F3E"/>
    <w:rsid w:val="007E3F51"/>
    <w:rsid w:val="007E400B"/>
    <w:rsid w:val="007E40A7"/>
    <w:rsid w:val="007E40B8"/>
    <w:rsid w:val="007E4116"/>
    <w:rsid w:val="007E4187"/>
    <w:rsid w:val="007E41C1"/>
    <w:rsid w:val="007E427C"/>
    <w:rsid w:val="007E43B9"/>
    <w:rsid w:val="007E4608"/>
    <w:rsid w:val="007E46A3"/>
    <w:rsid w:val="007E4722"/>
    <w:rsid w:val="007E47F6"/>
    <w:rsid w:val="007E49A8"/>
    <w:rsid w:val="007E49D7"/>
    <w:rsid w:val="007E4B56"/>
    <w:rsid w:val="007E4EB4"/>
    <w:rsid w:val="007E4EE3"/>
    <w:rsid w:val="007E4F26"/>
    <w:rsid w:val="007E507A"/>
    <w:rsid w:val="007E51F5"/>
    <w:rsid w:val="007E54CF"/>
    <w:rsid w:val="007E5565"/>
    <w:rsid w:val="007E568B"/>
    <w:rsid w:val="007E5757"/>
    <w:rsid w:val="007E585E"/>
    <w:rsid w:val="007E5CCB"/>
    <w:rsid w:val="007E5CE5"/>
    <w:rsid w:val="007E5D4E"/>
    <w:rsid w:val="007E5D76"/>
    <w:rsid w:val="007E5DC7"/>
    <w:rsid w:val="007E5F86"/>
    <w:rsid w:val="007E609E"/>
    <w:rsid w:val="007E623D"/>
    <w:rsid w:val="007E6291"/>
    <w:rsid w:val="007E65C1"/>
    <w:rsid w:val="007E689F"/>
    <w:rsid w:val="007E69B8"/>
    <w:rsid w:val="007E69BC"/>
    <w:rsid w:val="007E6B8F"/>
    <w:rsid w:val="007E6BC0"/>
    <w:rsid w:val="007E6C4B"/>
    <w:rsid w:val="007E6C95"/>
    <w:rsid w:val="007E6DB4"/>
    <w:rsid w:val="007E6F43"/>
    <w:rsid w:val="007E6F78"/>
    <w:rsid w:val="007E6FDA"/>
    <w:rsid w:val="007E7092"/>
    <w:rsid w:val="007E70C0"/>
    <w:rsid w:val="007E7241"/>
    <w:rsid w:val="007E72D3"/>
    <w:rsid w:val="007E7394"/>
    <w:rsid w:val="007E739D"/>
    <w:rsid w:val="007E7607"/>
    <w:rsid w:val="007E77CA"/>
    <w:rsid w:val="007E77D2"/>
    <w:rsid w:val="007E7841"/>
    <w:rsid w:val="007E7878"/>
    <w:rsid w:val="007E7A51"/>
    <w:rsid w:val="007E7C89"/>
    <w:rsid w:val="007E7CCD"/>
    <w:rsid w:val="007E7D16"/>
    <w:rsid w:val="007E7D1A"/>
    <w:rsid w:val="007E7D6B"/>
    <w:rsid w:val="007E7EA9"/>
    <w:rsid w:val="007F0676"/>
    <w:rsid w:val="007F08FB"/>
    <w:rsid w:val="007F0A0C"/>
    <w:rsid w:val="007F0CD1"/>
    <w:rsid w:val="007F0DF1"/>
    <w:rsid w:val="007F1302"/>
    <w:rsid w:val="007F1401"/>
    <w:rsid w:val="007F141E"/>
    <w:rsid w:val="007F1421"/>
    <w:rsid w:val="007F15EA"/>
    <w:rsid w:val="007F15EC"/>
    <w:rsid w:val="007F1667"/>
    <w:rsid w:val="007F167C"/>
    <w:rsid w:val="007F17C1"/>
    <w:rsid w:val="007F19D1"/>
    <w:rsid w:val="007F1AE1"/>
    <w:rsid w:val="007F1BCB"/>
    <w:rsid w:val="007F1C47"/>
    <w:rsid w:val="007F1D37"/>
    <w:rsid w:val="007F1DE2"/>
    <w:rsid w:val="007F1F91"/>
    <w:rsid w:val="007F20BF"/>
    <w:rsid w:val="007F2176"/>
    <w:rsid w:val="007F2327"/>
    <w:rsid w:val="007F2429"/>
    <w:rsid w:val="007F255C"/>
    <w:rsid w:val="007F25F2"/>
    <w:rsid w:val="007F2690"/>
    <w:rsid w:val="007F2729"/>
    <w:rsid w:val="007F273E"/>
    <w:rsid w:val="007F280A"/>
    <w:rsid w:val="007F2854"/>
    <w:rsid w:val="007F2860"/>
    <w:rsid w:val="007F2895"/>
    <w:rsid w:val="007F2B55"/>
    <w:rsid w:val="007F2C60"/>
    <w:rsid w:val="007F2D90"/>
    <w:rsid w:val="007F2FB9"/>
    <w:rsid w:val="007F3196"/>
    <w:rsid w:val="007F323F"/>
    <w:rsid w:val="007F3241"/>
    <w:rsid w:val="007F352E"/>
    <w:rsid w:val="007F3594"/>
    <w:rsid w:val="007F36C8"/>
    <w:rsid w:val="007F377D"/>
    <w:rsid w:val="007F385D"/>
    <w:rsid w:val="007F38D6"/>
    <w:rsid w:val="007F39C3"/>
    <w:rsid w:val="007F3C3A"/>
    <w:rsid w:val="007F3D1E"/>
    <w:rsid w:val="007F3DCF"/>
    <w:rsid w:val="007F3F0A"/>
    <w:rsid w:val="007F3F68"/>
    <w:rsid w:val="007F3F78"/>
    <w:rsid w:val="007F40C9"/>
    <w:rsid w:val="007F41FD"/>
    <w:rsid w:val="007F4255"/>
    <w:rsid w:val="007F4359"/>
    <w:rsid w:val="007F4368"/>
    <w:rsid w:val="007F46A1"/>
    <w:rsid w:val="007F4728"/>
    <w:rsid w:val="007F47D1"/>
    <w:rsid w:val="007F484E"/>
    <w:rsid w:val="007F48FB"/>
    <w:rsid w:val="007F4A53"/>
    <w:rsid w:val="007F4AFD"/>
    <w:rsid w:val="007F4BB1"/>
    <w:rsid w:val="007F4C01"/>
    <w:rsid w:val="007F4C05"/>
    <w:rsid w:val="007F4C1D"/>
    <w:rsid w:val="007F4C41"/>
    <w:rsid w:val="007F4C60"/>
    <w:rsid w:val="007F4D96"/>
    <w:rsid w:val="007F4E83"/>
    <w:rsid w:val="007F4ECF"/>
    <w:rsid w:val="007F5149"/>
    <w:rsid w:val="007F517F"/>
    <w:rsid w:val="007F5194"/>
    <w:rsid w:val="007F51F0"/>
    <w:rsid w:val="007F52AE"/>
    <w:rsid w:val="007F52F2"/>
    <w:rsid w:val="007F5731"/>
    <w:rsid w:val="007F59E8"/>
    <w:rsid w:val="007F5BF6"/>
    <w:rsid w:val="007F5F7F"/>
    <w:rsid w:val="007F60B8"/>
    <w:rsid w:val="007F6147"/>
    <w:rsid w:val="007F6195"/>
    <w:rsid w:val="007F671C"/>
    <w:rsid w:val="007F676C"/>
    <w:rsid w:val="007F6791"/>
    <w:rsid w:val="007F6871"/>
    <w:rsid w:val="007F691C"/>
    <w:rsid w:val="007F70B0"/>
    <w:rsid w:val="007F710E"/>
    <w:rsid w:val="007F719B"/>
    <w:rsid w:val="007F7482"/>
    <w:rsid w:val="007F74BC"/>
    <w:rsid w:val="007F7505"/>
    <w:rsid w:val="007F750A"/>
    <w:rsid w:val="007F767F"/>
    <w:rsid w:val="007F7954"/>
    <w:rsid w:val="007F79C9"/>
    <w:rsid w:val="007F7A42"/>
    <w:rsid w:val="007F7C4B"/>
    <w:rsid w:val="007F7CFE"/>
    <w:rsid w:val="007F7EC8"/>
    <w:rsid w:val="007F7EEE"/>
    <w:rsid w:val="007FB2A0"/>
    <w:rsid w:val="008000F8"/>
    <w:rsid w:val="00800448"/>
    <w:rsid w:val="00800569"/>
    <w:rsid w:val="00800595"/>
    <w:rsid w:val="00800607"/>
    <w:rsid w:val="00800633"/>
    <w:rsid w:val="008008DA"/>
    <w:rsid w:val="00800936"/>
    <w:rsid w:val="00800BEB"/>
    <w:rsid w:val="00800D5C"/>
    <w:rsid w:val="00800DFC"/>
    <w:rsid w:val="00800FFD"/>
    <w:rsid w:val="00801151"/>
    <w:rsid w:val="00801268"/>
    <w:rsid w:val="00801315"/>
    <w:rsid w:val="00801571"/>
    <w:rsid w:val="008015B2"/>
    <w:rsid w:val="008016E1"/>
    <w:rsid w:val="0080194B"/>
    <w:rsid w:val="0080196E"/>
    <w:rsid w:val="00801982"/>
    <w:rsid w:val="008019E1"/>
    <w:rsid w:val="00801B2D"/>
    <w:rsid w:val="00801D7C"/>
    <w:rsid w:val="00801E36"/>
    <w:rsid w:val="00801E98"/>
    <w:rsid w:val="00801F4B"/>
    <w:rsid w:val="00802208"/>
    <w:rsid w:val="008023C8"/>
    <w:rsid w:val="00802408"/>
    <w:rsid w:val="00802450"/>
    <w:rsid w:val="0080249A"/>
    <w:rsid w:val="00802573"/>
    <w:rsid w:val="0080264C"/>
    <w:rsid w:val="00802921"/>
    <w:rsid w:val="008029F6"/>
    <w:rsid w:val="00802B7D"/>
    <w:rsid w:val="00802CDA"/>
    <w:rsid w:val="00802D97"/>
    <w:rsid w:val="00802DF1"/>
    <w:rsid w:val="00802ED9"/>
    <w:rsid w:val="00802FDB"/>
    <w:rsid w:val="00803288"/>
    <w:rsid w:val="00803445"/>
    <w:rsid w:val="00803537"/>
    <w:rsid w:val="008037D9"/>
    <w:rsid w:val="0080381A"/>
    <w:rsid w:val="00803976"/>
    <w:rsid w:val="008039A9"/>
    <w:rsid w:val="00803A52"/>
    <w:rsid w:val="00803A9E"/>
    <w:rsid w:val="00803AF4"/>
    <w:rsid w:val="00803CD9"/>
    <w:rsid w:val="00803D61"/>
    <w:rsid w:val="00803E73"/>
    <w:rsid w:val="00803ED6"/>
    <w:rsid w:val="00803F45"/>
    <w:rsid w:val="00804000"/>
    <w:rsid w:val="0080404B"/>
    <w:rsid w:val="0080410F"/>
    <w:rsid w:val="0080413F"/>
    <w:rsid w:val="0080415E"/>
    <w:rsid w:val="00804167"/>
    <w:rsid w:val="008042C4"/>
    <w:rsid w:val="008042D6"/>
    <w:rsid w:val="008043C0"/>
    <w:rsid w:val="008043D3"/>
    <w:rsid w:val="0080441A"/>
    <w:rsid w:val="0080444B"/>
    <w:rsid w:val="00804556"/>
    <w:rsid w:val="00804628"/>
    <w:rsid w:val="0080477C"/>
    <w:rsid w:val="008047F0"/>
    <w:rsid w:val="008048D4"/>
    <w:rsid w:val="00804A89"/>
    <w:rsid w:val="00804C63"/>
    <w:rsid w:val="00804CD9"/>
    <w:rsid w:val="00804DE3"/>
    <w:rsid w:val="00804E53"/>
    <w:rsid w:val="00804E78"/>
    <w:rsid w:val="00804EF8"/>
    <w:rsid w:val="00804FB2"/>
    <w:rsid w:val="0080519C"/>
    <w:rsid w:val="008053AB"/>
    <w:rsid w:val="0080563B"/>
    <w:rsid w:val="008056E1"/>
    <w:rsid w:val="008057D7"/>
    <w:rsid w:val="00805B6E"/>
    <w:rsid w:val="00805E1D"/>
    <w:rsid w:val="008061CF"/>
    <w:rsid w:val="008064B2"/>
    <w:rsid w:val="00806730"/>
    <w:rsid w:val="008067CF"/>
    <w:rsid w:val="0080689A"/>
    <w:rsid w:val="00806A2C"/>
    <w:rsid w:val="00806BF0"/>
    <w:rsid w:val="00806C57"/>
    <w:rsid w:val="00806C64"/>
    <w:rsid w:val="00806C7B"/>
    <w:rsid w:val="00806C95"/>
    <w:rsid w:val="00806CE7"/>
    <w:rsid w:val="00806F85"/>
    <w:rsid w:val="008070A3"/>
    <w:rsid w:val="0080718D"/>
    <w:rsid w:val="008071D0"/>
    <w:rsid w:val="008073BC"/>
    <w:rsid w:val="00807491"/>
    <w:rsid w:val="0080784D"/>
    <w:rsid w:val="008078AC"/>
    <w:rsid w:val="008078F7"/>
    <w:rsid w:val="00807902"/>
    <w:rsid w:val="00807A49"/>
    <w:rsid w:val="00807E87"/>
    <w:rsid w:val="00807EC4"/>
    <w:rsid w:val="0081003C"/>
    <w:rsid w:val="0081010F"/>
    <w:rsid w:val="00810282"/>
    <w:rsid w:val="008103B2"/>
    <w:rsid w:val="008109C8"/>
    <w:rsid w:val="00810A4F"/>
    <w:rsid w:val="00810B2F"/>
    <w:rsid w:val="00810BB4"/>
    <w:rsid w:val="00810C14"/>
    <w:rsid w:val="00810C90"/>
    <w:rsid w:val="00810CCD"/>
    <w:rsid w:val="00810D6A"/>
    <w:rsid w:val="00810FC8"/>
    <w:rsid w:val="0081117D"/>
    <w:rsid w:val="0081127B"/>
    <w:rsid w:val="00811289"/>
    <w:rsid w:val="008113D3"/>
    <w:rsid w:val="008113EF"/>
    <w:rsid w:val="008114D2"/>
    <w:rsid w:val="008114E6"/>
    <w:rsid w:val="00811792"/>
    <w:rsid w:val="008117B5"/>
    <w:rsid w:val="008118D8"/>
    <w:rsid w:val="00811972"/>
    <w:rsid w:val="00811A74"/>
    <w:rsid w:val="00811AA2"/>
    <w:rsid w:val="00811BC6"/>
    <w:rsid w:val="00811F47"/>
    <w:rsid w:val="00811FC3"/>
    <w:rsid w:val="00811FC7"/>
    <w:rsid w:val="0081201E"/>
    <w:rsid w:val="0081204A"/>
    <w:rsid w:val="00812263"/>
    <w:rsid w:val="0081254A"/>
    <w:rsid w:val="008125AB"/>
    <w:rsid w:val="008125F8"/>
    <w:rsid w:val="00812736"/>
    <w:rsid w:val="008127F4"/>
    <w:rsid w:val="0081299A"/>
    <w:rsid w:val="00812C91"/>
    <w:rsid w:val="00812D6F"/>
    <w:rsid w:val="00812F21"/>
    <w:rsid w:val="00812F6D"/>
    <w:rsid w:val="008130D4"/>
    <w:rsid w:val="008137E2"/>
    <w:rsid w:val="00813967"/>
    <w:rsid w:val="00813A84"/>
    <w:rsid w:val="00813C57"/>
    <w:rsid w:val="00813F64"/>
    <w:rsid w:val="008140B0"/>
    <w:rsid w:val="0081417F"/>
    <w:rsid w:val="00814220"/>
    <w:rsid w:val="00814359"/>
    <w:rsid w:val="008144C4"/>
    <w:rsid w:val="00814685"/>
    <w:rsid w:val="00814815"/>
    <w:rsid w:val="00814821"/>
    <w:rsid w:val="00814833"/>
    <w:rsid w:val="008148F6"/>
    <w:rsid w:val="0081497B"/>
    <w:rsid w:val="00814AED"/>
    <w:rsid w:val="00814B89"/>
    <w:rsid w:val="00814E71"/>
    <w:rsid w:val="00814FF6"/>
    <w:rsid w:val="008152AB"/>
    <w:rsid w:val="008154DD"/>
    <w:rsid w:val="0081571D"/>
    <w:rsid w:val="0081576B"/>
    <w:rsid w:val="00815774"/>
    <w:rsid w:val="00815856"/>
    <w:rsid w:val="00815A03"/>
    <w:rsid w:val="00815B25"/>
    <w:rsid w:val="00815CEC"/>
    <w:rsid w:val="00815CED"/>
    <w:rsid w:val="00815D84"/>
    <w:rsid w:val="00815E9D"/>
    <w:rsid w:val="00815F18"/>
    <w:rsid w:val="00815FC3"/>
    <w:rsid w:val="00816056"/>
    <w:rsid w:val="00816179"/>
    <w:rsid w:val="00816236"/>
    <w:rsid w:val="008162BA"/>
    <w:rsid w:val="008162C4"/>
    <w:rsid w:val="0081640F"/>
    <w:rsid w:val="00816973"/>
    <w:rsid w:val="00816AA9"/>
    <w:rsid w:val="00816AB5"/>
    <w:rsid w:val="00816B20"/>
    <w:rsid w:val="00816B77"/>
    <w:rsid w:val="00816BCC"/>
    <w:rsid w:val="00816C9E"/>
    <w:rsid w:val="00816FFA"/>
    <w:rsid w:val="0081708A"/>
    <w:rsid w:val="00817236"/>
    <w:rsid w:val="0081726D"/>
    <w:rsid w:val="008172A9"/>
    <w:rsid w:val="008174F3"/>
    <w:rsid w:val="00817783"/>
    <w:rsid w:val="008177E5"/>
    <w:rsid w:val="00817910"/>
    <w:rsid w:val="00817FB5"/>
    <w:rsid w:val="00817FB9"/>
    <w:rsid w:val="0082015D"/>
    <w:rsid w:val="0082036C"/>
    <w:rsid w:val="008203B9"/>
    <w:rsid w:val="008203BB"/>
    <w:rsid w:val="00820439"/>
    <w:rsid w:val="00820485"/>
    <w:rsid w:val="008205EE"/>
    <w:rsid w:val="008206B6"/>
    <w:rsid w:val="0082076D"/>
    <w:rsid w:val="00820A93"/>
    <w:rsid w:val="00820BC0"/>
    <w:rsid w:val="00820C1F"/>
    <w:rsid w:val="00820C4B"/>
    <w:rsid w:val="00820E34"/>
    <w:rsid w:val="00820E81"/>
    <w:rsid w:val="00820F8A"/>
    <w:rsid w:val="008211B0"/>
    <w:rsid w:val="008211CD"/>
    <w:rsid w:val="0082129B"/>
    <w:rsid w:val="00821391"/>
    <w:rsid w:val="00821555"/>
    <w:rsid w:val="00821A5C"/>
    <w:rsid w:val="00821BF1"/>
    <w:rsid w:val="00821E80"/>
    <w:rsid w:val="00822122"/>
    <w:rsid w:val="00822240"/>
    <w:rsid w:val="008225CE"/>
    <w:rsid w:val="0082268A"/>
    <w:rsid w:val="00822CDC"/>
    <w:rsid w:val="00822CE2"/>
    <w:rsid w:val="00822D38"/>
    <w:rsid w:val="00822E0B"/>
    <w:rsid w:val="00823124"/>
    <w:rsid w:val="00823129"/>
    <w:rsid w:val="008231A1"/>
    <w:rsid w:val="00823217"/>
    <w:rsid w:val="0082332B"/>
    <w:rsid w:val="008235EE"/>
    <w:rsid w:val="00823840"/>
    <w:rsid w:val="00823861"/>
    <w:rsid w:val="00823A37"/>
    <w:rsid w:val="00823AAB"/>
    <w:rsid w:val="00823B1F"/>
    <w:rsid w:val="00823B50"/>
    <w:rsid w:val="00823BB8"/>
    <w:rsid w:val="00823CAB"/>
    <w:rsid w:val="00823E57"/>
    <w:rsid w:val="0082433E"/>
    <w:rsid w:val="0082443C"/>
    <w:rsid w:val="008245A7"/>
    <w:rsid w:val="008245E6"/>
    <w:rsid w:val="0082470D"/>
    <w:rsid w:val="00824A09"/>
    <w:rsid w:val="00824A58"/>
    <w:rsid w:val="00824ADD"/>
    <w:rsid w:val="00824B68"/>
    <w:rsid w:val="00824B79"/>
    <w:rsid w:val="00824D24"/>
    <w:rsid w:val="00824DDA"/>
    <w:rsid w:val="00825471"/>
    <w:rsid w:val="0082555F"/>
    <w:rsid w:val="0082559F"/>
    <w:rsid w:val="008255B2"/>
    <w:rsid w:val="008255DC"/>
    <w:rsid w:val="00825611"/>
    <w:rsid w:val="008257CA"/>
    <w:rsid w:val="008258A8"/>
    <w:rsid w:val="00825BF9"/>
    <w:rsid w:val="00825C27"/>
    <w:rsid w:val="00825CAE"/>
    <w:rsid w:val="00825D59"/>
    <w:rsid w:val="00825F5C"/>
    <w:rsid w:val="00826055"/>
    <w:rsid w:val="008263A8"/>
    <w:rsid w:val="008264E0"/>
    <w:rsid w:val="008265C4"/>
    <w:rsid w:val="0082667E"/>
    <w:rsid w:val="00826856"/>
    <w:rsid w:val="00826AE5"/>
    <w:rsid w:val="00826C4A"/>
    <w:rsid w:val="00826DC7"/>
    <w:rsid w:val="00826E4A"/>
    <w:rsid w:val="00826FD1"/>
    <w:rsid w:val="00827227"/>
    <w:rsid w:val="008273E0"/>
    <w:rsid w:val="00827509"/>
    <w:rsid w:val="0082755B"/>
    <w:rsid w:val="008275A3"/>
    <w:rsid w:val="008278F2"/>
    <w:rsid w:val="0082791E"/>
    <w:rsid w:val="00827C61"/>
    <w:rsid w:val="00827C6F"/>
    <w:rsid w:val="00827CB2"/>
    <w:rsid w:val="00827D45"/>
    <w:rsid w:val="00827F7B"/>
    <w:rsid w:val="00827F7E"/>
    <w:rsid w:val="00830005"/>
    <w:rsid w:val="00830482"/>
    <w:rsid w:val="008307E8"/>
    <w:rsid w:val="0083080A"/>
    <w:rsid w:val="00830836"/>
    <w:rsid w:val="00830878"/>
    <w:rsid w:val="008308EF"/>
    <w:rsid w:val="00830984"/>
    <w:rsid w:val="00830A34"/>
    <w:rsid w:val="00830AB3"/>
    <w:rsid w:val="00830B90"/>
    <w:rsid w:val="00830C20"/>
    <w:rsid w:val="00830C36"/>
    <w:rsid w:val="00830C3B"/>
    <w:rsid w:val="00830C47"/>
    <w:rsid w:val="00830D83"/>
    <w:rsid w:val="00830E08"/>
    <w:rsid w:val="00831037"/>
    <w:rsid w:val="00831229"/>
    <w:rsid w:val="008317DB"/>
    <w:rsid w:val="00831C97"/>
    <w:rsid w:val="00831E9B"/>
    <w:rsid w:val="00831F4C"/>
    <w:rsid w:val="00832116"/>
    <w:rsid w:val="008321E7"/>
    <w:rsid w:val="008328A2"/>
    <w:rsid w:val="00832935"/>
    <w:rsid w:val="00832996"/>
    <w:rsid w:val="00832A7C"/>
    <w:rsid w:val="00832EA5"/>
    <w:rsid w:val="008330A6"/>
    <w:rsid w:val="0083311C"/>
    <w:rsid w:val="00833127"/>
    <w:rsid w:val="008332D4"/>
    <w:rsid w:val="008333FB"/>
    <w:rsid w:val="008335B7"/>
    <w:rsid w:val="008336CC"/>
    <w:rsid w:val="00833B71"/>
    <w:rsid w:val="00833CCB"/>
    <w:rsid w:val="00833DC7"/>
    <w:rsid w:val="00833E47"/>
    <w:rsid w:val="00833EAA"/>
    <w:rsid w:val="00833EFD"/>
    <w:rsid w:val="008340C9"/>
    <w:rsid w:val="0083427A"/>
    <w:rsid w:val="00834527"/>
    <w:rsid w:val="00834832"/>
    <w:rsid w:val="00834A49"/>
    <w:rsid w:val="00834C48"/>
    <w:rsid w:val="00834CAE"/>
    <w:rsid w:val="00834E30"/>
    <w:rsid w:val="00834E83"/>
    <w:rsid w:val="00835107"/>
    <w:rsid w:val="00835161"/>
    <w:rsid w:val="00835178"/>
    <w:rsid w:val="00835249"/>
    <w:rsid w:val="0083540C"/>
    <w:rsid w:val="0083554A"/>
    <w:rsid w:val="0083559A"/>
    <w:rsid w:val="008356E9"/>
    <w:rsid w:val="008357C4"/>
    <w:rsid w:val="0083589E"/>
    <w:rsid w:val="00835971"/>
    <w:rsid w:val="008359B6"/>
    <w:rsid w:val="008359B7"/>
    <w:rsid w:val="008359BD"/>
    <w:rsid w:val="00835AC5"/>
    <w:rsid w:val="00835CA4"/>
    <w:rsid w:val="00835D58"/>
    <w:rsid w:val="0083600D"/>
    <w:rsid w:val="0083602F"/>
    <w:rsid w:val="0083611B"/>
    <w:rsid w:val="008361FB"/>
    <w:rsid w:val="00836613"/>
    <w:rsid w:val="00836707"/>
    <w:rsid w:val="00836854"/>
    <w:rsid w:val="00836904"/>
    <w:rsid w:val="00836AAA"/>
    <w:rsid w:val="00836D08"/>
    <w:rsid w:val="008370B1"/>
    <w:rsid w:val="0083710B"/>
    <w:rsid w:val="008371D0"/>
    <w:rsid w:val="008371FC"/>
    <w:rsid w:val="0083735F"/>
    <w:rsid w:val="00837456"/>
    <w:rsid w:val="008375B5"/>
    <w:rsid w:val="008375D2"/>
    <w:rsid w:val="008376D8"/>
    <w:rsid w:val="008379C4"/>
    <w:rsid w:val="00837B73"/>
    <w:rsid w:val="00837C2C"/>
    <w:rsid w:val="00837CF7"/>
    <w:rsid w:val="00837D1F"/>
    <w:rsid w:val="00837FB2"/>
    <w:rsid w:val="008401D2"/>
    <w:rsid w:val="008401EF"/>
    <w:rsid w:val="00840406"/>
    <w:rsid w:val="008406AE"/>
    <w:rsid w:val="0084077D"/>
    <w:rsid w:val="00840BDE"/>
    <w:rsid w:val="00840C8C"/>
    <w:rsid w:val="00840CC2"/>
    <w:rsid w:val="00840F7F"/>
    <w:rsid w:val="00841109"/>
    <w:rsid w:val="00841154"/>
    <w:rsid w:val="0084118F"/>
    <w:rsid w:val="008412B4"/>
    <w:rsid w:val="00841484"/>
    <w:rsid w:val="00841554"/>
    <w:rsid w:val="00841564"/>
    <w:rsid w:val="008418DC"/>
    <w:rsid w:val="0084193E"/>
    <w:rsid w:val="00841BC3"/>
    <w:rsid w:val="00841C8C"/>
    <w:rsid w:val="00841DE3"/>
    <w:rsid w:val="00841E46"/>
    <w:rsid w:val="0084204B"/>
    <w:rsid w:val="008420FA"/>
    <w:rsid w:val="00842114"/>
    <w:rsid w:val="00842226"/>
    <w:rsid w:val="00842277"/>
    <w:rsid w:val="008424C1"/>
    <w:rsid w:val="00842509"/>
    <w:rsid w:val="00842543"/>
    <w:rsid w:val="008427D0"/>
    <w:rsid w:val="00842CAF"/>
    <w:rsid w:val="00842D71"/>
    <w:rsid w:val="00842F2B"/>
    <w:rsid w:val="00842F5D"/>
    <w:rsid w:val="00842F8F"/>
    <w:rsid w:val="0084300F"/>
    <w:rsid w:val="0084309B"/>
    <w:rsid w:val="008430C3"/>
    <w:rsid w:val="0084358E"/>
    <w:rsid w:val="00843730"/>
    <w:rsid w:val="0084391F"/>
    <w:rsid w:val="00843A70"/>
    <w:rsid w:val="00843AEE"/>
    <w:rsid w:val="00843C53"/>
    <w:rsid w:val="00843E2F"/>
    <w:rsid w:val="00843E8A"/>
    <w:rsid w:val="008440DE"/>
    <w:rsid w:val="0084415C"/>
    <w:rsid w:val="0084420C"/>
    <w:rsid w:val="008442CC"/>
    <w:rsid w:val="008442D9"/>
    <w:rsid w:val="0084465D"/>
    <w:rsid w:val="008447A7"/>
    <w:rsid w:val="008448BF"/>
    <w:rsid w:val="00844A6D"/>
    <w:rsid w:val="00844A73"/>
    <w:rsid w:val="00844C4C"/>
    <w:rsid w:val="00844C92"/>
    <w:rsid w:val="008450EC"/>
    <w:rsid w:val="00845483"/>
    <w:rsid w:val="008455E0"/>
    <w:rsid w:val="008456A5"/>
    <w:rsid w:val="00845719"/>
    <w:rsid w:val="008457ED"/>
    <w:rsid w:val="0084584A"/>
    <w:rsid w:val="00845A25"/>
    <w:rsid w:val="00845A44"/>
    <w:rsid w:val="00845ABE"/>
    <w:rsid w:val="00845C43"/>
    <w:rsid w:val="0084600C"/>
    <w:rsid w:val="008460F3"/>
    <w:rsid w:val="008461DF"/>
    <w:rsid w:val="00846210"/>
    <w:rsid w:val="00846291"/>
    <w:rsid w:val="00846330"/>
    <w:rsid w:val="008463B6"/>
    <w:rsid w:val="00846418"/>
    <w:rsid w:val="008464A3"/>
    <w:rsid w:val="00846516"/>
    <w:rsid w:val="00846795"/>
    <w:rsid w:val="00846B58"/>
    <w:rsid w:val="00846CCA"/>
    <w:rsid w:val="00846D78"/>
    <w:rsid w:val="00846DC8"/>
    <w:rsid w:val="00846EE5"/>
    <w:rsid w:val="008470FE"/>
    <w:rsid w:val="0084740E"/>
    <w:rsid w:val="008474B2"/>
    <w:rsid w:val="00847527"/>
    <w:rsid w:val="008476B8"/>
    <w:rsid w:val="00847A92"/>
    <w:rsid w:val="00847B76"/>
    <w:rsid w:val="00847C2D"/>
    <w:rsid w:val="00847C30"/>
    <w:rsid w:val="00847CC9"/>
    <w:rsid w:val="00847D24"/>
    <w:rsid w:val="00847E1B"/>
    <w:rsid w:val="00847E4F"/>
    <w:rsid w:val="0085015D"/>
    <w:rsid w:val="00850350"/>
    <w:rsid w:val="0085062B"/>
    <w:rsid w:val="008506AD"/>
    <w:rsid w:val="00850799"/>
    <w:rsid w:val="0085093A"/>
    <w:rsid w:val="00850B0D"/>
    <w:rsid w:val="00850BEA"/>
    <w:rsid w:val="00850CB3"/>
    <w:rsid w:val="00850CDC"/>
    <w:rsid w:val="00850FAA"/>
    <w:rsid w:val="00851266"/>
    <w:rsid w:val="008513C7"/>
    <w:rsid w:val="008513CD"/>
    <w:rsid w:val="008514AE"/>
    <w:rsid w:val="00851668"/>
    <w:rsid w:val="008517E3"/>
    <w:rsid w:val="00851AD0"/>
    <w:rsid w:val="00851B56"/>
    <w:rsid w:val="00851C02"/>
    <w:rsid w:val="00851D22"/>
    <w:rsid w:val="00851D43"/>
    <w:rsid w:val="00851E42"/>
    <w:rsid w:val="00851EA3"/>
    <w:rsid w:val="00851F6D"/>
    <w:rsid w:val="00851F97"/>
    <w:rsid w:val="0085286F"/>
    <w:rsid w:val="00852926"/>
    <w:rsid w:val="0085294B"/>
    <w:rsid w:val="008529B8"/>
    <w:rsid w:val="00852A14"/>
    <w:rsid w:val="00852A7D"/>
    <w:rsid w:val="00852A9D"/>
    <w:rsid w:val="00852A9F"/>
    <w:rsid w:val="00852CD9"/>
    <w:rsid w:val="00852D0E"/>
    <w:rsid w:val="00852D2E"/>
    <w:rsid w:val="00852E08"/>
    <w:rsid w:val="00853135"/>
    <w:rsid w:val="008537BC"/>
    <w:rsid w:val="008537CE"/>
    <w:rsid w:val="00853811"/>
    <w:rsid w:val="00853A6F"/>
    <w:rsid w:val="00853AE3"/>
    <w:rsid w:val="00853E56"/>
    <w:rsid w:val="008541B1"/>
    <w:rsid w:val="008541E7"/>
    <w:rsid w:val="00854397"/>
    <w:rsid w:val="0085467B"/>
    <w:rsid w:val="008546FF"/>
    <w:rsid w:val="00854770"/>
    <w:rsid w:val="00854833"/>
    <w:rsid w:val="0085491A"/>
    <w:rsid w:val="008549DD"/>
    <w:rsid w:val="00854B44"/>
    <w:rsid w:val="00854B61"/>
    <w:rsid w:val="00854BCA"/>
    <w:rsid w:val="00854C3E"/>
    <w:rsid w:val="00854C82"/>
    <w:rsid w:val="00854D60"/>
    <w:rsid w:val="00854D6D"/>
    <w:rsid w:val="00854E01"/>
    <w:rsid w:val="00854E7E"/>
    <w:rsid w:val="008551BC"/>
    <w:rsid w:val="008552B0"/>
    <w:rsid w:val="0085537B"/>
    <w:rsid w:val="008554C3"/>
    <w:rsid w:val="008555CA"/>
    <w:rsid w:val="008555E2"/>
    <w:rsid w:val="00855634"/>
    <w:rsid w:val="0085573E"/>
    <w:rsid w:val="00855AC9"/>
    <w:rsid w:val="00855C8B"/>
    <w:rsid w:val="00855E71"/>
    <w:rsid w:val="00855EA1"/>
    <w:rsid w:val="00855EEB"/>
    <w:rsid w:val="008560E4"/>
    <w:rsid w:val="008561AB"/>
    <w:rsid w:val="008562E7"/>
    <w:rsid w:val="00856316"/>
    <w:rsid w:val="00856478"/>
    <w:rsid w:val="008566C0"/>
    <w:rsid w:val="0085679D"/>
    <w:rsid w:val="0085685A"/>
    <w:rsid w:val="0085688B"/>
    <w:rsid w:val="00856B68"/>
    <w:rsid w:val="00856C10"/>
    <w:rsid w:val="00856F50"/>
    <w:rsid w:val="00857066"/>
    <w:rsid w:val="00857121"/>
    <w:rsid w:val="00857187"/>
    <w:rsid w:val="0085735E"/>
    <w:rsid w:val="0085737A"/>
    <w:rsid w:val="00857425"/>
    <w:rsid w:val="0085743B"/>
    <w:rsid w:val="00857468"/>
    <w:rsid w:val="008574E8"/>
    <w:rsid w:val="0085761E"/>
    <w:rsid w:val="00857801"/>
    <w:rsid w:val="008578D9"/>
    <w:rsid w:val="0085791B"/>
    <w:rsid w:val="00857921"/>
    <w:rsid w:val="008579FF"/>
    <w:rsid w:val="00857A55"/>
    <w:rsid w:val="00857B3A"/>
    <w:rsid w:val="00857E56"/>
    <w:rsid w:val="00860218"/>
    <w:rsid w:val="0086023B"/>
    <w:rsid w:val="0086040C"/>
    <w:rsid w:val="00860514"/>
    <w:rsid w:val="008605D1"/>
    <w:rsid w:val="008605E9"/>
    <w:rsid w:val="008606DF"/>
    <w:rsid w:val="00860724"/>
    <w:rsid w:val="00860811"/>
    <w:rsid w:val="00860986"/>
    <w:rsid w:val="0086098F"/>
    <w:rsid w:val="00860A25"/>
    <w:rsid w:val="00860B4B"/>
    <w:rsid w:val="00860BAD"/>
    <w:rsid w:val="00860C1F"/>
    <w:rsid w:val="00860E4C"/>
    <w:rsid w:val="00860EA9"/>
    <w:rsid w:val="00860F21"/>
    <w:rsid w:val="00860FCC"/>
    <w:rsid w:val="0086100C"/>
    <w:rsid w:val="00861434"/>
    <w:rsid w:val="0086146D"/>
    <w:rsid w:val="00861547"/>
    <w:rsid w:val="008616E2"/>
    <w:rsid w:val="00861807"/>
    <w:rsid w:val="0086181D"/>
    <w:rsid w:val="0086184A"/>
    <w:rsid w:val="00861941"/>
    <w:rsid w:val="0086197A"/>
    <w:rsid w:val="00861C09"/>
    <w:rsid w:val="00861C95"/>
    <w:rsid w:val="00861CEB"/>
    <w:rsid w:val="00861DBE"/>
    <w:rsid w:val="00861F20"/>
    <w:rsid w:val="00862040"/>
    <w:rsid w:val="0086218E"/>
    <w:rsid w:val="0086228E"/>
    <w:rsid w:val="008623BB"/>
    <w:rsid w:val="0086242E"/>
    <w:rsid w:val="008625AA"/>
    <w:rsid w:val="008625B3"/>
    <w:rsid w:val="008625F1"/>
    <w:rsid w:val="00862703"/>
    <w:rsid w:val="008627DB"/>
    <w:rsid w:val="00862834"/>
    <w:rsid w:val="008628FF"/>
    <w:rsid w:val="00862AD9"/>
    <w:rsid w:val="00862AEF"/>
    <w:rsid w:val="00862B08"/>
    <w:rsid w:val="00862B6D"/>
    <w:rsid w:val="00862BBD"/>
    <w:rsid w:val="00862D7C"/>
    <w:rsid w:val="00862DFD"/>
    <w:rsid w:val="00862E70"/>
    <w:rsid w:val="00862EF6"/>
    <w:rsid w:val="00862F57"/>
    <w:rsid w:val="00863192"/>
    <w:rsid w:val="0086330C"/>
    <w:rsid w:val="00863457"/>
    <w:rsid w:val="0086349B"/>
    <w:rsid w:val="008634CD"/>
    <w:rsid w:val="008636A7"/>
    <w:rsid w:val="0086377B"/>
    <w:rsid w:val="0086394E"/>
    <w:rsid w:val="00863B6B"/>
    <w:rsid w:val="00863C32"/>
    <w:rsid w:val="00863E0C"/>
    <w:rsid w:val="008641B3"/>
    <w:rsid w:val="00864263"/>
    <w:rsid w:val="00864275"/>
    <w:rsid w:val="00864427"/>
    <w:rsid w:val="0086442A"/>
    <w:rsid w:val="00864473"/>
    <w:rsid w:val="00864505"/>
    <w:rsid w:val="008645CA"/>
    <w:rsid w:val="00864640"/>
    <w:rsid w:val="008647BF"/>
    <w:rsid w:val="00864914"/>
    <w:rsid w:val="008649C8"/>
    <w:rsid w:val="00864AF6"/>
    <w:rsid w:val="00864C00"/>
    <w:rsid w:val="00864E72"/>
    <w:rsid w:val="00865027"/>
    <w:rsid w:val="00865184"/>
    <w:rsid w:val="00865352"/>
    <w:rsid w:val="0086560F"/>
    <w:rsid w:val="0086566D"/>
    <w:rsid w:val="00865793"/>
    <w:rsid w:val="00865945"/>
    <w:rsid w:val="00865987"/>
    <w:rsid w:val="008659C2"/>
    <w:rsid w:val="008659DC"/>
    <w:rsid w:val="00865BC2"/>
    <w:rsid w:val="00865BC4"/>
    <w:rsid w:val="00865ED0"/>
    <w:rsid w:val="00865F15"/>
    <w:rsid w:val="0086605D"/>
    <w:rsid w:val="00866065"/>
    <w:rsid w:val="00866197"/>
    <w:rsid w:val="008661A7"/>
    <w:rsid w:val="0086626C"/>
    <w:rsid w:val="0086635E"/>
    <w:rsid w:val="0086645D"/>
    <w:rsid w:val="00866527"/>
    <w:rsid w:val="008665B9"/>
    <w:rsid w:val="00866672"/>
    <w:rsid w:val="00866C2B"/>
    <w:rsid w:val="00866C58"/>
    <w:rsid w:val="00866E22"/>
    <w:rsid w:val="00866FD2"/>
    <w:rsid w:val="00866FDC"/>
    <w:rsid w:val="0086725B"/>
    <w:rsid w:val="00867424"/>
    <w:rsid w:val="00867507"/>
    <w:rsid w:val="00867533"/>
    <w:rsid w:val="008675B3"/>
    <w:rsid w:val="0086764B"/>
    <w:rsid w:val="00867795"/>
    <w:rsid w:val="00867971"/>
    <w:rsid w:val="00867A5B"/>
    <w:rsid w:val="00867A6D"/>
    <w:rsid w:val="00867B87"/>
    <w:rsid w:val="00867C02"/>
    <w:rsid w:val="00867E5F"/>
    <w:rsid w:val="00867E7D"/>
    <w:rsid w:val="00867E91"/>
    <w:rsid w:val="00870093"/>
    <w:rsid w:val="00870126"/>
    <w:rsid w:val="00870165"/>
    <w:rsid w:val="00870232"/>
    <w:rsid w:val="008702EA"/>
    <w:rsid w:val="0087036A"/>
    <w:rsid w:val="008707C8"/>
    <w:rsid w:val="00870BF3"/>
    <w:rsid w:val="00870C15"/>
    <w:rsid w:val="00870C3A"/>
    <w:rsid w:val="00870CCB"/>
    <w:rsid w:val="00870DF3"/>
    <w:rsid w:val="00870F27"/>
    <w:rsid w:val="00870FD9"/>
    <w:rsid w:val="00871020"/>
    <w:rsid w:val="008710CE"/>
    <w:rsid w:val="00871176"/>
    <w:rsid w:val="0087125B"/>
    <w:rsid w:val="00871394"/>
    <w:rsid w:val="00871432"/>
    <w:rsid w:val="008717A5"/>
    <w:rsid w:val="00871E86"/>
    <w:rsid w:val="00871F1D"/>
    <w:rsid w:val="0087223D"/>
    <w:rsid w:val="00872278"/>
    <w:rsid w:val="00872467"/>
    <w:rsid w:val="00872486"/>
    <w:rsid w:val="0087269C"/>
    <w:rsid w:val="008727BA"/>
    <w:rsid w:val="00872821"/>
    <w:rsid w:val="0087299B"/>
    <w:rsid w:val="008729BF"/>
    <w:rsid w:val="00872B14"/>
    <w:rsid w:val="00872C3B"/>
    <w:rsid w:val="00872E16"/>
    <w:rsid w:val="00872E4C"/>
    <w:rsid w:val="00872EBB"/>
    <w:rsid w:val="00873035"/>
    <w:rsid w:val="00873233"/>
    <w:rsid w:val="00873271"/>
    <w:rsid w:val="008732D1"/>
    <w:rsid w:val="00873634"/>
    <w:rsid w:val="008736CE"/>
    <w:rsid w:val="00873784"/>
    <w:rsid w:val="00873807"/>
    <w:rsid w:val="00873A0B"/>
    <w:rsid w:val="00873A7D"/>
    <w:rsid w:val="00873AE0"/>
    <w:rsid w:val="00873B11"/>
    <w:rsid w:val="00873BBD"/>
    <w:rsid w:val="00873C47"/>
    <w:rsid w:val="00873CEB"/>
    <w:rsid w:val="00873E21"/>
    <w:rsid w:val="00873F70"/>
    <w:rsid w:val="00873F74"/>
    <w:rsid w:val="00873FA8"/>
    <w:rsid w:val="00874155"/>
    <w:rsid w:val="0087424B"/>
    <w:rsid w:val="00874296"/>
    <w:rsid w:val="008742AB"/>
    <w:rsid w:val="008742EE"/>
    <w:rsid w:val="0087445B"/>
    <w:rsid w:val="0087447A"/>
    <w:rsid w:val="00874489"/>
    <w:rsid w:val="008746B9"/>
    <w:rsid w:val="0087474A"/>
    <w:rsid w:val="008747A0"/>
    <w:rsid w:val="008747EC"/>
    <w:rsid w:val="00874888"/>
    <w:rsid w:val="008748AB"/>
    <w:rsid w:val="008749BE"/>
    <w:rsid w:val="00874E7A"/>
    <w:rsid w:val="00874ECB"/>
    <w:rsid w:val="00875372"/>
    <w:rsid w:val="00875405"/>
    <w:rsid w:val="0087542A"/>
    <w:rsid w:val="00875499"/>
    <w:rsid w:val="0087554E"/>
    <w:rsid w:val="00875597"/>
    <w:rsid w:val="00875702"/>
    <w:rsid w:val="008759B2"/>
    <w:rsid w:val="00875AE6"/>
    <w:rsid w:val="00875B87"/>
    <w:rsid w:val="00875D14"/>
    <w:rsid w:val="00875EAE"/>
    <w:rsid w:val="00875F26"/>
    <w:rsid w:val="00875F42"/>
    <w:rsid w:val="00875FF3"/>
    <w:rsid w:val="00876039"/>
    <w:rsid w:val="008760B4"/>
    <w:rsid w:val="008761BF"/>
    <w:rsid w:val="00876238"/>
    <w:rsid w:val="008762DC"/>
    <w:rsid w:val="0087652A"/>
    <w:rsid w:val="00876743"/>
    <w:rsid w:val="00876812"/>
    <w:rsid w:val="00876960"/>
    <w:rsid w:val="0087699B"/>
    <w:rsid w:val="008769A8"/>
    <w:rsid w:val="008769BD"/>
    <w:rsid w:val="00876A46"/>
    <w:rsid w:val="00876AA6"/>
    <w:rsid w:val="00876B01"/>
    <w:rsid w:val="00876B12"/>
    <w:rsid w:val="00876C41"/>
    <w:rsid w:val="00876CE8"/>
    <w:rsid w:val="0087703F"/>
    <w:rsid w:val="008778F5"/>
    <w:rsid w:val="008779E4"/>
    <w:rsid w:val="00877F29"/>
    <w:rsid w:val="00877FB8"/>
    <w:rsid w:val="00880000"/>
    <w:rsid w:val="008801AA"/>
    <w:rsid w:val="008801C1"/>
    <w:rsid w:val="0088047F"/>
    <w:rsid w:val="008804B4"/>
    <w:rsid w:val="008805F8"/>
    <w:rsid w:val="00880765"/>
    <w:rsid w:val="008807B9"/>
    <w:rsid w:val="0088083C"/>
    <w:rsid w:val="008808A9"/>
    <w:rsid w:val="00880988"/>
    <w:rsid w:val="00880994"/>
    <w:rsid w:val="00880AAA"/>
    <w:rsid w:val="00880CA3"/>
    <w:rsid w:val="00880CA6"/>
    <w:rsid w:val="00880DC6"/>
    <w:rsid w:val="008811A2"/>
    <w:rsid w:val="008811AF"/>
    <w:rsid w:val="0088121F"/>
    <w:rsid w:val="0088122A"/>
    <w:rsid w:val="008813B9"/>
    <w:rsid w:val="00881614"/>
    <w:rsid w:val="008817E2"/>
    <w:rsid w:val="00881826"/>
    <w:rsid w:val="00881A01"/>
    <w:rsid w:val="00881A67"/>
    <w:rsid w:val="00881A76"/>
    <w:rsid w:val="00881BA0"/>
    <w:rsid w:val="00881BC7"/>
    <w:rsid w:val="00881C10"/>
    <w:rsid w:val="00881C69"/>
    <w:rsid w:val="00881C7E"/>
    <w:rsid w:val="00881C9F"/>
    <w:rsid w:val="00881F82"/>
    <w:rsid w:val="00882194"/>
    <w:rsid w:val="0088235B"/>
    <w:rsid w:val="00882436"/>
    <w:rsid w:val="0088247C"/>
    <w:rsid w:val="00882524"/>
    <w:rsid w:val="008827C3"/>
    <w:rsid w:val="008828E2"/>
    <w:rsid w:val="00882A1D"/>
    <w:rsid w:val="00882AC0"/>
    <w:rsid w:val="00882F09"/>
    <w:rsid w:val="00883084"/>
    <w:rsid w:val="008830D0"/>
    <w:rsid w:val="00883248"/>
    <w:rsid w:val="00883273"/>
    <w:rsid w:val="00883439"/>
    <w:rsid w:val="008834D9"/>
    <w:rsid w:val="008835F3"/>
    <w:rsid w:val="008838B7"/>
    <w:rsid w:val="00883907"/>
    <w:rsid w:val="00883979"/>
    <w:rsid w:val="00883A9C"/>
    <w:rsid w:val="00883B8D"/>
    <w:rsid w:val="00883C25"/>
    <w:rsid w:val="00883CDF"/>
    <w:rsid w:val="00883DB0"/>
    <w:rsid w:val="00883EBB"/>
    <w:rsid w:val="00884018"/>
    <w:rsid w:val="0088409A"/>
    <w:rsid w:val="008847D2"/>
    <w:rsid w:val="0088482F"/>
    <w:rsid w:val="00884834"/>
    <w:rsid w:val="00884D24"/>
    <w:rsid w:val="00885444"/>
    <w:rsid w:val="00885562"/>
    <w:rsid w:val="00885620"/>
    <w:rsid w:val="0088592E"/>
    <w:rsid w:val="008859AD"/>
    <w:rsid w:val="00885A1C"/>
    <w:rsid w:val="00885A24"/>
    <w:rsid w:val="00885A95"/>
    <w:rsid w:val="00885BF5"/>
    <w:rsid w:val="00885C41"/>
    <w:rsid w:val="00885C95"/>
    <w:rsid w:val="00885E9C"/>
    <w:rsid w:val="00885F30"/>
    <w:rsid w:val="00885FBD"/>
    <w:rsid w:val="0088609A"/>
    <w:rsid w:val="0088619B"/>
    <w:rsid w:val="008861C0"/>
    <w:rsid w:val="00886338"/>
    <w:rsid w:val="0088638E"/>
    <w:rsid w:val="008864E2"/>
    <w:rsid w:val="008867CC"/>
    <w:rsid w:val="00886A05"/>
    <w:rsid w:val="00887108"/>
    <w:rsid w:val="008874AE"/>
    <w:rsid w:val="008878DD"/>
    <w:rsid w:val="00887AEA"/>
    <w:rsid w:val="00887BE8"/>
    <w:rsid w:val="00887DF3"/>
    <w:rsid w:val="00887ECD"/>
    <w:rsid w:val="00889E98"/>
    <w:rsid w:val="00890016"/>
    <w:rsid w:val="0089011A"/>
    <w:rsid w:val="008901A5"/>
    <w:rsid w:val="008901D2"/>
    <w:rsid w:val="00890238"/>
    <w:rsid w:val="0089023A"/>
    <w:rsid w:val="0089032C"/>
    <w:rsid w:val="0089053D"/>
    <w:rsid w:val="008906B2"/>
    <w:rsid w:val="00890882"/>
    <w:rsid w:val="00890A12"/>
    <w:rsid w:val="00890A43"/>
    <w:rsid w:val="00890BB1"/>
    <w:rsid w:val="0089104B"/>
    <w:rsid w:val="0089170A"/>
    <w:rsid w:val="0089181C"/>
    <w:rsid w:val="008918D4"/>
    <w:rsid w:val="00891BA3"/>
    <w:rsid w:val="00891C05"/>
    <w:rsid w:val="00891C7E"/>
    <w:rsid w:val="00891D1B"/>
    <w:rsid w:val="008921B7"/>
    <w:rsid w:val="008924B7"/>
    <w:rsid w:val="008924F2"/>
    <w:rsid w:val="00892512"/>
    <w:rsid w:val="00892542"/>
    <w:rsid w:val="00892639"/>
    <w:rsid w:val="00892749"/>
    <w:rsid w:val="00892788"/>
    <w:rsid w:val="00892833"/>
    <w:rsid w:val="00892BC8"/>
    <w:rsid w:val="00892C3A"/>
    <w:rsid w:val="00892C9A"/>
    <w:rsid w:val="00892CBB"/>
    <w:rsid w:val="00892D18"/>
    <w:rsid w:val="00892E06"/>
    <w:rsid w:val="00892F43"/>
    <w:rsid w:val="00892F8B"/>
    <w:rsid w:val="008932BD"/>
    <w:rsid w:val="00893338"/>
    <w:rsid w:val="00893377"/>
    <w:rsid w:val="008933F2"/>
    <w:rsid w:val="00893457"/>
    <w:rsid w:val="008934F2"/>
    <w:rsid w:val="00893539"/>
    <w:rsid w:val="00893596"/>
    <w:rsid w:val="008935A8"/>
    <w:rsid w:val="008935FE"/>
    <w:rsid w:val="0089394B"/>
    <w:rsid w:val="00893C28"/>
    <w:rsid w:val="00893D1B"/>
    <w:rsid w:val="00893D62"/>
    <w:rsid w:val="00893EF7"/>
    <w:rsid w:val="00893F98"/>
    <w:rsid w:val="0089401C"/>
    <w:rsid w:val="0089416D"/>
    <w:rsid w:val="008941A1"/>
    <w:rsid w:val="008942E1"/>
    <w:rsid w:val="008943AE"/>
    <w:rsid w:val="0089465A"/>
    <w:rsid w:val="00894964"/>
    <w:rsid w:val="008949AC"/>
    <w:rsid w:val="00894AAC"/>
    <w:rsid w:val="00894AFF"/>
    <w:rsid w:val="00894B7B"/>
    <w:rsid w:val="00894BB9"/>
    <w:rsid w:val="00894C5A"/>
    <w:rsid w:val="00894D43"/>
    <w:rsid w:val="00894DAB"/>
    <w:rsid w:val="00894E62"/>
    <w:rsid w:val="00894EFC"/>
    <w:rsid w:val="00895031"/>
    <w:rsid w:val="008956C1"/>
    <w:rsid w:val="00895772"/>
    <w:rsid w:val="008957CB"/>
    <w:rsid w:val="00895897"/>
    <w:rsid w:val="008958B5"/>
    <w:rsid w:val="008958F9"/>
    <w:rsid w:val="008959EE"/>
    <w:rsid w:val="008959FF"/>
    <w:rsid w:val="00895A18"/>
    <w:rsid w:val="00895A80"/>
    <w:rsid w:val="00895B0C"/>
    <w:rsid w:val="00895BBF"/>
    <w:rsid w:val="00895C51"/>
    <w:rsid w:val="00895C68"/>
    <w:rsid w:val="00895D87"/>
    <w:rsid w:val="00895DB2"/>
    <w:rsid w:val="00895E11"/>
    <w:rsid w:val="00896355"/>
    <w:rsid w:val="008964B8"/>
    <w:rsid w:val="00896523"/>
    <w:rsid w:val="00896554"/>
    <w:rsid w:val="0089675E"/>
    <w:rsid w:val="00896A32"/>
    <w:rsid w:val="00896AAB"/>
    <w:rsid w:val="00896B4F"/>
    <w:rsid w:val="00896C8C"/>
    <w:rsid w:val="00896CCF"/>
    <w:rsid w:val="00896D51"/>
    <w:rsid w:val="00897034"/>
    <w:rsid w:val="008970F8"/>
    <w:rsid w:val="0089716E"/>
    <w:rsid w:val="00897677"/>
    <w:rsid w:val="008976E0"/>
    <w:rsid w:val="0089770F"/>
    <w:rsid w:val="008977AA"/>
    <w:rsid w:val="00897808"/>
    <w:rsid w:val="00897977"/>
    <w:rsid w:val="00897C14"/>
    <w:rsid w:val="00897C1E"/>
    <w:rsid w:val="00897F1F"/>
    <w:rsid w:val="00897FAD"/>
    <w:rsid w:val="00897FBD"/>
    <w:rsid w:val="008A020D"/>
    <w:rsid w:val="008A025E"/>
    <w:rsid w:val="008A038E"/>
    <w:rsid w:val="008A049C"/>
    <w:rsid w:val="008A0724"/>
    <w:rsid w:val="008A0770"/>
    <w:rsid w:val="008A07C1"/>
    <w:rsid w:val="008A0811"/>
    <w:rsid w:val="008A085C"/>
    <w:rsid w:val="008A0862"/>
    <w:rsid w:val="008A0891"/>
    <w:rsid w:val="008A08A7"/>
    <w:rsid w:val="008A08EB"/>
    <w:rsid w:val="008A09CF"/>
    <w:rsid w:val="008A09EF"/>
    <w:rsid w:val="008A0B08"/>
    <w:rsid w:val="008A0B2A"/>
    <w:rsid w:val="008A0C24"/>
    <w:rsid w:val="008A0C7E"/>
    <w:rsid w:val="008A10D3"/>
    <w:rsid w:val="008A1119"/>
    <w:rsid w:val="008A1340"/>
    <w:rsid w:val="008A157B"/>
    <w:rsid w:val="008A15AF"/>
    <w:rsid w:val="008A1658"/>
    <w:rsid w:val="008A167E"/>
    <w:rsid w:val="008A1A36"/>
    <w:rsid w:val="008A1BC1"/>
    <w:rsid w:val="008A1CEE"/>
    <w:rsid w:val="008A1DC9"/>
    <w:rsid w:val="008A1FA0"/>
    <w:rsid w:val="008A2035"/>
    <w:rsid w:val="008A212A"/>
    <w:rsid w:val="008A21E0"/>
    <w:rsid w:val="008A2262"/>
    <w:rsid w:val="008A255F"/>
    <w:rsid w:val="008A2701"/>
    <w:rsid w:val="008A2731"/>
    <w:rsid w:val="008A2754"/>
    <w:rsid w:val="008A2813"/>
    <w:rsid w:val="008A2869"/>
    <w:rsid w:val="008A29D4"/>
    <w:rsid w:val="008A2A39"/>
    <w:rsid w:val="008A2A51"/>
    <w:rsid w:val="008A2A83"/>
    <w:rsid w:val="008A2AA3"/>
    <w:rsid w:val="008A2BBA"/>
    <w:rsid w:val="008A2C25"/>
    <w:rsid w:val="008A2DAC"/>
    <w:rsid w:val="008A2E20"/>
    <w:rsid w:val="008A30CE"/>
    <w:rsid w:val="008A311B"/>
    <w:rsid w:val="008A3583"/>
    <w:rsid w:val="008A35A0"/>
    <w:rsid w:val="008A374E"/>
    <w:rsid w:val="008A3884"/>
    <w:rsid w:val="008A38D2"/>
    <w:rsid w:val="008A3AAC"/>
    <w:rsid w:val="008A3BB1"/>
    <w:rsid w:val="008A3F1F"/>
    <w:rsid w:val="008A3F3C"/>
    <w:rsid w:val="008A3F6B"/>
    <w:rsid w:val="008A40A8"/>
    <w:rsid w:val="008A40F4"/>
    <w:rsid w:val="008A4185"/>
    <w:rsid w:val="008A4199"/>
    <w:rsid w:val="008A423B"/>
    <w:rsid w:val="008A462E"/>
    <w:rsid w:val="008A4660"/>
    <w:rsid w:val="008A4756"/>
    <w:rsid w:val="008A48F4"/>
    <w:rsid w:val="008A4AED"/>
    <w:rsid w:val="008A4B7B"/>
    <w:rsid w:val="008A4B81"/>
    <w:rsid w:val="008A4CC9"/>
    <w:rsid w:val="008A4E13"/>
    <w:rsid w:val="008A50F0"/>
    <w:rsid w:val="008A5114"/>
    <w:rsid w:val="008A5115"/>
    <w:rsid w:val="008A5327"/>
    <w:rsid w:val="008A5518"/>
    <w:rsid w:val="008A55A4"/>
    <w:rsid w:val="008A56C7"/>
    <w:rsid w:val="008A57BD"/>
    <w:rsid w:val="008A5872"/>
    <w:rsid w:val="008A593E"/>
    <w:rsid w:val="008A5964"/>
    <w:rsid w:val="008A5B50"/>
    <w:rsid w:val="008A5BF2"/>
    <w:rsid w:val="008A5C2E"/>
    <w:rsid w:val="008A5DA7"/>
    <w:rsid w:val="008A5E12"/>
    <w:rsid w:val="008A5EBF"/>
    <w:rsid w:val="008A5EEC"/>
    <w:rsid w:val="008A5EF8"/>
    <w:rsid w:val="008A5F6F"/>
    <w:rsid w:val="008A5FF0"/>
    <w:rsid w:val="008A6057"/>
    <w:rsid w:val="008A628D"/>
    <w:rsid w:val="008A62A2"/>
    <w:rsid w:val="008A62C4"/>
    <w:rsid w:val="008A63D8"/>
    <w:rsid w:val="008A642D"/>
    <w:rsid w:val="008A647E"/>
    <w:rsid w:val="008A6514"/>
    <w:rsid w:val="008A65E3"/>
    <w:rsid w:val="008A66A1"/>
    <w:rsid w:val="008A6786"/>
    <w:rsid w:val="008A6BC3"/>
    <w:rsid w:val="008A6CCC"/>
    <w:rsid w:val="008A6D70"/>
    <w:rsid w:val="008A6EFA"/>
    <w:rsid w:val="008A6FB9"/>
    <w:rsid w:val="008A734A"/>
    <w:rsid w:val="008A7424"/>
    <w:rsid w:val="008A765B"/>
    <w:rsid w:val="008A77E2"/>
    <w:rsid w:val="008A78C3"/>
    <w:rsid w:val="008B01FD"/>
    <w:rsid w:val="008B0223"/>
    <w:rsid w:val="008B022C"/>
    <w:rsid w:val="008B040A"/>
    <w:rsid w:val="008B069E"/>
    <w:rsid w:val="008B074C"/>
    <w:rsid w:val="008B081F"/>
    <w:rsid w:val="008B0A12"/>
    <w:rsid w:val="008B0A20"/>
    <w:rsid w:val="008B0BC6"/>
    <w:rsid w:val="008B0CE0"/>
    <w:rsid w:val="008B0D13"/>
    <w:rsid w:val="008B0D52"/>
    <w:rsid w:val="008B1017"/>
    <w:rsid w:val="008B148C"/>
    <w:rsid w:val="008B1853"/>
    <w:rsid w:val="008B19EF"/>
    <w:rsid w:val="008B1A65"/>
    <w:rsid w:val="008B1AC3"/>
    <w:rsid w:val="008B1BB2"/>
    <w:rsid w:val="008B1BDB"/>
    <w:rsid w:val="008B1C99"/>
    <w:rsid w:val="008B1E15"/>
    <w:rsid w:val="008B1EF4"/>
    <w:rsid w:val="008B1F1C"/>
    <w:rsid w:val="008B1FB1"/>
    <w:rsid w:val="008B207E"/>
    <w:rsid w:val="008B2138"/>
    <w:rsid w:val="008B21F5"/>
    <w:rsid w:val="008B274C"/>
    <w:rsid w:val="008B2751"/>
    <w:rsid w:val="008B278F"/>
    <w:rsid w:val="008B2810"/>
    <w:rsid w:val="008B284E"/>
    <w:rsid w:val="008B2B29"/>
    <w:rsid w:val="008B2BEF"/>
    <w:rsid w:val="008B2DB2"/>
    <w:rsid w:val="008B2F2B"/>
    <w:rsid w:val="008B30CB"/>
    <w:rsid w:val="008B3193"/>
    <w:rsid w:val="008B328A"/>
    <w:rsid w:val="008B3559"/>
    <w:rsid w:val="008B3578"/>
    <w:rsid w:val="008B3860"/>
    <w:rsid w:val="008B397D"/>
    <w:rsid w:val="008B3AD0"/>
    <w:rsid w:val="008B3B0E"/>
    <w:rsid w:val="008B3BB3"/>
    <w:rsid w:val="008B3C6B"/>
    <w:rsid w:val="008B3D91"/>
    <w:rsid w:val="008B4216"/>
    <w:rsid w:val="008B4361"/>
    <w:rsid w:val="008B43CD"/>
    <w:rsid w:val="008B45F4"/>
    <w:rsid w:val="008B468B"/>
    <w:rsid w:val="008B46CA"/>
    <w:rsid w:val="008B47BA"/>
    <w:rsid w:val="008B4891"/>
    <w:rsid w:val="008B49E9"/>
    <w:rsid w:val="008B4B85"/>
    <w:rsid w:val="008B4BAB"/>
    <w:rsid w:val="008B4CDE"/>
    <w:rsid w:val="008B4D36"/>
    <w:rsid w:val="008B4E28"/>
    <w:rsid w:val="008B4EC0"/>
    <w:rsid w:val="008B5002"/>
    <w:rsid w:val="008B5076"/>
    <w:rsid w:val="008B521E"/>
    <w:rsid w:val="008B5289"/>
    <w:rsid w:val="008B536C"/>
    <w:rsid w:val="008B54C3"/>
    <w:rsid w:val="008B55A8"/>
    <w:rsid w:val="008B5662"/>
    <w:rsid w:val="008B5690"/>
    <w:rsid w:val="008B574A"/>
    <w:rsid w:val="008B5847"/>
    <w:rsid w:val="008B58A1"/>
    <w:rsid w:val="008B59A6"/>
    <w:rsid w:val="008B5C71"/>
    <w:rsid w:val="008B5D31"/>
    <w:rsid w:val="008B5EF2"/>
    <w:rsid w:val="008B5EF4"/>
    <w:rsid w:val="008B6270"/>
    <w:rsid w:val="008B63D6"/>
    <w:rsid w:val="008B6477"/>
    <w:rsid w:val="008B656F"/>
    <w:rsid w:val="008B6716"/>
    <w:rsid w:val="008B67EE"/>
    <w:rsid w:val="008B6882"/>
    <w:rsid w:val="008B69D3"/>
    <w:rsid w:val="008B6A73"/>
    <w:rsid w:val="008B6A75"/>
    <w:rsid w:val="008B6C2D"/>
    <w:rsid w:val="008B7010"/>
    <w:rsid w:val="008B71AA"/>
    <w:rsid w:val="008B736B"/>
    <w:rsid w:val="008B7572"/>
    <w:rsid w:val="008B7578"/>
    <w:rsid w:val="008B7637"/>
    <w:rsid w:val="008B793B"/>
    <w:rsid w:val="008B7AF5"/>
    <w:rsid w:val="008B7B5C"/>
    <w:rsid w:val="008B7C7A"/>
    <w:rsid w:val="008B7DBA"/>
    <w:rsid w:val="008B7E65"/>
    <w:rsid w:val="008B7F39"/>
    <w:rsid w:val="008BF8C6"/>
    <w:rsid w:val="008C0206"/>
    <w:rsid w:val="008C097E"/>
    <w:rsid w:val="008C09A3"/>
    <w:rsid w:val="008C09F8"/>
    <w:rsid w:val="008C0A51"/>
    <w:rsid w:val="008C0C68"/>
    <w:rsid w:val="008C0CE3"/>
    <w:rsid w:val="008C10A5"/>
    <w:rsid w:val="008C10FE"/>
    <w:rsid w:val="008C11E0"/>
    <w:rsid w:val="008C1201"/>
    <w:rsid w:val="008C14EF"/>
    <w:rsid w:val="008C1531"/>
    <w:rsid w:val="008C1572"/>
    <w:rsid w:val="008C1875"/>
    <w:rsid w:val="008C1A86"/>
    <w:rsid w:val="008C1B6C"/>
    <w:rsid w:val="008C1C55"/>
    <w:rsid w:val="008C20A9"/>
    <w:rsid w:val="008C2175"/>
    <w:rsid w:val="008C225B"/>
    <w:rsid w:val="008C22F6"/>
    <w:rsid w:val="008C24ED"/>
    <w:rsid w:val="008C2650"/>
    <w:rsid w:val="008C2665"/>
    <w:rsid w:val="008C276B"/>
    <w:rsid w:val="008C27C1"/>
    <w:rsid w:val="008C28C4"/>
    <w:rsid w:val="008C2A75"/>
    <w:rsid w:val="008C2ABF"/>
    <w:rsid w:val="008C2B5E"/>
    <w:rsid w:val="008C2E20"/>
    <w:rsid w:val="008C2FA9"/>
    <w:rsid w:val="008C2FC5"/>
    <w:rsid w:val="008C2FFC"/>
    <w:rsid w:val="008C3079"/>
    <w:rsid w:val="008C316A"/>
    <w:rsid w:val="008C3181"/>
    <w:rsid w:val="008C33CC"/>
    <w:rsid w:val="008C33E9"/>
    <w:rsid w:val="008C357A"/>
    <w:rsid w:val="008C388B"/>
    <w:rsid w:val="008C389D"/>
    <w:rsid w:val="008C3953"/>
    <w:rsid w:val="008C3974"/>
    <w:rsid w:val="008C3A8C"/>
    <w:rsid w:val="008C3B00"/>
    <w:rsid w:val="008C3B23"/>
    <w:rsid w:val="008C3BCB"/>
    <w:rsid w:val="008C3D61"/>
    <w:rsid w:val="008C3D8C"/>
    <w:rsid w:val="008C3E1E"/>
    <w:rsid w:val="008C3FCA"/>
    <w:rsid w:val="008C3FF3"/>
    <w:rsid w:val="008C40D5"/>
    <w:rsid w:val="008C4223"/>
    <w:rsid w:val="008C423B"/>
    <w:rsid w:val="008C43B4"/>
    <w:rsid w:val="008C44E1"/>
    <w:rsid w:val="008C45B5"/>
    <w:rsid w:val="008C4616"/>
    <w:rsid w:val="008C473C"/>
    <w:rsid w:val="008C474B"/>
    <w:rsid w:val="008C477D"/>
    <w:rsid w:val="008C483C"/>
    <w:rsid w:val="008C4A3B"/>
    <w:rsid w:val="008C4B54"/>
    <w:rsid w:val="008C4E7E"/>
    <w:rsid w:val="008C4EC2"/>
    <w:rsid w:val="008C4F2A"/>
    <w:rsid w:val="008C4F58"/>
    <w:rsid w:val="008C51EB"/>
    <w:rsid w:val="008C520C"/>
    <w:rsid w:val="008C5246"/>
    <w:rsid w:val="008C5564"/>
    <w:rsid w:val="008C56E1"/>
    <w:rsid w:val="008C5738"/>
    <w:rsid w:val="008C5770"/>
    <w:rsid w:val="008C59B9"/>
    <w:rsid w:val="008C59E4"/>
    <w:rsid w:val="008C5A58"/>
    <w:rsid w:val="008C5AB3"/>
    <w:rsid w:val="008C5B63"/>
    <w:rsid w:val="008C5BE0"/>
    <w:rsid w:val="008C5F2B"/>
    <w:rsid w:val="008C5F66"/>
    <w:rsid w:val="008C6119"/>
    <w:rsid w:val="008C6247"/>
    <w:rsid w:val="008C6883"/>
    <w:rsid w:val="008C69F9"/>
    <w:rsid w:val="008C6AAD"/>
    <w:rsid w:val="008C6BEA"/>
    <w:rsid w:val="008C6C71"/>
    <w:rsid w:val="008C6DC1"/>
    <w:rsid w:val="008C6FE1"/>
    <w:rsid w:val="008C6FFC"/>
    <w:rsid w:val="008C707D"/>
    <w:rsid w:val="008C7114"/>
    <w:rsid w:val="008C714F"/>
    <w:rsid w:val="008C7523"/>
    <w:rsid w:val="008C76B1"/>
    <w:rsid w:val="008C76C2"/>
    <w:rsid w:val="008C7759"/>
    <w:rsid w:val="008C7900"/>
    <w:rsid w:val="008C7A53"/>
    <w:rsid w:val="008C7AA0"/>
    <w:rsid w:val="008C7BD6"/>
    <w:rsid w:val="008C7BE8"/>
    <w:rsid w:val="008C7BF4"/>
    <w:rsid w:val="008C7D89"/>
    <w:rsid w:val="008C7E9F"/>
    <w:rsid w:val="008C7F5B"/>
    <w:rsid w:val="008C7F98"/>
    <w:rsid w:val="008D0066"/>
    <w:rsid w:val="008D01A0"/>
    <w:rsid w:val="008D0201"/>
    <w:rsid w:val="008D0289"/>
    <w:rsid w:val="008D03FA"/>
    <w:rsid w:val="008D071E"/>
    <w:rsid w:val="008D07A4"/>
    <w:rsid w:val="008D07F2"/>
    <w:rsid w:val="008D0866"/>
    <w:rsid w:val="008D0870"/>
    <w:rsid w:val="008D08F5"/>
    <w:rsid w:val="008D0975"/>
    <w:rsid w:val="008D0B96"/>
    <w:rsid w:val="008D0CD3"/>
    <w:rsid w:val="008D0E0A"/>
    <w:rsid w:val="008D0FC1"/>
    <w:rsid w:val="008D1056"/>
    <w:rsid w:val="008D113D"/>
    <w:rsid w:val="008D116C"/>
    <w:rsid w:val="008D1342"/>
    <w:rsid w:val="008D1516"/>
    <w:rsid w:val="008D16CA"/>
    <w:rsid w:val="008D17BA"/>
    <w:rsid w:val="008D18F1"/>
    <w:rsid w:val="008D19D1"/>
    <w:rsid w:val="008D1A53"/>
    <w:rsid w:val="008D1C0A"/>
    <w:rsid w:val="008D1CE5"/>
    <w:rsid w:val="008D1D20"/>
    <w:rsid w:val="008D1E8D"/>
    <w:rsid w:val="008D1EA9"/>
    <w:rsid w:val="008D1F6C"/>
    <w:rsid w:val="008D1FF9"/>
    <w:rsid w:val="008D2047"/>
    <w:rsid w:val="008D20D0"/>
    <w:rsid w:val="008D214A"/>
    <w:rsid w:val="008D219E"/>
    <w:rsid w:val="008D2319"/>
    <w:rsid w:val="008D241C"/>
    <w:rsid w:val="008D2629"/>
    <w:rsid w:val="008D2879"/>
    <w:rsid w:val="008D28FC"/>
    <w:rsid w:val="008D2D27"/>
    <w:rsid w:val="008D2D5E"/>
    <w:rsid w:val="008D2D81"/>
    <w:rsid w:val="008D2D9D"/>
    <w:rsid w:val="008D2E22"/>
    <w:rsid w:val="008D32A0"/>
    <w:rsid w:val="008D3341"/>
    <w:rsid w:val="008D3757"/>
    <w:rsid w:val="008D3989"/>
    <w:rsid w:val="008D3A30"/>
    <w:rsid w:val="008D3C9E"/>
    <w:rsid w:val="008D3E5B"/>
    <w:rsid w:val="008D4037"/>
    <w:rsid w:val="008D4208"/>
    <w:rsid w:val="008D441F"/>
    <w:rsid w:val="008D4444"/>
    <w:rsid w:val="008D460E"/>
    <w:rsid w:val="008D46AA"/>
    <w:rsid w:val="008D46D1"/>
    <w:rsid w:val="008D4798"/>
    <w:rsid w:val="008D48E0"/>
    <w:rsid w:val="008D48FD"/>
    <w:rsid w:val="008D4D53"/>
    <w:rsid w:val="008D4DAF"/>
    <w:rsid w:val="008D4E6A"/>
    <w:rsid w:val="008D4F3B"/>
    <w:rsid w:val="008D4F9C"/>
    <w:rsid w:val="008D4FE1"/>
    <w:rsid w:val="008D50B1"/>
    <w:rsid w:val="008D51DA"/>
    <w:rsid w:val="008D5210"/>
    <w:rsid w:val="008D54EE"/>
    <w:rsid w:val="008D5625"/>
    <w:rsid w:val="008D571F"/>
    <w:rsid w:val="008D592A"/>
    <w:rsid w:val="008D59BD"/>
    <w:rsid w:val="008D5A2A"/>
    <w:rsid w:val="008D5A3D"/>
    <w:rsid w:val="008D5A66"/>
    <w:rsid w:val="008D5E04"/>
    <w:rsid w:val="008D5EDB"/>
    <w:rsid w:val="008D5F0C"/>
    <w:rsid w:val="008D60E2"/>
    <w:rsid w:val="008D6167"/>
    <w:rsid w:val="008D648F"/>
    <w:rsid w:val="008D650A"/>
    <w:rsid w:val="008D6547"/>
    <w:rsid w:val="008D6824"/>
    <w:rsid w:val="008D6A05"/>
    <w:rsid w:val="008D6B83"/>
    <w:rsid w:val="008D6C2A"/>
    <w:rsid w:val="008D6D84"/>
    <w:rsid w:val="008D6FC9"/>
    <w:rsid w:val="008D7038"/>
    <w:rsid w:val="008D71CB"/>
    <w:rsid w:val="008D73A2"/>
    <w:rsid w:val="008D7492"/>
    <w:rsid w:val="008D74DF"/>
    <w:rsid w:val="008D7543"/>
    <w:rsid w:val="008D759B"/>
    <w:rsid w:val="008D7AAD"/>
    <w:rsid w:val="008D7AC9"/>
    <w:rsid w:val="008D7BFE"/>
    <w:rsid w:val="008D7C00"/>
    <w:rsid w:val="008D7C66"/>
    <w:rsid w:val="008D7DFA"/>
    <w:rsid w:val="008D7F24"/>
    <w:rsid w:val="008E0007"/>
    <w:rsid w:val="008E0105"/>
    <w:rsid w:val="008E0421"/>
    <w:rsid w:val="008E04E9"/>
    <w:rsid w:val="008E078D"/>
    <w:rsid w:val="008E08C4"/>
    <w:rsid w:val="008E0B7E"/>
    <w:rsid w:val="008E0E50"/>
    <w:rsid w:val="008E0E9E"/>
    <w:rsid w:val="008E0FBA"/>
    <w:rsid w:val="008E10EC"/>
    <w:rsid w:val="008E1189"/>
    <w:rsid w:val="008E1254"/>
    <w:rsid w:val="008E1477"/>
    <w:rsid w:val="008E17C3"/>
    <w:rsid w:val="008E192B"/>
    <w:rsid w:val="008E1D2F"/>
    <w:rsid w:val="008E1E89"/>
    <w:rsid w:val="008E1EFC"/>
    <w:rsid w:val="008E2192"/>
    <w:rsid w:val="008E234A"/>
    <w:rsid w:val="008E251E"/>
    <w:rsid w:val="008E25C6"/>
    <w:rsid w:val="008E274C"/>
    <w:rsid w:val="008E2889"/>
    <w:rsid w:val="008E28F1"/>
    <w:rsid w:val="008E29C2"/>
    <w:rsid w:val="008E2B97"/>
    <w:rsid w:val="008E2BFC"/>
    <w:rsid w:val="008E2C3B"/>
    <w:rsid w:val="008E2DE2"/>
    <w:rsid w:val="008E2FEC"/>
    <w:rsid w:val="008E30CF"/>
    <w:rsid w:val="008E312B"/>
    <w:rsid w:val="008E34E1"/>
    <w:rsid w:val="008E350C"/>
    <w:rsid w:val="008E361D"/>
    <w:rsid w:val="008E36DB"/>
    <w:rsid w:val="008E3702"/>
    <w:rsid w:val="008E3736"/>
    <w:rsid w:val="008E3A44"/>
    <w:rsid w:val="008E3D0D"/>
    <w:rsid w:val="008E3D8D"/>
    <w:rsid w:val="008E3DAE"/>
    <w:rsid w:val="008E3DCD"/>
    <w:rsid w:val="008E3DF6"/>
    <w:rsid w:val="008E3F4A"/>
    <w:rsid w:val="008E4023"/>
    <w:rsid w:val="008E409B"/>
    <w:rsid w:val="008E42BB"/>
    <w:rsid w:val="008E4358"/>
    <w:rsid w:val="008E45B8"/>
    <w:rsid w:val="008E4787"/>
    <w:rsid w:val="008E49DA"/>
    <w:rsid w:val="008E4C4B"/>
    <w:rsid w:val="008E4D3A"/>
    <w:rsid w:val="008E4F32"/>
    <w:rsid w:val="008E5310"/>
    <w:rsid w:val="008E58EE"/>
    <w:rsid w:val="008E5904"/>
    <w:rsid w:val="008E5A3A"/>
    <w:rsid w:val="008E5C44"/>
    <w:rsid w:val="008E5D8B"/>
    <w:rsid w:val="008E5E4F"/>
    <w:rsid w:val="008E5EE1"/>
    <w:rsid w:val="008E5EF6"/>
    <w:rsid w:val="008E617B"/>
    <w:rsid w:val="008E61DE"/>
    <w:rsid w:val="008E631E"/>
    <w:rsid w:val="008E650F"/>
    <w:rsid w:val="008E67E3"/>
    <w:rsid w:val="008E67E6"/>
    <w:rsid w:val="008E6880"/>
    <w:rsid w:val="008E6BFA"/>
    <w:rsid w:val="008E6F68"/>
    <w:rsid w:val="008E6FD6"/>
    <w:rsid w:val="008E6FD9"/>
    <w:rsid w:val="008E70EA"/>
    <w:rsid w:val="008E716E"/>
    <w:rsid w:val="008E71E2"/>
    <w:rsid w:val="008E7334"/>
    <w:rsid w:val="008E7396"/>
    <w:rsid w:val="008E76CC"/>
    <w:rsid w:val="008E7871"/>
    <w:rsid w:val="008E7B06"/>
    <w:rsid w:val="008E7C6D"/>
    <w:rsid w:val="008E7D0E"/>
    <w:rsid w:val="008E7E5C"/>
    <w:rsid w:val="008E7F60"/>
    <w:rsid w:val="008F00B8"/>
    <w:rsid w:val="008F0120"/>
    <w:rsid w:val="008F013C"/>
    <w:rsid w:val="008F01AE"/>
    <w:rsid w:val="008F0220"/>
    <w:rsid w:val="008F0269"/>
    <w:rsid w:val="008F04B3"/>
    <w:rsid w:val="008F059C"/>
    <w:rsid w:val="008F05C1"/>
    <w:rsid w:val="008F07C6"/>
    <w:rsid w:val="008F0983"/>
    <w:rsid w:val="008F0C9E"/>
    <w:rsid w:val="008F0D4E"/>
    <w:rsid w:val="008F0DB9"/>
    <w:rsid w:val="008F0DDA"/>
    <w:rsid w:val="008F0DF0"/>
    <w:rsid w:val="008F0DF4"/>
    <w:rsid w:val="008F1172"/>
    <w:rsid w:val="008F1253"/>
    <w:rsid w:val="008F1285"/>
    <w:rsid w:val="008F1291"/>
    <w:rsid w:val="008F1501"/>
    <w:rsid w:val="008F15DD"/>
    <w:rsid w:val="008F15FA"/>
    <w:rsid w:val="008F1691"/>
    <w:rsid w:val="008F17D1"/>
    <w:rsid w:val="008F1957"/>
    <w:rsid w:val="008F1993"/>
    <w:rsid w:val="008F1ABE"/>
    <w:rsid w:val="008F1B55"/>
    <w:rsid w:val="008F2068"/>
    <w:rsid w:val="008F216F"/>
    <w:rsid w:val="008F22BE"/>
    <w:rsid w:val="008F23A0"/>
    <w:rsid w:val="008F23C4"/>
    <w:rsid w:val="008F27D5"/>
    <w:rsid w:val="008F2931"/>
    <w:rsid w:val="008F298D"/>
    <w:rsid w:val="008F29B5"/>
    <w:rsid w:val="008F2A25"/>
    <w:rsid w:val="008F2AA1"/>
    <w:rsid w:val="008F2AEE"/>
    <w:rsid w:val="008F2B74"/>
    <w:rsid w:val="008F2BCF"/>
    <w:rsid w:val="008F2C35"/>
    <w:rsid w:val="008F2D0E"/>
    <w:rsid w:val="008F2DD1"/>
    <w:rsid w:val="008F2F65"/>
    <w:rsid w:val="008F2FE4"/>
    <w:rsid w:val="008F2FE8"/>
    <w:rsid w:val="008F322E"/>
    <w:rsid w:val="008F3288"/>
    <w:rsid w:val="008F343C"/>
    <w:rsid w:val="008F348E"/>
    <w:rsid w:val="008F353A"/>
    <w:rsid w:val="008F356A"/>
    <w:rsid w:val="008F356C"/>
    <w:rsid w:val="008F35D1"/>
    <w:rsid w:val="008F3633"/>
    <w:rsid w:val="008F36A4"/>
    <w:rsid w:val="008F36EB"/>
    <w:rsid w:val="008F36F9"/>
    <w:rsid w:val="008F3AAF"/>
    <w:rsid w:val="008F3B62"/>
    <w:rsid w:val="008F3C32"/>
    <w:rsid w:val="008F3D9D"/>
    <w:rsid w:val="008F3DFA"/>
    <w:rsid w:val="008F3F2E"/>
    <w:rsid w:val="008F42E2"/>
    <w:rsid w:val="008F4354"/>
    <w:rsid w:val="008F4499"/>
    <w:rsid w:val="008F44B1"/>
    <w:rsid w:val="008F4564"/>
    <w:rsid w:val="008F4590"/>
    <w:rsid w:val="008F47D0"/>
    <w:rsid w:val="008F48CD"/>
    <w:rsid w:val="008F48F5"/>
    <w:rsid w:val="008F4980"/>
    <w:rsid w:val="008F49BB"/>
    <w:rsid w:val="008F49BE"/>
    <w:rsid w:val="008F4B17"/>
    <w:rsid w:val="008F4CD3"/>
    <w:rsid w:val="008F4CEA"/>
    <w:rsid w:val="008F502A"/>
    <w:rsid w:val="008F5412"/>
    <w:rsid w:val="008F556C"/>
    <w:rsid w:val="008F5599"/>
    <w:rsid w:val="008F55A3"/>
    <w:rsid w:val="008F55C8"/>
    <w:rsid w:val="008F56F6"/>
    <w:rsid w:val="008F57C6"/>
    <w:rsid w:val="008F59EF"/>
    <w:rsid w:val="008F5A50"/>
    <w:rsid w:val="008F5A52"/>
    <w:rsid w:val="008F5CB9"/>
    <w:rsid w:val="008F5E05"/>
    <w:rsid w:val="008F5F13"/>
    <w:rsid w:val="008F5FD5"/>
    <w:rsid w:val="008F62BE"/>
    <w:rsid w:val="008F6336"/>
    <w:rsid w:val="008F635A"/>
    <w:rsid w:val="008F6470"/>
    <w:rsid w:val="008F64C1"/>
    <w:rsid w:val="008F651D"/>
    <w:rsid w:val="008F65B7"/>
    <w:rsid w:val="008F661E"/>
    <w:rsid w:val="008F66B4"/>
    <w:rsid w:val="008F67B5"/>
    <w:rsid w:val="008F6A03"/>
    <w:rsid w:val="008F6A62"/>
    <w:rsid w:val="008F6B30"/>
    <w:rsid w:val="008F6C93"/>
    <w:rsid w:val="008F6CB3"/>
    <w:rsid w:val="008F6DB7"/>
    <w:rsid w:val="008F7134"/>
    <w:rsid w:val="008F7162"/>
    <w:rsid w:val="008F71CD"/>
    <w:rsid w:val="008F7350"/>
    <w:rsid w:val="008F738F"/>
    <w:rsid w:val="008F74CA"/>
    <w:rsid w:val="008F75FD"/>
    <w:rsid w:val="008F76AE"/>
    <w:rsid w:val="008F76D8"/>
    <w:rsid w:val="008F77FD"/>
    <w:rsid w:val="008F7887"/>
    <w:rsid w:val="008F78C2"/>
    <w:rsid w:val="008F78EF"/>
    <w:rsid w:val="008F7991"/>
    <w:rsid w:val="008F7A17"/>
    <w:rsid w:val="008F7B05"/>
    <w:rsid w:val="008F7C92"/>
    <w:rsid w:val="009001AA"/>
    <w:rsid w:val="009002C4"/>
    <w:rsid w:val="00900674"/>
    <w:rsid w:val="00900911"/>
    <w:rsid w:val="00900935"/>
    <w:rsid w:val="00900A35"/>
    <w:rsid w:val="00900DF9"/>
    <w:rsid w:val="00900E21"/>
    <w:rsid w:val="00900E9E"/>
    <w:rsid w:val="00900EF8"/>
    <w:rsid w:val="00901251"/>
    <w:rsid w:val="009013B7"/>
    <w:rsid w:val="00901B4F"/>
    <w:rsid w:val="00901B59"/>
    <w:rsid w:val="00901B77"/>
    <w:rsid w:val="00901C78"/>
    <w:rsid w:val="00901C90"/>
    <w:rsid w:val="00901E34"/>
    <w:rsid w:val="009020A4"/>
    <w:rsid w:val="009022C9"/>
    <w:rsid w:val="009022EB"/>
    <w:rsid w:val="00902334"/>
    <w:rsid w:val="009023DC"/>
    <w:rsid w:val="009023DD"/>
    <w:rsid w:val="0090255F"/>
    <w:rsid w:val="009026FF"/>
    <w:rsid w:val="0090284A"/>
    <w:rsid w:val="0090289B"/>
    <w:rsid w:val="0090297F"/>
    <w:rsid w:val="0090299A"/>
    <w:rsid w:val="00902A3A"/>
    <w:rsid w:val="00902ADA"/>
    <w:rsid w:val="00902CC8"/>
    <w:rsid w:val="00902D0B"/>
    <w:rsid w:val="00902D62"/>
    <w:rsid w:val="00902DB2"/>
    <w:rsid w:val="00902DE6"/>
    <w:rsid w:val="00902EA2"/>
    <w:rsid w:val="00902FE3"/>
    <w:rsid w:val="009030B1"/>
    <w:rsid w:val="00903454"/>
    <w:rsid w:val="00903617"/>
    <w:rsid w:val="009037DF"/>
    <w:rsid w:val="00903864"/>
    <w:rsid w:val="009038A9"/>
    <w:rsid w:val="009038D5"/>
    <w:rsid w:val="0090392D"/>
    <w:rsid w:val="00903AF8"/>
    <w:rsid w:val="00903D6D"/>
    <w:rsid w:val="00903DA5"/>
    <w:rsid w:val="00903E4D"/>
    <w:rsid w:val="009041B5"/>
    <w:rsid w:val="009041C9"/>
    <w:rsid w:val="0090426E"/>
    <w:rsid w:val="009042F4"/>
    <w:rsid w:val="00904304"/>
    <w:rsid w:val="0090473E"/>
    <w:rsid w:val="0090487D"/>
    <w:rsid w:val="009048F1"/>
    <w:rsid w:val="00904943"/>
    <w:rsid w:val="009049B7"/>
    <w:rsid w:val="009049C6"/>
    <w:rsid w:val="00904C37"/>
    <w:rsid w:val="00904DC8"/>
    <w:rsid w:val="00904E7B"/>
    <w:rsid w:val="00904FB0"/>
    <w:rsid w:val="00904FC1"/>
    <w:rsid w:val="009050FA"/>
    <w:rsid w:val="00905140"/>
    <w:rsid w:val="0090521E"/>
    <w:rsid w:val="00905283"/>
    <w:rsid w:val="009052AE"/>
    <w:rsid w:val="009052D7"/>
    <w:rsid w:val="00905342"/>
    <w:rsid w:val="00905487"/>
    <w:rsid w:val="0090550F"/>
    <w:rsid w:val="009056B3"/>
    <w:rsid w:val="009056DE"/>
    <w:rsid w:val="0090577D"/>
    <w:rsid w:val="009057A5"/>
    <w:rsid w:val="0090586E"/>
    <w:rsid w:val="00905955"/>
    <w:rsid w:val="009059D8"/>
    <w:rsid w:val="00905A10"/>
    <w:rsid w:val="00905AC8"/>
    <w:rsid w:val="00905BC3"/>
    <w:rsid w:val="00905C2A"/>
    <w:rsid w:val="00906012"/>
    <w:rsid w:val="009060D2"/>
    <w:rsid w:val="009061D4"/>
    <w:rsid w:val="00906282"/>
    <w:rsid w:val="009063ED"/>
    <w:rsid w:val="0090661B"/>
    <w:rsid w:val="0090670F"/>
    <w:rsid w:val="0090680F"/>
    <w:rsid w:val="0090681E"/>
    <w:rsid w:val="009068AF"/>
    <w:rsid w:val="00906967"/>
    <w:rsid w:val="00906B92"/>
    <w:rsid w:val="00906BDC"/>
    <w:rsid w:val="00906FAF"/>
    <w:rsid w:val="00907107"/>
    <w:rsid w:val="009072B0"/>
    <w:rsid w:val="009073E7"/>
    <w:rsid w:val="00907566"/>
    <w:rsid w:val="00907612"/>
    <w:rsid w:val="00907733"/>
    <w:rsid w:val="009079A4"/>
    <w:rsid w:val="009079D8"/>
    <w:rsid w:val="00907E5F"/>
    <w:rsid w:val="00907FE3"/>
    <w:rsid w:val="0090F683"/>
    <w:rsid w:val="009100D8"/>
    <w:rsid w:val="009101C9"/>
    <w:rsid w:val="00910281"/>
    <w:rsid w:val="00910559"/>
    <w:rsid w:val="009106AC"/>
    <w:rsid w:val="009108DB"/>
    <w:rsid w:val="00910976"/>
    <w:rsid w:val="009109EB"/>
    <w:rsid w:val="00910A12"/>
    <w:rsid w:val="00910A5C"/>
    <w:rsid w:val="00910BBD"/>
    <w:rsid w:val="00910BC8"/>
    <w:rsid w:val="00910DE2"/>
    <w:rsid w:val="00910DF8"/>
    <w:rsid w:val="00910FC6"/>
    <w:rsid w:val="009111BA"/>
    <w:rsid w:val="00911262"/>
    <w:rsid w:val="009112C3"/>
    <w:rsid w:val="00911390"/>
    <w:rsid w:val="00911476"/>
    <w:rsid w:val="00911501"/>
    <w:rsid w:val="00911628"/>
    <w:rsid w:val="009117BF"/>
    <w:rsid w:val="009119D7"/>
    <w:rsid w:val="009119E6"/>
    <w:rsid w:val="00911C00"/>
    <w:rsid w:val="00911CA6"/>
    <w:rsid w:val="00911DBB"/>
    <w:rsid w:val="009120AF"/>
    <w:rsid w:val="009122A8"/>
    <w:rsid w:val="0091251A"/>
    <w:rsid w:val="0091264E"/>
    <w:rsid w:val="009127CD"/>
    <w:rsid w:val="00912884"/>
    <w:rsid w:val="00912956"/>
    <w:rsid w:val="0091299C"/>
    <w:rsid w:val="00912A56"/>
    <w:rsid w:val="00912A7A"/>
    <w:rsid w:val="00912B1B"/>
    <w:rsid w:val="00912C3F"/>
    <w:rsid w:val="00912C63"/>
    <w:rsid w:val="00912C69"/>
    <w:rsid w:val="00912CAF"/>
    <w:rsid w:val="00912CE3"/>
    <w:rsid w:val="00912D4E"/>
    <w:rsid w:val="00912DBA"/>
    <w:rsid w:val="00912E35"/>
    <w:rsid w:val="00913378"/>
    <w:rsid w:val="009133A7"/>
    <w:rsid w:val="0091346E"/>
    <w:rsid w:val="00913512"/>
    <w:rsid w:val="009135CA"/>
    <w:rsid w:val="00913979"/>
    <w:rsid w:val="0091399D"/>
    <w:rsid w:val="00913C49"/>
    <w:rsid w:val="00913E25"/>
    <w:rsid w:val="00913F99"/>
    <w:rsid w:val="00913FBB"/>
    <w:rsid w:val="00914049"/>
    <w:rsid w:val="0091418F"/>
    <w:rsid w:val="00914235"/>
    <w:rsid w:val="009144BC"/>
    <w:rsid w:val="00914618"/>
    <w:rsid w:val="0091467C"/>
    <w:rsid w:val="009146AF"/>
    <w:rsid w:val="00914722"/>
    <w:rsid w:val="009149A7"/>
    <w:rsid w:val="00914B68"/>
    <w:rsid w:val="00914B94"/>
    <w:rsid w:val="00914BA0"/>
    <w:rsid w:val="00914C7D"/>
    <w:rsid w:val="00914C9B"/>
    <w:rsid w:val="00914D48"/>
    <w:rsid w:val="00914DEB"/>
    <w:rsid w:val="00914E39"/>
    <w:rsid w:val="00914EB8"/>
    <w:rsid w:val="00915195"/>
    <w:rsid w:val="009152A6"/>
    <w:rsid w:val="00915352"/>
    <w:rsid w:val="0091535D"/>
    <w:rsid w:val="009153A6"/>
    <w:rsid w:val="009153F7"/>
    <w:rsid w:val="0091546D"/>
    <w:rsid w:val="0091551E"/>
    <w:rsid w:val="0091553B"/>
    <w:rsid w:val="00915775"/>
    <w:rsid w:val="009158E5"/>
    <w:rsid w:val="009159CA"/>
    <w:rsid w:val="009159E5"/>
    <w:rsid w:val="00915A8D"/>
    <w:rsid w:val="00915AB5"/>
    <w:rsid w:val="00915C51"/>
    <w:rsid w:val="00915D3A"/>
    <w:rsid w:val="00915D8E"/>
    <w:rsid w:val="00915E25"/>
    <w:rsid w:val="0091604C"/>
    <w:rsid w:val="0091610E"/>
    <w:rsid w:val="00916178"/>
    <w:rsid w:val="009161F0"/>
    <w:rsid w:val="0091631F"/>
    <w:rsid w:val="0091634F"/>
    <w:rsid w:val="009163CA"/>
    <w:rsid w:val="00916449"/>
    <w:rsid w:val="00916458"/>
    <w:rsid w:val="00916599"/>
    <w:rsid w:val="009165CB"/>
    <w:rsid w:val="00916613"/>
    <w:rsid w:val="009169A9"/>
    <w:rsid w:val="00916B09"/>
    <w:rsid w:val="00916B1C"/>
    <w:rsid w:val="00916BB4"/>
    <w:rsid w:val="00916D09"/>
    <w:rsid w:val="00916D43"/>
    <w:rsid w:val="00916DB6"/>
    <w:rsid w:val="00916E9E"/>
    <w:rsid w:val="00916F00"/>
    <w:rsid w:val="00916F64"/>
    <w:rsid w:val="00916FB1"/>
    <w:rsid w:val="00917451"/>
    <w:rsid w:val="00917767"/>
    <w:rsid w:val="009177B0"/>
    <w:rsid w:val="00917AD8"/>
    <w:rsid w:val="00917B7D"/>
    <w:rsid w:val="00917C50"/>
    <w:rsid w:val="00917C93"/>
    <w:rsid w:val="00917CB6"/>
    <w:rsid w:val="00917F63"/>
    <w:rsid w:val="00917FC7"/>
    <w:rsid w:val="00917FE6"/>
    <w:rsid w:val="00917FFD"/>
    <w:rsid w:val="009200B7"/>
    <w:rsid w:val="00920178"/>
    <w:rsid w:val="0092032F"/>
    <w:rsid w:val="0092042B"/>
    <w:rsid w:val="0092064A"/>
    <w:rsid w:val="00920692"/>
    <w:rsid w:val="009207CC"/>
    <w:rsid w:val="00920894"/>
    <w:rsid w:val="00920945"/>
    <w:rsid w:val="00920974"/>
    <w:rsid w:val="00920A40"/>
    <w:rsid w:val="00920BB5"/>
    <w:rsid w:val="00920BD1"/>
    <w:rsid w:val="00920DDE"/>
    <w:rsid w:val="00920ED5"/>
    <w:rsid w:val="00920EEE"/>
    <w:rsid w:val="00920F19"/>
    <w:rsid w:val="009212B4"/>
    <w:rsid w:val="009212F6"/>
    <w:rsid w:val="00921312"/>
    <w:rsid w:val="00921392"/>
    <w:rsid w:val="00921433"/>
    <w:rsid w:val="00921479"/>
    <w:rsid w:val="009215AA"/>
    <w:rsid w:val="0092165A"/>
    <w:rsid w:val="00921673"/>
    <w:rsid w:val="009217DC"/>
    <w:rsid w:val="009218EF"/>
    <w:rsid w:val="0092193C"/>
    <w:rsid w:val="00921A41"/>
    <w:rsid w:val="00921ABD"/>
    <w:rsid w:val="00921D22"/>
    <w:rsid w:val="00921DF1"/>
    <w:rsid w:val="00921E2A"/>
    <w:rsid w:val="00921FF9"/>
    <w:rsid w:val="00922151"/>
    <w:rsid w:val="00922417"/>
    <w:rsid w:val="00922584"/>
    <w:rsid w:val="009225B3"/>
    <w:rsid w:val="0092268A"/>
    <w:rsid w:val="009226C3"/>
    <w:rsid w:val="00922700"/>
    <w:rsid w:val="009228CB"/>
    <w:rsid w:val="009229B2"/>
    <w:rsid w:val="009229C0"/>
    <w:rsid w:val="00922A5F"/>
    <w:rsid w:val="00922A7E"/>
    <w:rsid w:val="00922B91"/>
    <w:rsid w:val="00922BF3"/>
    <w:rsid w:val="00922C43"/>
    <w:rsid w:val="00922CF0"/>
    <w:rsid w:val="00922F7A"/>
    <w:rsid w:val="00923051"/>
    <w:rsid w:val="009233F2"/>
    <w:rsid w:val="00923491"/>
    <w:rsid w:val="009235E8"/>
    <w:rsid w:val="00923656"/>
    <w:rsid w:val="009237C3"/>
    <w:rsid w:val="009238FF"/>
    <w:rsid w:val="009239CA"/>
    <w:rsid w:val="00923A84"/>
    <w:rsid w:val="00923BA8"/>
    <w:rsid w:val="00923D22"/>
    <w:rsid w:val="00923F5C"/>
    <w:rsid w:val="00923F8E"/>
    <w:rsid w:val="00924187"/>
    <w:rsid w:val="009241D5"/>
    <w:rsid w:val="00924397"/>
    <w:rsid w:val="0092464C"/>
    <w:rsid w:val="009249B3"/>
    <w:rsid w:val="00924B1F"/>
    <w:rsid w:val="00924D9F"/>
    <w:rsid w:val="00924F78"/>
    <w:rsid w:val="00924F83"/>
    <w:rsid w:val="009251CD"/>
    <w:rsid w:val="009255C1"/>
    <w:rsid w:val="009255FC"/>
    <w:rsid w:val="00925792"/>
    <w:rsid w:val="00925814"/>
    <w:rsid w:val="00925844"/>
    <w:rsid w:val="009259DB"/>
    <w:rsid w:val="009259E1"/>
    <w:rsid w:val="00925BCC"/>
    <w:rsid w:val="00925C0A"/>
    <w:rsid w:val="00925C21"/>
    <w:rsid w:val="00925C4E"/>
    <w:rsid w:val="00925E20"/>
    <w:rsid w:val="00925ED7"/>
    <w:rsid w:val="00925F50"/>
    <w:rsid w:val="00925FB6"/>
    <w:rsid w:val="00926089"/>
    <w:rsid w:val="009260C7"/>
    <w:rsid w:val="00926242"/>
    <w:rsid w:val="0092633B"/>
    <w:rsid w:val="00926517"/>
    <w:rsid w:val="00926B1C"/>
    <w:rsid w:val="00926B93"/>
    <w:rsid w:val="00926BAA"/>
    <w:rsid w:val="00926C7F"/>
    <w:rsid w:val="00926DDD"/>
    <w:rsid w:val="0092700D"/>
    <w:rsid w:val="00927136"/>
    <w:rsid w:val="009272E7"/>
    <w:rsid w:val="0092762C"/>
    <w:rsid w:val="00927700"/>
    <w:rsid w:val="00927B29"/>
    <w:rsid w:val="00927BE4"/>
    <w:rsid w:val="00927E28"/>
    <w:rsid w:val="00927F2A"/>
    <w:rsid w:val="00927F94"/>
    <w:rsid w:val="00927FF2"/>
    <w:rsid w:val="00930035"/>
    <w:rsid w:val="009300F2"/>
    <w:rsid w:val="00930170"/>
    <w:rsid w:val="00930445"/>
    <w:rsid w:val="009305A9"/>
    <w:rsid w:val="00930698"/>
    <w:rsid w:val="009308DA"/>
    <w:rsid w:val="009309DF"/>
    <w:rsid w:val="00930A13"/>
    <w:rsid w:val="00930B08"/>
    <w:rsid w:val="00930EBB"/>
    <w:rsid w:val="00930F26"/>
    <w:rsid w:val="00930F54"/>
    <w:rsid w:val="00930FE0"/>
    <w:rsid w:val="0093129D"/>
    <w:rsid w:val="009312B6"/>
    <w:rsid w:val="009312E3"/>
    <w:rsid w:val="00931331"/>
    <w:rsid w:val="00931512"/>
    <w:rsid w:val="0093152D"/>
    <w:rsid w:val="0093175C"/>
    <w:rsid w:val="009318C4"/>
    <w:rsid w:val="00931945"/>
    <w:rsid w:val="0093196B"/>
    <w:rsid w:val="00931A72"/>
    <w:rsid w:val="00931B39"/>
    <w:rsid w:val="00931B4D"/>
    <w:rsid w:val="00931B74"/>
    <w:rsid w:val="00931C5F"/>
    <w:rsid w:val="00931CF1"/>
    <w:rsid w:val="00931D58"/>
    <w:rsid w:val="00931E66"/>
    <w:rsid w:val="00931EA4"/>
    <w:rsid w:val="009320BD"/>
    <w:rsid w:val="00932257"/>
    <w:rsid w:val="00932350"/>
    <w:rsid w:val="009324DF"/>
    <w:rsid w:val="0093268E"/>
    <w:rsid w:val="009326B9"/>
    <w:rsid w:val="0093274F"/>
    <w:rsid w:val="00932AD0"/>
    <w:rsid w:val="00932C02"/>
    <w:rsid w:val="00933325"/>
    <w:rsid w:val="00933343"/>
    <w:rsid w:val="00933955"/>
    <w:rsid w:val="00933D0E"/>
    <w:rsid w:val="00933DB1"/>
    <w:rsid w:val="00933E4C"/>
    <w:rsid w:val="00933F4A"/>
    <w:rsid w:val="0093410F"/>
    <w:rsid w:val="0093416E"/>
    <w:rsid w:val="009342C0"/>
    <w:rsid w:val="009342F7"/>
    <w:rsid w:val="0093430C"/>
    <w:rsid w:val="00934322"/>
    <w:rsid w:val="00934431"/>
    <w:rsid w:val="009344B4"/>
    <w:rsid w:val="00934505"/>
    <w:rsid w:val="00934839"/>
    <w:rsid w:val="00934975"/>
    <w:rsid w:val="00934B57"/>
    <w:rsid w:val="00934BA2"/>
    <w:rsid w:val="00934C23"/>
    <w:rsid w:val="0093509C"/>
    <w:rsid w:val="00935113"/>
    <w:rsid w:val="0093557B"/>
    <w:rsid w:val="00935595"/>
    <w:rsid w:val="00935798"/>
    <w:rsid w:val="00935857"/>
    <w:rsid w:val="009358D3"/>
    <w:rsid w:val="00935B94"/>
    <w:rsid w:val="00935CF7"/>
    <w:rsid w:val="00935D29"/>
    <w:rsid w:val="00935D39"/>
    <w:rsid w:val="00935DB8"/>
    <w:rsid w:val="00935EEE"/>
    <w:rsid w:val="00935F0C"/>
    <w:rsid w:val="00935F95"/>
    <w:rsid w:val="009360CF"/>
    <w:rsid w:val="0093616D"/>
    <w:rsid w:val="00936193"/>
    <w:rsid w:val="00936282"/>
    <w:rsid w:val="00936356"/>
    <w:rsid w:val="009365BE"/>
    <w:rsid w:val="00936887"/>
    <w:rsid w:val="00936935"/>
    <w:rsid w:val="00936CD5"/>
    <w:rsid w:val="00936E5C"/>
    <w:rsid w:val="00936EE7"/>
    <w:rsid w:val="00936F98"/>
    <w:rsid w:val="00936FDA"/>
    <w:rsid w:val="00937197"/>
    <w:rsid w:val="009371B9"/>
    <w:rsid w:val="00937200"/>
    <w:rsid w:val="00937221"/>
    <w:rsid w:val="00937480"/>
    <w:rsid w:val="009374BA"/>
    <w:rsid w:val="00937640"/>
    <w:rsid w:val="009376C6"/>
    <w:rsid w:val="00937779"/>
    <w:rsid w:val="00937B32"/>
    <w:rsid w:val="00937B48"/>
    <w:rsid w:val="00937B81"/>
    <w:rsid w:val="00937BFA"/>
    <w:rsid w:val="00940015"/>
    <w:rsid w:val="00940126"/>
    <w:rsid w:val="009401EE"/>
    <w:rsid w:val="0094034E"/>
    <w:rsid w:val="00940392"/>
    <w:rsid w:val="009406EE"/>
    <w:rsid w:val="00940761"/>
    <w:rsid w:val="0094076F"/>
    <w:rsid w:val="0094095E"/>
    <w:rsid w:val="009409F1"/>
    <w:rsid w:val="009409F9"/>
    <w:rsid w:val="00940BE7"/>
    <w:rsid w:val="00940C6E"/>
    <w:rsid w:val="00940CCC"/>
    <w:rsid w:val="00940D68"/>
    <w:rsid w:val="00940DA7"/>
    <w:rsid w:val="00941052"/>
    <w:rsid w:val="00941115"/>
    <w:rsid w:val="009411E5"/>
    <w:rsid w:val="0094131C"/>
    <w:rsid w:val="00941484"/>
    <w:rsid w:val="0094148A"/>
    <w:rsid w:val="0094165F"/>
    <w:rsid w:val="00941735"/>
    <w:rsid w:val="0094190F"/>
    <w:rsid w:val="00941985"/>
    <w:rsid w:val="0094199D"/>
    <w:rsid w:val="00941A9C"/>
    <w:rsid w:val="00941C47"/>
    <w:rsid w:val="00941CB4"/>
    <w:rsid w:val="00941D64"/>
    <w:rsid w:val="00941D9A"/>
    <w:rsid w:val="00941DFF"/>
    <w:rsid w:val="00941F9D"/>
    <w:rsid w:val="00941FD1"/>
    <w:rsid w:val="009421B6"/>
    <w:rsid w:val="009422A7"/>
    <w:rsid w:val="009425F8"/>
    <w:rsid w:val="00942622"/>
    <w:rsid w:val="00942694"/>
    <w:rsid w:val="0094280A"/>
    <w:rsid w:val="009428A4"/>
    <w:rsid w:val="00942901"/>
    <w:rsid w:val="0094292C"/>
    <w:rsid w:val="00942B64"/>
    <w:rsid w:val="00942C2D"/>
    <w:rsid w:val="00942D36"/>
    <w:rsid w:val="00942F2D"/>
    <w:rsid w:val="00943126"/>
    <w:rsid w:val="009431B4"/>
    <w:rsid w:val="0094332C"/>
    <w:rsid w:val="00943414"/>
    <w:rsid w:val="0094344D"/>
    <w:rsid w:val="00943560"/>
    <w:rsid w:val="0094367D"/>
    <w:rsid w:val="009436C9"/>
    <w:rsid w:val="009436F9"/>
    <w:rsid w:val="00943875"/>
    <w:rsid w:val="00943A4F"/>
    <w:rsid w:val="00943C6A"/>
    <w:rsid w:val="00943CE4"/>
    <w:rsid w:val="00943D04"/>
    <w:rsid w:val="00943E16"/>
    <w:rsid w:val="009440D6"/>
    <w:rsid w:val="0094417B"/>
    <w:rsid w:val="00944422"/>
    <w:rsid w:val="009445A1"/>
    <w:rsid w:val="00944600"/>
    <w:rsid w:val="0094479E"/>
    <w:rsid w:val="009447E2"/>
    <w:rsid w:val="00944868"/>
    <w:rsid w:val="009448F5"/>
    <w:rsid w:val="00944B62"/>
    <w:rsid w:val="00944E53"/>
    <w:rsid w:val="00944F2F"/>
    <w:rsid w:val="00944F58"/>
    <w:rsid w:val="00944FF2"/>
    <w:rsid w:val="00945022"/>
    <w:rsid w:val="009450D6"/>
    <w:rsid w:val="0094525A"/>
    <w:rsid w:val="00945398"/>
    <w:rsid w:val="00945538"/>
    <w:rsid w:val="009456AC"/>
    <w:rsid w:val="00945896"/>
    <w:rsid w:val="00945A07"/>
    <w:rsid w:val="00946026"/>
    <w:rsid w:val="00946089"/>
    <w:rsid w:val="00946113"/>
    <w:rsid w:val="009462DF"/>
    <w:rsid w:val="009463C1"/>
    <w:rsid w:val="00946406"/>
    <w:rsid w:val="00946764"/>
    <w:rsid w:val="009468DE"/>
    <w:rsid w:val="00946AF3"/>
    <w:rsid w:val="00946C65"/>
    <w:rsid w:val="00946D2E"/>
    <w:rsid w:val="00947107"/>
    <w:rsid w:val="0094716E"/>
    <w:rsid w:val="009471CD"/>
    <w:rsid w:val="009472A0"/>
    <w:rsid w:val="009474BE"/>
    <w:rsid w:val="009474D8"/>
    <w:rsid w:val="00947607"/>
    <w:rsid w:val="00947663"/>
    <w:rsid w:val="0094766A"/>
    <w:rsid w:val="009478D5"/>
    <w:rsid w:val="00947D4D"/>
    <w:rsid w:val="00947DA6"/>
    <w:rsid w:val="00947EDC"/>
    <w:rsid w:val="00947FBB"/>
    <w:rsid w:val="0094D684"/>
    <w:rsid w:val="009501DA"/>
    <w:rsid w:val="0095020F"/>
    <w:rsid w:val="009506F0"/>
    <w:rsid w:val="0095085F"/>
    <w:rsid w:val="00950A0F"/>
    <w:rsid w:val="00950BE5"/>
    <w:rsid w:val="00950C4C"/>
    <w:rsid w:val="00950DD5"/>
    <w:rsid w:val="00950F6F"/>
    <w:rsid w:val="00950FFD"/>
    <w:rsid w:val="009510A9"/>
    <w:rsid w:val="00951122"/>
    <w:rsid w:val="009511FA"/>
    <w:rsid w:val="00951389"/>
    <w:rsid w:val="0095173B"/>
    <w:rsid w:val="00951741"/>
    <w:rsid w:val="0095176B"/>
    <w:rsid w:val="00951868"/>
    <w:rsid w:val="009519D0"/>
    <w:rsid w:val="00951A45"/>
    <w:rsid w:val="00951D42"/>
    <w:rsid w:val="00951D99"/>
    <w:rsid w:val="00951E3B"/>
    <w:rsid w:val="00951E86"/>
    <w:rsid w:val="00951FE8"/>
    <w:rsid w:val="00952014"/>
    <w:rsid w:val="009521D3"/>
    <w:rsid w:val="009522D1"/>
    <w:rsid w:val="00952330"/>
    <w:rsid w:val="00952371"/>
    <w:rsid w:val="009523DC"/>
    <w:rsid w:val="009524B6"/>
    <w:rsid w:val="009525DC"/>
    <w:rsid w:val="009525F1"/>
    <w:rsid w:val="0095260D"/>
    <w:rsid w:val="00952685"/>
    <w:rsid w:val="00952723"/>
    <w:rsid w:val="00952845"/>
    <w:rsid w:val="009529C0"/>
    <w:rsid w:val="00952C6E"/>
    <w:rsid w:val="00952C90"/>
    <w:rsid w:val="00952F31"/>
    <w:rsid w:val="00952F3D"/>
    <w:rsid w:val="00952FB1"/>
    <w:rsid w:val="00953067"/>
    <w:rsid w:val="00953347"/>
    <w:rsid w:val="009533E8"/>
    <w:rsid w:val="00953439"/>
    <w:rsid w:val="009537A8"/>
    <w:rsid w:val="009537D8"/>
    <w:rsid w:val="009538E1"/>
    <w:rsid w:val="00953AEE"/>
    <w:rsid w:val="00953B31"/>
    <w:rsid w:val="00953B56"/>
    <w:rsid w:val="00953C82"/>
    <w:rsid w:val="00953DE6"/>
    <w:rsid w:val="00953F5C"/>
    <w:rsid w:val="009540CA"/>
    <w:rsid w:val="00954587"/>
    <w:rsid w:val="009545E8"/>
    <w:rsid w:val="00954969"/>
    <w:rsid w:val="009549C2"/>
    <w:rsid w:val="009549FC"/>
    <w:rsid w:val="00954B03"/>
    <w:rsid w:val="00954BC2"/>
    <w:rsid w:val="00954BF7"/>
    <w:rsid w:val="00954C76"/>
    <w:rsid w:val="00954CA4"/>
    <w:rsid w:val="00954CC5"/>
    <w:rsid w:val="00954CDF"/>
    <w:rsid w:val="00954D50"/>
    <w:rsid w:val="00954E9E"/>
    <w:rsid w:val="00954FAE"/>
    <w:rsid w:val="00954FBB"/>
    <w:rsid w:val="00955046"/>
    <w:rsid w:val="00955496"/>
    <w:rsid w:val="00955583"/>
    <w:rsid w:val="00955655"/>
    <w:rsid w:val="00955789"/>
    <w:rsid w:val="00955C38"/>
    <w:rsid w:val="00955D27"/>
    <w:rsid w:val="00955D7C"/>
    <w:rsid w:val="00955E3B"/>
    <w:rsid w:val="00955F3C"/>
    <w:rsid w:val="009561E1"/>
    <w:rsid w:val="009561E2"/>
    <w:rsid w:val="009562D9"/>
    <w:rsid w:val="0095636A"/>
    <w:rsid w:val="00956428"/>
    <w:rsid w:val="009564FB"/>
    <w:rsid w:val="00956736"/>
    <w:rsid w:val="00956773"/>
    <w:rsid w:val="00956776"/>
    <w:rsid w:val="009567A3"/>
    <w:rsid w:val="00956816"/>
    <w:rsid w:val="00956884"/>
    <w:rsid w:val="00956A13"/>
    <w:rsid w:val="00956B23"/>
    <w:rsid w:val="00956CBB"/>
    <w:rsid w:val="00956DD8"/>
    <w:rsid w:val="00956DED"/>
    <w:rsid w:val="00957044"/>
    <w:rsid w:val="0095713A"/>
    <w:rsid w:val="0095723B"/>
    <w:rsid w:val="00957347"/>
    <w:rsid w:val="009573D4"/>
    <w:rsid w:val="009574D9"/>
    <w:rsid w:val="0095756E"/>
    <w:rsid w:val="00957593"/>
    <w:rsid w:val="00957764"/>
    <w:rsid w:val="009577D3"/>
    <w:rsid w:val="009578C3"/>
    <w:rsid w:val="0095796C"/>
    <w:rsid w:val="00957E67"/>
    <w:rsid w:val="00960084"/>
    <w:rsid w:val="009600DD"/>
    <w:rsid w:val="00960133"/>
    <w:rsid w:val="0096019C"/>
    <w:rsid w:val="0096026F"/>
    <w:rsid w:val="009602FC"/>
    <w:rsid w:val="0096034B"/>
    <w:rsid w:val="009603E0"/>
    <w:rsid w:val="00960404"/>
    <w:rsid w:val="00960489"/>
    <w:rsid w:val="0096058D"/>
    <w:rsid w:val="009606F1"/>
    <w:rsid w:val="0096070F"/>
    <w:rsid w:val="00960853"/>
    <w:rsid w:val="00960867"/>
    <w:rsid w:val="0096096C"/>
    <w:rsid w:val="009609D8"/>
    <w:rsid w:val="00960BFA"/>
    <w:rsid w:val="00960CA9"/>
    <w:rsid w:val="00960D77"/>
    <w:rsid w:val="00960E67"/>
    <w:rsid w:val="00960EF7"/>
    <w:rsid w:val="00960F0A"/>
    <w:rsid w:val="00960F52"/>
    <w:rsid w:val="00960FAC"/>
    <w:rsid w:val="0096118A"/>
    <w:rsid w:val="009611E5"/>
    <w:rsid w:val="00961228"/>
    <w:rsid w:val="00961229"/>
    <w:rsid w:val="00961758"/>
    <w:rsid w:val="00961800"/>
    <w:rsid w:val="009619BC"/>
    <w:rsid w:val="00961D50"/>
    <w:rsid w:val="00961D8D"/>
    <w:rsid w:val="00961E01"/>
    <w:rsid w:val="00961E36"/>
    <w:rsid w:val="00961E8F"/>
    <w:rsid w:val="0096212D"/>
    <w:rsid w:val="009627DD"/>
    <w:rsid w:val="00962828"/>
    <w:rsid w:val="00962871"/>
    <w:rsid w:val="009628BB"/>
    <w:rsid w:val="00962AEE"/>
    <w:rsid w:val="00962C2A"/>
    <w:rsid w:val="00962EC6"/>
    <w:rsid w:val="00962ED9"/>
    <w:rsid w:val="00962F6E"/>
    <w:rsid w:val="00962FB2"/>
    <w:rsid w:val="00963088"/>
    <w:rsid w:val="009633DF"/>
    <w:rsid w:val="009633E2"/>
    <w:rsid w:val="0096350A"/>
    <w:rsid w:val="00963647"/>
    <w:rsid w:val="00963722"/>
    <w:rsid w:val="00963855"/>
    <w:rsid w:val="00963954"/>
    <w:rsid w:val="00963AED"/>
    <w:rsid w:val="00963CB3"/>
    <w:rsid w:val="00963E77"/>
    <w:rsid w:val="00964048"/>
    <w:rsid w:val="00964193"/>
    <w:rsid w:val="00964216"/>
    <w:rsid w:val="0096422D"/>
    <w:rsid w:val="009643C1"/>
    <w:rsid w:val="00964468"/>
    <w:rsid w:val="009644F0"/>
    <w:rsid w:val="00964547"/>
    <w:rsid w:val="009645E9"/>
    <w:rsid w:val="0096483D"/>
    <w:rsid w:val="00964889"/>
    <w:rsid w:val="00964976"/>
    <w:rsid w:val="00964B50"/>
    <w:rsid w:val="00964B97"/>
    <w:rsid w:val="00964C46"/>
    <w:rsid w:val="00964CA5"/>
    <w:rsid w:val="00964F26"/>
    <w:rsid w:val="00964F84"/>
    <w:rsid w:val="00964F87"/>
    <w:rsid w:val="00965044"/>
    <w:rsid w:val="00965045"/>
    <w:rsid w:val="009650F3"/>
    <w:rsid w:val="0096521C"/>
    <w:rsid w:val="009653A2"/>
    <w:rsid w:val="009653A9"/>
    <w:rsid w:val="00965421"/>
    <w:rsid w:val="00965648"/>
    <w:rsid w:val="0096567D"/>
    <w:rsid w:val="0096569D"/>
    <w:rsid w:val="009656BE"/>
    <w:rsid w:val="009657BD"/>
    <w:rsid w:val="00965841"/>
    <w:rsid w:val="009658CF"/>
    <w:rsid w:val="009658DB"/>
    <w:rsid w:val="00965A6F"/>
    <w:rsid w:val="00965B39"/>
    <w:rsid w:val="00965B74"/>
    <w:rsid w:val="00965B8A"/>
    <w:rsid w:val="00965BEE"/>
    <w:rsid w:val="00965C05"/>
    <w:rsid w:val="00965D7D"/>
    <w:rsid w:val="009662CD"/>
    <w:rsid w:val="00966309"/>
    <w:rsid w:val="0096630F"/>
    <w:rsid w:val="0096639D"/>
    <w:rsid w:val="0096640E"/>
    <w:rsid w:val="0096657A"/>
    <w:rsid w:val="00966659"/>
    <w:rsid w:val="009666CD"/>
    <w:rsid w:val="009668C2"/>
    <w:rsid w:val="00966A6A"/>
    <w:rsid w:val="00966AEF"/>
    <w:rsid w:val="00966BA1"/>
    <w:rsid w:val="00966D9E"/>
    <w:rsid w:val="00966EFB"/>
    <w:rsid w:val="00967026"/>
    <w:rsid w:val="0096713B"/>
    <w:rsid w:val="009672BD"/>
    <w:rsid w:val="009673A5"/>
    <w:rsid w:val="00967431"/>
    <w:rsid w:val="0096745E"/>
    <w:rsid w:val="0096746F"/>
    <w:rsid w:val="00967487"/>
    <w:rsid w:val="009675EC"/>
    <w:rsid w:val="00967693"/>
    <w:rsid w:val="009676E8"/>
    <w:rsid w:val="009677EB"/>
    <w:rsid w:val="00967838"/>
    <w:rsid w:val="0096791A"/>
    <w:rsid w:val="00967946"/>
    <w:rsid w:val="009679B5"/>
    <w:rsid w:val="00967AB6"/>
    <w:rsid w:val="00967ABD"/>
    <w:rsid w:val="00967AD5"/>
    <w:rsid w:val="00967E15"/>
    <w:rsid w:val="009700E6"/>
    <w:rsid w:val="00970146"/>
    <w:rsid w:val="009702F8"/>
    <w:rsid w:val="00970572"/>
    <w:rsid w:val="0097074F"/>
    <w:rsid w:val="009707E4"/>
    <w:rsid w:val="0097092B"/>
    <w:rsid w:val="0097098A"/>
    <w:rsid w:val="00970CC7"/>
    <w:rsid w:val="00970DA1"/>
    <w:rsid w:val="00970E29"/>
    <w:rsid w:val="00970E93"/>
    <w:rsid w:val="009710C3"/>
    <w:rsid w:val="009710F7"/>
    <w:rsid w:val="0097110E"/>
    <w:rsid w:val="009712F8"/>
    <w:rsid w:val="009713D5"/>
    <w:rsid w:val="009715F2"/>
    <w:rsid w:val="00971729"/>
    <w:rsid w:val="00971777"/>
    <w:rsid w:val="00971C85"/>
    <w:rsid w:val="00971D2D"/>
    <w:rsid w:val="00971DBD"/>
    <w:rsid w:val="00971E37"/>
    <w:rsid w:val="00971F75"/>
    <w:rsid w:val="0097220A"/>
    <w:rsid w:val="0097233D"/>
    <w:rsid w:val="009723E1"/>
    <w:rsid w:val="0097246E"/>
    <w:rsid w:val="009725A3"/>
    <w:rsid w:val="009725BB"/>
    <w:rsid w:val="00972675"/>
    <w:rsid w:val="009726C5"/>
    <w:rsid w:val="00972A9B"/>
    <w:rsid w:val="00972B41"/>
    <w:rsid w:val="00972B4A"/>
    <w:rsid w:val="00972C09"/>
    <w:rsid w:val="00972C36"/>
    <w:rsid w:val="00972C6D"/>
    <w:rsid w:val="00972ED8"/>
    <w:rsid w:val="00972F07"/>
    <w:rsid w:val="00973141"/>
    <w:rsid w:val="009731D1"/>
    <w:rsid w:val="009732E6"/>
    <w:rsid w:val="00973525"/>
    <w:rsid w:val="009735B7"/>
    <w:rsid w:val="00973808"/>
    <w:rsid w:val="00973B10"/>
    <w:rsid w:val="00973B69"/>
    <w:rsid w:val="00973C37"/>
    <w:rsid w:val="00973D18"/>
    <w:rsid w:val="00973EA8"/>
    <w:rsid w:val="0097405C"/>
    <w:rsid w:val="00974099"/>
    <w:rsid w:val="009740C1"/>
    <w:rsid w:val="00974146"/>
    <w:rsid w:val="009741FE"/>
    <w:rsid w:val="00974276"/>
    <w:rsid w:val="00974298"/>
    <w:rsid w:val="009743ED"/>
    <w:rsid w:val="00974442"/>
    <w:rsid w:val="009746A8"/>
    <w:rsid w:val="00974745"/>
    <w:rsid w:val="0097497E"/>
    <w:rsid w:val="009749B1"/>
    <w:rsid w:val="00974A1B"/>
    <w:rsid w:val="00974C7C"/>
    <w:rsid w:val="00974E56"/>
    <w:rsid w:val="00974E57"/>
    <w:rsid w:val="00974EE0"/>
    <w:rsid w:val="00975130"/>
    <w:rsid w:val="009752E4"/>
    <w:rsid w:val="009756E3"/>
    <w:rsid w:val="009757E1"/>
    <w:rsid w:val="009758DD"/>
    <w:rsid w:val="00975B59"/>
    <w:rsid w:val="00975B62"/>
    <w:rsid w:val="00975E07"/>
    <w:rsid w:val="00975EC4"/>
    <w:rsid w:val="00975F66"/>
    <w:rsid w:val="00975F70"/>
    <w:rsid w:val="00976185"/>
    <w:rsid w:val="009762F0"/>
    <w:rsid w:val="00976327"/>
    <w:rsid w:val="009767B8"/>
    <w:rsid w:val="009769AA"/>
    <w:rsid w:val="00976B49"/>
    <w:rsid w:val="00976CD7"/>
    <w:rsid w:val="00976D26"/>
    <w:rsid w:val="00976D4E"/>
    <w:rsid w:val="00976D55"/>
    <w:rsid w:val="00976DD8"/>
    <w:rsid w:val="0097709C"/>
    <w:rsid w:val="00977153"/>
    <w:rsid w:val="009772B2"/>
    <w:rsid w:val="00977382"/>
    <w:rsid w:val="009773C7"/>
    <w:rsid w:val="00977794"/>
    <w:rsid w:val="009777ED"/>
    <w:rsid w:val="009779E5"/>
    <w:rsid w:val="00977B76"/>
    <w:rsid w:val="00977B7A"/>
    <w:rsid w:val="00977BAC"/>
    <w:rsid w:val="00977E30"/>
    <w:rsid w:val="00977EF7"/>
    <w:rsid w:val="00977F0D"/>
    <w:rsid w:val="0098006E"/>
    <w:rsid w:val="00980342"/>
    <w:rsid w:val="009803A1"/>
    <w:rsid w:val="009803AB"/>
    <w:rsid w:val="00980489"/>
    <w:rsid w:val="009804EB"/>
    <w:rsid w:val="0098059C"/>
    <w:rsid w:val="00980804"/>
    <w:rsid w:val="00980B2D"/>
    <w:rsid w:val="00980CAE"/>
    <w:rsid w:val="00980D64"/>
    <w:rsid w:val="00980E13"/>
    <w:rsid w:val="00980E3B"/>
    <w:rsid w:val="00980ED1"/>
    <w:rsid w:val="00980F5A"/>
    <w:rsid w:val="00980FB7"/>
    <w:rsid w:val="0098107C"/>
    <w:rsid w:val="009810D7"/>
    <w:rsid w:val="0098115B"/>
    <w:rsid w:val="00981397"/>
    <w:rsid w:val="009813B4"/>
    <w:rsid w:val="0098153C"/>
    <w:rsid w:val="00981561"/>
    <w:rsid w:val="00981595"/>
    <w:rsid w:val="00981700"/>
    <w:rsid w:val="00981769"/>
    <w:rsid w:val="009817BA"/>
    <w:rsid w:val="00981819"/>
    <w:rsid w:val="00981860"/>
    <w:rsid w:val="00981895"/>
    <w:rsid w:val="009818E0"/>
    <w:rsid w:val="00981A55"/>
    <w:rsid w:val="00981C3C"/>
    <w:rsid w:val="00981CD7"/>
    <w:rsid w:val="00981E0A"/>
    <w:rsid w:val="00981F72"/>
    <w:rsid w:val="00982447"/>
    <w:rsid w:val="009825FD"/>
    <w:rsid w:val="00982678"/>
    <w:rsid w:val="009827B7"/>
    <w:rsid w:val="00982A03"/>
    <w:rsid w:val="00982B00"/>
    <w:rsid w:val="00982CF1"/>
    <w:rsid w:val="00982FCF"/>
    <w:rsid w:val="00982FD0"/>
    <w:rsid w:val="009830EB"/>
    <w:rsid w:val="0098319B"/>
    <w:rsid w:val="0098334E"/>
    <w:rsid w:val="009834B1"/>
    <w:rsid w:val="00983879"/>
    <w:rsid w:val="0098387B"/>
    <w:rsid w:val="009838B9"/>
    <w:rsid w:val="00983F62"/>
    <w:rsid w:val="00983FD4"/>
    <w:rsid w:val="00984025"/>
    <w:rsid w:val="009840AB"/>
    <w:rsid w:val="00984156"/>
    <w:rsid w:val="009841A9"/>
    <w:rsid w:val="00984272"/>
    <w:rsid w:val="0098433D"/>
    <w:rsid w:val="0098434D"/>
    <w:rsid w:val="00984661"/>
    <w:rsid w:val="0098491B"/>
    <w:rsid w:val="00984B0B"/>
    <w:rsid w:val="00984C0F"/>
    <w:rsid w:val="00984C60"/>
    <w:rsid w:val="00984D10"/>
    <w:rsid w:val="00984EB6"/>
    <w:rsid w:val="00984EC8"/>
    <w:rsid w:val="00984F16"/>
    <w:rsid w:val="009851CD"/>
    <w:rsid w:val="009851DE"/>
    <w:rsid w:val="009853B5"/>
    <w:rsid w:val="00985437"/>
    <w:rsid w:val="0098544F"/>
    <w:rsid w:val="009854E7"/>
    <w:rsid w:val="0098555A"/>
    <w:rsid w:val="00985627"/>
    <w:rsid w:val="009856B9"/>
    <w:rsid w:val="0098573F"/>
    <w:rsid w:val="00985857"/>
    <w:rsid w:val="00985ADE"/>
    <w:rsid w:val="00985B96"/>
    <w:rsid w:val="00985BD7"/>
    <w:rsid w:val="00985CA8"/>
    <w:rsid w:val="00985D00"/>
    <w:rsid w:val="00985F76"/>
    <w:rsid w:val="00986249"/>
    <w:rsid w:val="0098627C"/>
    <w:rsid w:val="0098637C"/>
    <w:rsid w:val="009863B5"/>
    <w:rsid w:val="00986481"/>
    <w:rsid w:val="009867A6"/>
    <w:rsid w:val="00986D39"/>
    <w:rsid w:val="00986E02"/>
    <w:rsid w:val="00986FDC"/>
    <w:rsid w:val="009870D9"/>
    <w:rsid w:val="00987204"/>
    <w:rsid w:val="00987319"/>
    <w:rsid w:val="009873BE"/>
    <w:rsid w:val="0098760A"/>
    <w:rsid w:val="00987626"/>
    <w:rsid w:val="009876EE"/>
    <w:rsid w:val="0098776E"/>
    <w:rsid w:val="00987789"/>
    <w:rsid w:val="009878A7"/>
    <w:rsid w:val="00987964"/>
    <w:rsid w:val="009879A6"/>
    <w:rsid w:val="00987A7C"/>
    <w:rsid w:val="00987B80"/>
    <w:rsid w:val="00987B85"/>
    <w:rsid w:val="00987BCD"/>
    <w:rsid w:val="00987FCA"/>
    <w:rsid w:val="00990070"/>
    <w:rsid w:val="009900FB"/>
    <w:rsid w:val="009901AD"/>
    <w:rsid w:val="009901BA"/>
    <w:rsid w:val="0099029C"/>
    <w:rsid w:val="0099034B"/>
    <w:rsid w:val="009903DC"/>
    <w:rsid w:val="009903F5"/>
    <w:rsid w:val="009905A7"/>
    <w:rsid w:val="009905DE"/>
    <w:rsid w:val="009905EC"/>
    <w:rsid w:val="00990655"/>
    <w:rsid w:val="009907B1"/>
    <w:rsid w:val="009907D2"/>
    <w:rsid w:val="00990B42"/>
    <w:rsid w:val="00990B74"/>
    <w:rsid w:val="00990B7A"/>
    <w:rsid w:val="00990BB9"/>
    <w:rsid w:val="00990C46"/>
    <w:rsid w:val="00990E24"/>
    <w:rsid w:val="00990FC7"/>
    <w:rsid w:val="0099108B"/>
    <w:rsid w:val="009912C3"/>
    <w:rsid w:val="00991330"/>
    <w:rsid w:val="00991381"/>
    <w:rsid w:val="009913E0"/>
    <w:rsid w:val="0099158A"/>
    <w:rsid w:val="009915B6"/>
    <w:rsid w:val="00991F1A"/>
    <w:rsid w:val="00991FA7"/>
    <w:rsid w:val="0099206F"/>
    <w:rsid w:val="0099221B"/>
    <w:rsid w:val="00992266"/>
    <w:rsid w:val="00992315"/>
    <w:rsid w:val="00992335"/>
    <w:rsid w:val="009923B7"/>
    <w:rsid w:val="009923FD"/>
    <w:rsid w:val="009925DD"/>
    <w:rsid w:val="009925E7"/>
    <w:rsid w:val="009925F3"/>
    <w:rsid w:val="009926CB"/>
    <w:rsid w:val="00992708"/>
    <w:rsid w:val="00992789"/>
    <w:rsid w:val="00992852"/>
    <w:rsid w:val="00992953"/>
    <w:rsid w:val="00992C86"/>
    <w:rsid w:val="00992CEA"/>
    <w:rsid w:val="00992D61"/>
    <w:rsid w:val="00992EC8"/>
    <w:rsid w:val="0099314F"/>
    <w:rsid w:val="00993372"/>
    <w:rsid w:val="00993663"/>
    <w:rsid w:val="00993835"/>
    <w:rsid w:val="0099384E"/>
    <w:rsid w:val="009938B7"/>
    <w:rsid w:val="00993A48"/>
    <w:rsid w:val="00993BA7"/>
    <w:rsid w:val="00993EDF"/>
    <w:rsid w:val="00994096"/>
    <w:rsid w:val="0099452A"/>
    <w:rsid w:val="00994646"/>
    <w:rsid w:val="009948AF"/>
    <w:rsid w:val="00994B42"/>
    <w:rsid w:val="00994C52"/>
    <w:rsid w:val="00994CF1"/>
    <w:rsid w:val="00994DB5"/>
    <w:rsid w:val="0099518E"/>
    <w:rsid w:val="009952CF"/>
    <w:rsid w:val="00995326"/>
    <w:rsid w:val="00995521"/>
    <w:rsid w:val="00995532"/>
    <w:rsid w:val="009955A9"/>
    <w:rsid w:val="0099581A"/>
    <w:rsid w:val="0099582B"/>
    <w:rsid w:val="00995878"/>
    <w:rsid w:val="00995DEB"/>
    <w:rsid w:val="00995E41"/>
    <w:rsid w:val="00995F32"/>
    <w:rsid w:val="009960D0"/>
    <w:rsid w:val="00996146"/>
    <w:rsid w:val="0099619E"/>
    <w:rsid w:val="00996242"/>
    <w:rsid w:val="0099624C"/>
    <w:rsid w:val="00996523"/>
    <w:rsid w:val="0099654A"/>
    <w:rsid w:val="0099672E"/>
    <w:rsid w:val="009967FC"/>
    <w:rsid w:val="0099686C"/>
    <w:rsid w:val="00996930"/>
    <w:rsid w:val="00996A73"/>
    <w:rsid w:val="00996BF1"/>
    <w:rsid w:val="00996C26"/>
    <w:rsid w:val="00996E16"/>
    <w:rsid w:val="00996E37"/>
    <w:rsid w:val="00996E9E"/>
    <w:rsid w:val="00996EFE"/>
    <w:rsid w:val="0099704C"/>
    <w:rsid w:val="00997482"/>
    <w:rsid w:val="0099752E"/>
    <w:rsid w:val="00997601"/>
    <w:rsid w:val="00997668"/>
    <w:rsid w:val="0099769A"/>
    <w:rsid w:val="0099782C"/>
    <w:rsid w:val="0099787B"/>
    <w:rsid w:val="00997B0A"/>
    <w:rsid w:val="00997BBD"/>
    <w:rsid w:val="00997CA2"/>
    <w:rsid w:val="00997D48"/>
    <w:rsid w:val="00997D62"/>
    <w:rsid w:val="00997EF3"/>
    <w:rsid w:val="00997FED"/>
    <w:rsid w:val="0099CD13"/>
    <w:rsid w:val="009A0074"/>
    <w:rsid w:val="009A045D"/>
    <w:rsid w:val="009A04A9"/>
    <w:rsid w:val="009A08DB"/>
    <w:rsid w:val="009A09A0"/>
    <w:rsid w:val="009A0A16"/>
    <w:rsid w:val="009A0A84"/>
    <w:rsid w:val="009A0CDC"/>
    <w:rsid w:val="009A0CEF"/>
    <w:rsid w:val="009A1033"/>
    <w:rsid w:val="009A10D4"/>
    <w:rsid w:val="009A1154"/>
    <w:rsid w:val="009A1232"/>
    <w:rsid w:val="009A14F0"/>
    <w:rsid w:val="009A16F8"/>
    <w:rsid w:val="009A17AE"/>
    <w:rsid w:val="009A193A"/>
    <w:rsid w:val="009A19ED"/>
    <w:rsid w:val="009A1AF9"/>
    <w:rsid w:val="009A1BB8"/>
    <w:rsid w:val="009A1C00"/>
    <w:rsid w:val="009A1C1D"/>
    <w:rsid w:val="009A1DB6"/>
    <w:rsid w:val="009A200C"/>
    <w:rsid w:val="009A204D"/>
    <w:rsid w:val="009A20A5"/>
    <w:rsid w:val="009A20C8"/>
    <w:rsid w:val="009A21D6"/>
    <w:rsid w:val="009A23D1"/>
    <w:rsid w:val="009A2410"/>
    <w:rsid w:val="009A24B9"/>
    <w:rsid w:val="009A25AA"/>
    <w:rsid w:val="009A2739"/>
    <w:rsid w:val="009A2814"/>
    <w:rsid w:val="009A28EF"/>
    <w:rsid w:val="009A29F0"/>
    <w:rsid w:val="009A2A97"/>
    <w:rsid w:val="009A2B30"/>
    <w:rsid w:val="009A2B51"/>
    <w:rsid w:val="009A2B5E"/>
    <w:rsid w:val="009A2BC2"/>
    <w:rsid w:val="009A2C81"/>
    <w:rsid w:val="009A2E7B"/>
    <w:rsid w:val="009A331E"/>
    <w:rsid w:val="009A343F"/>
    <w:rsid w:val="009A3532"/>
    <w:rsid w:val="009A3770"/>
    <w:rsid w:val="009A38A8"/>
    <w:rsid w:val="009A39C3"/>
    <w:rsid w:val="009A3DF5"/>
    <w:rsid w:val="009A3F7F"/>
    <w:rsid w:val="009A3FC2"/>
    <w:rsid w:val="009A4158"/>
    <w:rsid w:val="009A4388"/>
    <w:rsid w:val="009A4426"/>
    <w:rsid w:val="009A448F"/>
    <w:rsid w:val="009A486C"/>
    <w:rsid w:val="009A489D"/>
    <w:rsid w:val="009A492E"/>
    <w:rsid w:val="009A4932"/>
    <w:rsid w:val="009A49B3"/>
    <w:rsid w:val="009A4FE4"/>
    <w:rsid w:val="009A526F"/>
    <w:rsid w:val="009A5348"/>
    <w:rsid w:val="009A54DA"/>
    <w:rsid w:val="009A5544"/>
    <w:rsid w:val="009A598C"/>
    <w:rsid w:val="009A5A84"/>
    <w:rsid w:val="009A5B09"/>
    <w:rsid w:val="009A5BA3"/>
    <w:rsid w:val="009A5BAF"/>
    <w:rsid w:val="009A5D2D"/>
    <w:rsid w:val="009A5F04"/>
    <w:rsid w:val="009A5F38"/>
    <w:rsid w:val="009A5FB2"/>
    <w:rsid w:val="009A605D"/>
    <w:rsid w:val="009A6173"/>
    <w:rsid w:val="009A6454"/>
    <w:rsid w:val="009A6590"/>
    <w:rsid w:val="009A6756"/>
    <w:rsid w:val="009A6812"/>
    <w:rsid w:val="009A69CB"/>
    <w:rsid w:val="009A6AF1"/>
    <w:rsid w:val="009A6C39"/>
    <w:rsid w:val="009A6C3E"/>
    <w:rsid w:val="009A6F0E"/>
    <w:rsid w:val="009A71D1"/>
    <w:rsid w:val="009A7288"/>
    <w:rsid w:val="009A72FC"/>
    <w:rsid w:val="009A738A"/>
    <w:rsid w:val="009A738F"/>
    <w:rsid w:val="009A73EA"/>
    <w:rsid w:val="009A75B3"/>
    <w:rsid w:val="009A76C5"/>
    <w:rsid w:val="009A76D7"/>
    <w:rsid w:val="009A7730"/>
    <w:rsid w:val="009A77BD"/>
    <w:rsid w:val="009A7945"/>
    <w:rsid w:val="009A7A3D"/>
    <w:rsid w:val="009A7A9D"/>
    <w:rsid w:val="009A7B8B"/>
    <w:rsid w:val="009A7C32"/>
    <w:rsid w:val="009A7C5E"/>
    <w:rsid w:val="009A7EAA"/>
    <w:rsid w:val="009B0061"/>
    <w:rsid w:val="009B015E"/>
    <w:rsid w:val="009B0200"/>
    <w:rsid w:val="009B0237"/>
    <w:rsid w:val="009B0534"/>
    <w:rsid w:val="009B0579"/>
    <w:rsid w:val="009B0636"/>
    <w:rsid w:val="009B0828"/>
    <w:rsid w:val="009B0850"/>
    <w:rsid w:val="009B091E"/>
    <w:rsid w:val="009B094E"/>
    <w:rsid w:val="009B09E8"/>
    <w:rsid w:val="009B0CFA"/>
    <w:rsid w:val="009B0D69"/>
    <w:rsid w:val="009B0E19"/>
    <w:rsid w:val="009B0FB7"/>
    <w:rsid w:val="009B10C1"/>
    <w:rsid w:val="009B10D8"/>
    <w:rsid w:val="009B14F1"/>
    <w:rsid w:val="009B15EE"/>
    <w:rsid w:val="009B1665"/>
    <w:rsid w:val="009B17CF"/>
    <w:rsid w:val="009B182C"/>
    <w:rsid w:val="009B1A1F"/>
    <w:rsid w:val="009B1AAA"/>
    <w:rsid w:val="009B1B1D"/>
    <w:rsid w:val="009B1B3D"/>
    <w:rsid w:val="009B1BCC"/>
    <w:rsid w:val="009B1C60"/>
    <w:rsid w:val="009B1D15"/>
    <w:rsid w:val="009B1D20"/>
    <w:rsid w:val="009B1D64"/>
    <w:rsid w:val="009B1DEE"/>
    <w:rsid w:val="009B1E9A"/>
    <w:rsid w:val="009B2005"/>
    <w:rsid w:val="009B201A"/>
    <w:rsid w:val="009B226D"/>
    <w:rsid w:val="009B23C7"/>
    <w:rsid w:val="009B24A0"/>
    <w:rsid w:val="009B24B0"/>
    <w:rsid w:val="009B263E"/>
    <w:rsid w:val="009B27EE"/>
    <w:rsid w:val="009B2854"/>
    <w:rsid w:val="009B2A9A"/>
    <w:rsid w:val="009B2B55"/>
    <w:rsid w:val="009B2C4C"/>
    <w:rsid w:val="009B2EC5"/>
    <w:rsid w:val="009B2ED3"/>
    <w:rsid w:val="009B3008"/>
    <w:rsid w:val="009B3123"/>
    <w:rsid w:val="009B3169"/>
    <w:rsid w:val="009B3205"/>
    <w:rsid w:val="009B32AB"/>
    <w:rsid w:val="009B335E"/>
    <w:rsid w:val="009B3522"/>
    <w:rsid w:val="009B3611"/>
    <w:rsid w:val="009B3A15"/>
    <w:rsid w:val="009B3FBB"/>
    <w:rsid w:val="009B4070"/>
    <w:rsid w:val="009B40F9"/>
    <w:rsid w:val="009B41C9"/>
    <w:rsid w:val="009B4264"/>
    <w:rsid w:val="009B42D4"/>
    <w:rsid w:val="009B43BF"/>
    <w:rsid w:val="009B4605"/>
    <w:rsid w:val="009B47BF"/>
    <w:rsid w:val="009B48DF"/>
    <w:rsid w:val="009B4B09"/>
    <w:rsid w:val="009B4B2C"/>
    <w:rsid w:val="009B4B3A"/>
    <w:rsid w:val="009B4BC7"/>
    <w:rsid w:val="009B4C98"/>
    <w:rsid w:val="009B4E11"/>
    <w:rsid w:val="009B4F4A"/>
    <w:rsid w:val="009B4F73"/>
    <w:rsid w:val="009B50CD"/>
    <w:rsid w:val="009B5236"/>
    <w:rsid w:val="009B52B0"/>
    <w:rsid w:val="009B52D2"/>
    <w:rsid w:val="009B56BD"/>
    <w:rsid w:val="009B583A"/>
    <w:rsid w:val="009B5B00"/>
    <w:rsid w:val="009B5BD8"/>
    <w:rsid w:val="009B5E6B"/>
    <w:rsid w:val="009B5F33"/>
    <w:rsid w:val="009B5FF1"/>
    <w:rsid w:val="009B6061"/>
    <w:rsid w:val="009B60DD"/>
    <w:rsid w:val="009B6100"/>
    <w:rsid w:val="009B612A"/>
    <w:rsid w:val="009B614F"/>
    <w:rsid w:val="009B6332"/>
    <w:rsid w:val="009B6359"/>
    <w:rsid w:val="009B63B2"/>
    <w:rsid w:val="009B63B6"/>
    <w:rsid w:val="009B6507"/>
    <w:rsid w:val="009B65B7"/>
    <w:rsid w:val="009B6620"/>
    <w:rsid w:val="009B66A1"/>
    <w:rsid w:val="009B66C0"/>
    <w:rsid w:val="009B6837"/>
    <w:rsid w:val="009B6883"/>
    <w:rsid w:val="009B6894"/>
    <w:rsid w:val="009B6D48"/>
    <w:rsid w:val="009B6E28"/>
    <w:rsid w:val="009B6F15"/>
    <w:rsid w:val="009B7025"/>
    <w:rsid w:val="009B73E8"/>
    <w:rsid w:val="009B7421"/>
    <w:rsid w:val="009B7517"/>
    <w:rsid w:val="009B7622"/>
    <w:rsid w:val="009B77ED"/>
    <w:rsid w:val="009B79D5"/>
    <w:rsid w:val="009B7AAD"/>
    <w:rsid w:val="009C0021"/>
    <w:rsid w:val="009C0073"/>
    <w:rsid w:val="009C009D"/>
    <w:rsid w:val="009C00B8"/>
    <w:rsid w:val="009C010F"/>
    <w:rsid w:val="009C027B"/>
    <w:rsid w:val="009C03D7"/>
    <w:rsid w:val="009C0456"/>
    <w:rsid w:val="009C0867"/>
    <w:rsid w:val="009C0A27"/>
    <w:rsid w:val="009C0A3D"/>
    <w:rsid w:val="009C0B55"/>
    <w:rsid w:val="009C0BD5"/>
    <w:rsid w:val="009C0C6B"/>
    <w:rsid w:val="009C0CBD"/>
    <w:rsid w:val="009C1121"/>
    <w:rsid w:val="009C1169"/>
    <w:rsid w:val="009C1243"/>
    <w:rsid w:val="009C1488"/>
    <w:rsid w:val="009C14D5"/>
    <w:rsid w:val="009C1589"/>
    <w:rsid w:val="009C1593"/>
    <w:rsid w:val="009C188B"/>
    <w:rsid w:val="009C193E"/>
    <w:rsid w:val="009C1958"/>
    <w:rsid w:val="009C19B3"/>
    <w:rsid w:val="009C19B8"/>
    <w:rsid w:val="009C1AAE"/>
    <w:rsid w:val="009C1C67"/>
    <w:rsid w:val="009C1C7F"/>
    <w:rsid w:val="009C1D95"/>
    <w:rsid w:val="009C1E38"/>
    <w:rsid w:val="009C1E5D"/>
    <w:rsid w:val="009C1F4A"/>
    <w:rsid w:val="009C1F5D"/>
    <w:rsid w:val="009C21A0"/>
    <w:rsid w:val="009C224D"/>
    <w:rsid w:val="009C2256"/>
    <w:rsid w:val="009C2320"/>
    <w:rsid w:val="009C247D"/>
    <w:rsid w:val="009C2917"/>
    <w:rsid w:val="009C2983"/>
    <w:rsid w:val="009C2A4E"/>
    <w:rsid w:val="009C2B14"/>
    <w:rsid w:val="009C2B85"/>
    <w:rsid w:val="009C2BDA"/>
    <w:rsid w:val="009C2C5C"/>
    <w:rsid w:val="009C2FE3"/>
    <w:rsid w:val="009C31A1"/>
    <w:rsid w:val="009C3451"/>
    <w:rsid w:val="009C3533"/>
    <w:rsid w:val="009C358A"/>
    <w:rsid w:val="009C359A"/>
    <w:rsid w:val="009C3746"/>
    <w:rsid w:val="009C39F1"/>
    <w:rsid w:val="009C39F3"/>
    <w:rsid w:val="009C3A79"/>
    <w:rsid w:val="009C3BDE"/>
    <w:rsid w:val="009C3C4D"/>
    <w:rsid w:val="009C3D8F"/>
    <w:rsid w:val="009C3EFD"/>
    <w:rsid w:val="009C3F03"/>
    <w:rsid w:val="009C4001"/>
    <w:rsid w:val="009C425F"/>
    <w:rsid w:val="009C42D8"/>
    <w:rsid w:val="009C42DB"/>
    <w:rsid w:val="009C439C"/>
    <w:rsid w:val="009C44B2"/>
    <w:rsid w:val="009C4703"/>
    <w:rsid w:val="009C49E4"/>
    <w:rsid w:val="009C49F4"/>
    <w:rsid w:val="009C4B57"/>
    <w:rsid w:val="009C4B7A"/>
    <w:rsid w:val="009C4CA2"/>
    <w:rsid w:val="009C4CC1"/>
    <w:rsid w:val="009C4D9A"/>
    <w:rsid w:val="009C4DA8"/>
    <w:rsid w:val="009C4DAC"/>
    <w:rsid w:val="009C4ECD"/>
    <w:rsid w:val="009C5034"/>
    <w:rsid w:val="009C527C"/>
    <w:rsid w:val="009C52AC"/>
    <w:rsid w:val="009C58F4"/>
    <w:rsid w:val="009C59F1"/>
    <w:rsid w:val="009C5A68"/>
    <w:rsid w:val="009C5F30"/>
    <w:rsid w:val="009C607E"/>
    <w:rsid w:val="009C627C"/>
    <w:rsid w:val="009C6389"/>
    <w:rsid w:val="009C63AA"/>
    <w:rsid w:val="009C643A"/>
    <w:rsid w:val="009C649C"/>
    <w:rsid w:val="009C650A"/>
    <w:rsid w:val="009C67A0"/>
    <w:rsid w:val="009C67EF"/>
    <w:rsid w:val="009C6812"/>
    <w:rsid w:val="009C6894"/>
    <w:rsid w:val="009C689F"/>
    <w:rsid w:val="009C6FFA"/>
    <w:rsid w:val="009C70FB"/>
    <w:rsid w:val="009C72CC"/>
    <w:rsid w:val="009C7348"/>
    <w:rsid w:val="009C7460"/>
    <w:rsid w:val="009C7B3D"/>
    <w:rsid w:val="009C7B96"/>
    <w:rsid w:val="009C7BD7"/>
    <w:rsid w:val="009C7E94"/>
    <w:rsid w:val="009CF0AC"/>
    <w:rsid w:val="009D0032"/>
    <w:rsid w:val="009D00FC"/>
    <w:rsid w:val="009D03CA"/>
    <w:rsid w:val="009D0637"/>
    <w:rsid w:val="009D06F9"/>
    <w:rsid w:val="009D0790"/>
    <w:rsid w:val="009D07D7"/>
    <w:rsid w:val="009D082B"/>
    <w:rsid w:val="009D0891"/>
    <w:rsid w:val="009D0D32"/>
    <w:rsid w:val="009D0ED7"/>
    <w:rsid w:val="009D10EC"/>
    <w:rsid w:val="009D13D4"/>
    <w:rsid w:val="009D174D"/>
    <w:rsid w:val="009D1832"/>
    <w:rsid w:val="009D18BF"/>
    <w:rsid w:val="009D1B05"/>
    <w:rsid w:val="009D1EA2"/>
    <w:rsid w:val="009D21CB"/>
    <w:rsid w:val="009D2337"/>
    <w:rsid w:val="009D23A0"/>
    <w:rsid w:val="009D24D9"/>
    <w:rsid w:val="009D24FE"/>
    <w:rsid w:val="009D251A"/>
    <w:rsid w:val="009D274E"/>
    <w:rsid w:val="009D2A8C"/>
    <w:rsid w:val="009D2BD7"/>
    <w:rsid w:val="009D2E20"/>
    <w:rsid w:val="009D2E7D"/>
    <w:rsid w:val="009D2F16"/>
    <w:rsid w:val="009D3009"/>
    <w:rsid w:val="009D305D"/>
    <w:rsid w:val="009D328D"/>
    <w:rsid w:val="009D32A3"/>
    <w:rsid w:val="009D32CA"/>
    <w:rsid w:val="009D32D8"/>
    <w:rsid w:val="009D3387"/>
    <w:rsid w:val="009D35EA"/>
    <w:rsid w:val="009D3605"/>
    <w:rsid w:val="009D3678"/>
    <w:rsid w:val="009D37AF"/>
    <w:rsid w:val="009D38D8"/>
    <w:rsid w:val="009D3AC1"/>
    <w:rsid w:val="009D3B62"/>
    <w:rsid w:val="009D3BD6"/>
    <w:rsid w:val="009D3C2C"/>
    <w:rsid w:val="009D3D4F"/>
    <w:rsid w:val="009D3DDB"/>
    <w:rsid w:val="009D3F29"/>
    <w:rsid w:val="009D3F59"/>
    <w:rsid w:val="009D3FBE"/>
    <w:rsid w:val="009D4015"/>
    <w:rsid w:val="009D4235"/>
    <w:rsid w:val="009D4247"/>
    <w:rsid w:val="009D42FA"/>
    <w:rsid w:val="009D44FB"/>
    <w:rsid w:val="009D4618"/>
    <w:rsid w:val="009D46CD"/>
    <w:rsid w:val="009D47C7"/>
    <w:rsid w:val="009D4A0F"/>
    <w:rsid w:val="009D4B2F"/>
    <w:rsid w:val="009D4B50"/>
    <w:rsid w:val="009D4B60"/>
    <w:rsid w:val="009D4C15"/>
    <w:rsid w:val="009D4C38"/>
    <w:rsid w:val="009D4CDF"/>
    <w:rsid w:val="009D4E0F"/>
    <w:rsid w:val="009D4E5C"/>
    <w:rsid w:val="009D4FC5"/>
    <w:rsid w:val="009D501E"/>
    <w:rsid w:val="009D52D7"/>
    <w:rsid w:val="009D530A"/>
    <w:rsid w:val="009D5332"/>
    <w:rsid w:val="009D53DF"/>
    <w:rsid w:val="009D5847"/>
    <w:rsid w:val="009D59F6"/>
    <w:rsid w:val="009D5A6D"/>
    <w:rsid w:val="009D5B1C"/>
    <w:rsid w:val="009D5F04"/>
    <w:rsid w:val="009D5F84"/>
    <w:rsid w:val="009D5F99"/>
    <w:rsid w:val="009D5FA0"/>
    <w:rsid w:val="009D61D9"/>
    <w:rsid w:val="009D6252"/>
    <w:rsid w:val="009D641A"/>
    <w:rsid w:val="009D6448"/>
    <w:rsid w:val="009D64B4"/>
    <w:rsid w:val="009D67E0"/>
    <w:rsid w:val="009D686E"/>
    <w:rsid w:val="009D6950"/>
    <w:rsid w:val="009D69C9"/>
    <w:rsid w:val="009D69CA"/>
    <w:rsid w:val="009D69CC"/>
    <w:rsid w:val="009D6BA2"/>
    <w:rsid w:val="009D6BDF"/>
    <w:rsid w:val="009D6C16"/>
    <w:rsid w:val="009D6EA6"/>
    <w:rsid w:val="009D70A4"/>
    <w:rsid w:val="009D7198"/>
    <w:rsid w:val="009D71C3"/>
    <w:rsid w:val="009D7284"/>
    <w:rsid w:val="009D730E"/>
    <w:rsid w:val="009D7322"/>
    <w:rsid w:val="009D733B"/>
    <w:rsid w:val="009D7357"/>
    <w:rsid w:val="009D7483"/>
    <w:rsid w:val="009D7541"/>
    <w:rsid w:val="009D7560"/>
    <w:rsid w:val="009D7588"/>
    <w:rsid w:val="009D7589"/>
    <w:rsid w:val="009D764F"/>
    <w:rsid w:val="009D7733"/>
    <w:rsid w:val="009D7734"/>
    <w:rsid w:val="009D78DC"/>
    <w:rsid w:val="009D7990"/>
    <w:rsid w:val="009D7BBE"/>
    <w:rsid w:val="009D7CA7"/>
    <w:rsid w:val="009D7D89"/>
    <w:rsid w:val="009D7E6A"/>
    <w:rsid w:val="009E00BE"/>
    <w:rsid w:val="009E01A8"/>
    <w:rsid w:val="009E0251"/>
    <w:rsid w:val="009E04DA"/>
    <w:rsid w:val="009E05D9"/>
    <w:rsid w:val="009E061B"/>
    <w:rsid w:val="009E0814"/>
    <w:rsid w:val="009E0870"/>
    <w:rsid w:val="009E0877"/>
    <w:rsid w:val="009E090D"/>
    <w:rsid w:val="009E0A83"/>
    <w:rsid w:val="009E0BF5"/>
    <w:rsid w:val="009E0D18"/>
    <w:rsid w:val="009E0DE2"/>
    <w:rsid w:val="009E0DE6"/>
    <w:rsid w:val="009E0E29"/>
    <w:rsid w:val="009E0E4D"/>
    <w:rsid w:val="009E10BA"/>
    <w:rsid w:val="009E128D"/>
    <w:rsid w:val="009E133C"/>
    <w:rsid w:val="009E135D"/>
    <w:rsid w:val="009E1572"/>
    <w:rsid w:val="009E1611"/>
    <w:rsid w:val="009E16AD"/>
    <w:rsid w:val="009E1A63"/>
    <w:rsid w:val="009E1A6E"/>
    <w:rsid w:val="009E1AEB"/>
    <w:rsid w:val="009E1EF1"/>
    <w:rsid w:val="009E2033"/>
    <w:rsid w:val="009E2087"/>
    <w:rsid w:val="009E20C8"/>
    <w:rsid w:val="009E2110"/>
    <w:rsid w:val="009E2150"/>
    <w:rsid w:val="009E255A"/>
    <w:rsid w:val="009E2563"/>
    <w:rsid w:val="009E259E"/>
    <w:rsid w:val="009E25C4"/>
    <w:rsid w:val="009E263E"/>
    <w:rsid w:val="009E2641"/>
    <w:rsid w:val="009E2734"/>
    <w:rsid w:val="009E2892"/>
    <w:rsid w:val="009E2ABD"/>
    <w:rsid w:val="009E2C77"/>
    <w:rsid w:val="009E2CEE"/>
    <w:rsid w:val="009E2D69"/>
    <w:rsid w:val="009E3494"/>
    <w:rsid w:val="009E34CE"/>
    <w:rsid w:val="009E3632"/>
    <w:rsid w:val="009E37E4"/>
    <w:rsid w:val="009E3A2A"/>
    <w:rsid w:val="009E3A5D"/>
    <w:rsid w:val="009E3B23"/>
    <w:rsid w:val="009E3EE5"/>
    <w:rsid w:val="009E4222"/>
    <w:rsid w:val="009E433A"/>
    <w:rsid w:val="009E4563"/>
    <w:rsid w:val="009E4854"/>
    <w:rsid w:val="009E4A0C"/>
    <w:rsid w:val="009E4A21"/>
    <w:rsid w:val="009E4AD6"/>
    <w:rsid w:val="009E4BB0"/>
    <w:rsid w:val="009E4C08"/>
    <w:rsid w:val="009E4C76"/>
    <w:rsid w:val="009E4E66"/>
    <w:rsid w:val="009E4F51"/>
    <w:rsid w:val="009E4F5C"/>
    <w:rsid w:val="009E5120"/>
    <w:rsid w:val="009E5280"/>
    <w:rsid w:val="009E5310"/>
    <w:rsid w:val="009E535E"/>
    <w:rsid w:val="009E5374"/>
    <w:rsid w:val="009E5414"/>
    <w:rsid w:val="009E54F3"/>
    <w:rsid w:val="009E5510"/>
    <w:rsid w:val="009E5617"/>
    <w:rsid w:val="009E5625"/>
    <w:rsid w:val="009E57E3"/>
    <w:rsid w:val="009E5861"/>
    <w:rsid w:val="009E58B9"/>
    <w:rsid w:val="009E58EA"/>
    <w:rsid w:val="009E5A11"/>
    <w:rsid w:val="009E5A8E"/>
    <w:rsid w:val="009E5C7B"/>
    <w:rsid w:val="009E5D2D"/>
    <w:rsid w:val="009E5DE6"/>
    <w:rsid w:val="009E5EA2"/>
    <w:rsid w:val="009E5F28"/>
    <w:rsid w:val="009E5FF9"/>
    <w:rsid w:val="009E6050"/>
    <w:rsid w:val="009E6470"/>
    <w:rsid w:val="009E6555"/>
    <w:rsid w:val="009E661C"/>
    <w:rsid w:val="009E6674"/>
    <w:rsid w:val="009E67FE"/>
    <w:rsid w:val="009E6A1B"/>
    <w:rsid w:val="009E6A90"/>
    <w:rsid w:val="009E7140"/>
    <w:rsid w:val="009E71AB"/>
    <w:rsid w:val="009E71D7"/>
    <w:rsid w:val="009E7630"/>
    <w:rsid w:val="009E7755"/>
    <w:rsid w:val="009E78FD"/>
    <w:rsid w:val="009E7968"/>
    <w:rsid w:val="009E7B22"/>
    <w:rsid w:val="009E7E09"/>
    <w:rsid w:val="009E7F13"/>
    <w:rsid w:val="009E7F7F"/>
    <w:rsid w:val="009E7FC7"/>
    <w:rsid w:val="009F014F"/>
    <w:rsid w:val="009F0196"/>
    <w:rsid w:val="009F03BF"/>
    <w:rsid w:val="009F0583"/>
    <w:rsid w:val="009F0619"/>
    <w:rsid w:val="009F06A8"/>
    <w:rsid w:val="009F072E"/>
    <w:rsid w:val="009F083C"/>
    <w:rsid w:val="009F09A2"/>
    <w:rsid w:val="009F0BF0"/>
    <w:rsid w:val="009F0FC7"/>
    <w:rsid w:val="009F101E"/>
    <w:rsid w:val="009F1272"/>
    <w:rsid w:val="009F12A6"/>
    <w:rsid w:val="009F1554"/>
    <w:rsid w:val="009F159B"/>
    <w:rsid w:val="009F15EC"/>
    <w:rsid w:val="009F16E1"/>
    <w:rsid w:val="009F1738"/>
    <w:rsid w:val="009F1978"/>
    <w:rsid w:val="009F19AF"/>
    <w:rsid w:val="009F1D9D"/>
    <w:rsid w:val="009F1E48"/>
    <w:rsid w:val="009F1E6D"/>
    <w:rsid w:val="009F20ED"/>
    <w:rsid w:val="009F2197"/>
    <w:rsid w:val="009F25BB"/>
    <w:rsid w:val="009F2613"/>
    <w:rsid w:val="009F2755"/>
    <w:rsid w:val="009F28B7"/>
    <w:rsid w:val="009F28E2"/>
    <w:rsid w:val="009F2912"/>
    <w:rsid w:val="009F2AAC"/>
    <w:rsid w:val="009F2B24"/>
    <w:rsid w:val="009F2B3B"/>
    <w:rsid w:val="009F2CD6"/>
    <w:rsid w:val="009F2DCE"/>
    <w:rsid w:val="009F2F45"/>
    <w:rsid w:val="009F2FF8"/>
    <w:rsid w:val="009F303B"/>
    <w:rsid w:val="009F3210"/>
    <w:rsid w:val="009F32B2"/>
    <w:rsid w:val="009F3318"/>
    <w:rsid w:val="009F3378"/>
    <w:rsid w:val="009F33B6"/>
    <w:rsid w:val="009F34C8"/>
    <w:rsid w:val="009F36CF"/>
    <w:rsid w:val="009F36E8"/>
    <w:rsid w:val="009F3939"/>
    <w:rsid w:val="009F3981"/>
    <w:rsid w:val="009F3A18"/>
    <w:rsid w:val="009F3C13"/>
    <w:rsid w:val="009F3C25"/>
    <w:rsid w:val="009F3C57"/>
    <w:rsid w:val="009F3DAA"/>
    <w:rsid w:val="009F3DEB"/>
    <w:rsid w:val="009F3E2F"/>
    <w:rsid w:val="009F3E69"/>
    <w:rsid w:val="009F4041"/>
    <w:rsid w:val="009F4176"/>
    <w:rsid w:val="009F4256"/>
    <w:rsid w:val="009F43CF"/>
    <w:rsid w:val="009F4606"/>
    <w:rsid w:val="009F4649"/>
    <w:rsid w:val="009F4662"/>
    <w:rsid w:val="009F4694"/>
    <w:rsid w:val="009F4918"/>
    <w:rsid w:val="009F496A"/>
    <w:rsid w:val="009F49FB"/>
    <w:rsid w:val="009F4B98"/>
    <w:rsid w:val="009F4C3E"/>
    <w:rsid w:val="009F4E0A"/>
    <w:rsid w:val="009F4E42"/>
    <w:rsid w:val="009F4EF5"/>
    <w:rsid w:val="009F5127"/>
    <w:rsid w:val="009F5189"/>
    <w:rsid w:val="009F5245"/>
    <w:rsid w:val="009F5283"/>
    <w:rsid w:val="009F534D"/>
    <w:rsid w:val="009F54AC"/>
    <w:rsid w:val="009F5538"/>
    <w:rsid w:val="009F55D5"/>
    <w:rsid w:val="009F55D7"/>
    <w:rsid w:val="009F5786"/>
    <w:rsid w:val="009F57B9"/>
    <w:rsid w:val="009F59A0"/>
    <w:rsid w:val="009F5A1E"/>
    <w:rsid w:val="009F5B1A"/>
    <w:rsid w:val="009F5CF8"/>
    <w:rsid w:val="009F5EEF"/>
    <w:rsid w:val="009F5F7B"/>
    <w:rsid w:val="009F5F8C"/>
    <w:rsid w:val="009F6080"/>
    <w:rsid w:val="009F60EC"/>
    <w:rsid w:val="009F6400"/>
    <w:rsid w:val="009F646C"/>
    <w:rsid w:val="009F675A"/>
    <w:rsid w:val="009F6780"/>
    <w:rsid w:val="009F682E"/>
    <w:rsid w:val="009F6AD2"/>
    <w:rsid w:val="009F6BB9"/>
    <w:rsid w:val="009F6C1E"/>
    <w:rsid w:val="009F6EC8"/>
    <w:rsid w:val="009F700C"/>
    <w:rsid w:val="009F70DA"/>
    <w:rsid w:val="009F711A"/>
    <w:rsid w:val="009F72B1"/>
    <w:rsid w:val="009F740A"/>
    <w:rsid w:val="009F74C4"/>
    <w:rsid w:val="009F7587"/>
    <w:rsid w:val="009F7611"/>
    <w:rsid w:val="009F7764"/>
    <w:rsid w:val="009F7841"/>
    <w:rsid w:val="009F7869"/>
    <w:rsid w:val="009F78C6"/>
    <w:rsid w:val="009F79D5"/>
    <w:rsid w:val="009F7A8C"/>
    <w:rsid w:val="009F7ACC"/>
    <w:rsid w:val="009F7C5C"/>
    <w:rsid w:val="009F7DB0"/>
    <w:rsid w:val="009F7DF1"/>
    <w:rsid w:val="009F7E77"/>
    <w:rsid w:val="009F7FBC"/>
    <w:rsid w:val="00A000F6"/>
    <w:rsid w:val="00A00128"/>
    <w:rsid w:val="00A002C4"/>
    <w:rsid w:val="00A002F8"/>
    <w:rsid w:val="00A00332"/>
    <w:rsid w:val="00A006B1"/>
    <w:rsid w:val="00A007AA"/>
    <w:rsid w:val="00A007CE"/>
    <w:rsid w:val="00A007D0"/>
    <w:rsid w:val="00A00984"/>
    <w:rsid w:val="00A009EB"/>
    <w:rsid w:val="00A00AFC"/>
    <w:rsid w:val="00A00B76"/>
    <w:rsid w:val="00A00BF3"/>
    <w:rsid w:val="00A00EAE"/>
    <w:rsid w:val="00A00F03"/>
    <w:rsid w:val="00A00F24"/>
    <w:rsid w:val="00A00F7D"/>
    <w:rsid w:val="00A01197"/>
    <w:rsid w:val="00A01251"/>
    <w:rsid w:val="00A013BE"/>
    <w:rsid w:val="00A013DD"/>
    <w:rsid w:val="00A015CF"/>
    <w:rsid w:val="00A01618"/>
    <w:rsid w:val="00A016D7"/>
    <w:rsid w:val="00A01851"/>
    <w:rsid w:val="00A01923"/>
    <w:rsid w:val="00A01938"/>
    <w:rsid w:val="00A01BAE"/>
    <w:rsid w:val="00A01BB5"/>
    <w:rsid w:val="00A01BE4"/>
    <w:rsid w:val="00A01BF1"/>
    <w:rsid w:val="00A01F2C"/>
    <w:rsid w:val="00A01F63"/>
    <w:rsid w:val="00A01FC3"/>
    <w:rsid w:val="00A022CE"/>
    <w:rsid w:val="00A0263A"/>
    <w:rsid w:val="00A0264D"/>
    <w:rsid w:val="00A026B9"/>
    <w:rsid w:val="00A02AEE"/>
    <w:rsid w:val="00A02B21"/>
    <w:rsid w:val="00A02CD3"/>
    <w:rsid w:val="00A02D08"/>
    <w:rsid w:val="00A02D11"/>
    <w:rsid w:val="00A02E03"/>
    <w:rsid w:val="00A032CF"/>
    <w:rsid w:val="00A033D5"/>
    <w:rsid w:val="00A03422"/>
    <w:rsid w:val="00A03552"/>
    <w:rsid w:val="00A038FC"/>
    <w:rsid w:val="00A03C3E"/>
    <w:rsid w:val="00A03D20"/>
    <w:rsid w:val="00A03E08"/>
    <w:rsid w:val="00A03E63"/>
    <w:rsid w:val="00A03EAB"/>
    <w:rsid w:val="00A03EEA"/>
    <w:rsid w:val="00A03F2A"/>
    <w:rsid w:val="00A03F6C"/>
    <w:rsid w:val="00A04037"/>
    <w:rsid w:val="00A042C5"/>
    <w:rsid w:val="00A04538"/>
    <w:rsid w:val="00A045ED"/>
    <w:rsid w:val="00A04611"/>
    <w:rsid w:val="00A046FC"/>
    <w:rsid w:val="00A0470E"/>
    <w:rsid w:val="00A047A8"/>
    <w:rsid w:val="00A0488B"/>
    <w:rsid w:val="00A04B0C"/>
    <w:rsid w:val="00A04BBD"/>
    <w:rsid w:val="00A04C80"/>
    <w:rsid w:val="00A04D5E"/>
    <w:rsid w:val="00A051CD"/>
    <w:rsid w:val="00A051EE"/>
    <w:rsid w:val="00A05208"/>
    <w:rsid w:val="00A052F6"/>
    <w:rsid w:val="00A05697"/>
    <w:rsid w:val="00A0584A"/>
    <w:rsid w:val="00A058D6"/>
    <w:rsid w:val="00A05AAD"/>
    <w:rsid w:val="00A05BEE"/>
    <w:rsid w:val="00A05FDB"/>
    <w:rsid w:val="00A05FF5"/>
    <w:rsid w:val="00A060CC"/>
    <w:rsid w:val="00A06111"/>
    <w:rsid w:val="00A06115"/>
    <w:rsid w:val="00A06371"/>
    <w:rsid w:val="00A06474"/>
    <w:rsid w:val="00A06670"/>
    <w:rsid w:val="00A06735"/>
    <w:rsid w:val="00A069EB"/>
    <w:rsid w:val="00A069ED"/>
    <w:rsid w:val="00A06A54"/>
    <w:rsid w:val="00A06BFB"/>
    <w:rsid w:val="00A06D30"/>
    <w:rsid w:val="00A06E16"/>
    <w:rsid w:val="00A06E60"/>
    <w:rsid w:val="00A0705D"/>
    <w:rsid w:val="00A072E1"/>
    <w:rsid w:val="00A07378"/>
    <w:rsid w:val="00A07385"/>
    <w:rsid w:val="00A0739F"/>
    <w:rsid w:val="00A073EE"/>
    <w:rsid w:val="00A075FE"/>
    <w:rsid w:val="00A0769F"/>
    <w:rsid w:val="00A077F0"/>
    <w:rsid w:val="00A078D5"/>
    <w:rsid w:val="00A07BE1"/>
    <w:rsid w:val="00A07C74"/>
    <w:rsid w:val="00A07D7C"/>
    <w:rsid w:val="00A07DC4"/>
    <w:rsid w:val="00A07E33"/>
    <w:rsid w:val="00A07E45"/>
    <w:rsid w:val="00A07E70"/>
    <w:rsid w:val="00A07F87"/>
    <w:rsid w:val="00A103A1"/>
    <w:rsid w:val="00A1046C"/>
    <w:rsid w:val="00A105DF"/>
    <w:rsid w:val="00A106CF"/>
    <w:rsid w:val="00A106E7"/>
    <w:rsid w:val="00A1084E"/>
    <w:rsid w:val="00A1086F"/>
    <w:rsid w:val="00A108BE"/>
    <w:rsid w:val="00A10C07"/>
    <w:rsid w:val="00A11064"/>
    <w:rsid w:val="00A110D8"/>
    <w:rsid w:val="00A11522"/>
    <w:rsid w:val="00A115B0"/>
    <w:rsid w:val="00A11691"/>
    <w:rsid w:val="00A1182F"/>
    <w:rsid w:val="00A11B3E"/>
    <w:rsid w:val="00A11B7E"/>
    <w:rsid w:val="00A11C80"/>
    <w:rsid w:val="00A11CC5"/>
    <w:rsid w:val="00A11DF6"/>
    <w:rsid w:val="00A1201B"/>
    <w:rsid w:val="00A12033"/>
    <w:rsid w:val="00A121A0"/>
    <w:rsid w:val="00A126D1"/>
    <w:rsid w:val="00A12756"/>
    <w:rsid w:val="00A129D7"/>
    <w:rsid w:val="00A12BA6"/>
    <w:rsid w:val="00A12CAD"/>
    <w:rsid w:val="00A12E1E"/>
    <w:rsid w:val="00A12EB2"/>
    <w:rsid w:val="00A12F13"/>
    <w:rsid w:val="00A1307A"/>
    <w:rsid w:val="00A130E6"/>
    <w:rsid w:val="00A13191"/>
    <w:rsid w:val="00A131FD"/>
    <w:rsid w:val="00A1363C"/>
    <w:rsid w:val="00A13771"/>
    <w:rsid w:val="00A137E6"/>
    <w:rsid w:val="00A13808"/>
    <w:rsid w:val="00A1388D"/>
    <w:rsid w:val="00A13BDA"/>
    <w:rsid w:val="00A13BFC"/>
    <w:rsid w:val="00A13CFD"/>
    <w:rsid w:val="00A13DFC"/>
    <w:rsid w:val="00A13EC6"/>
    <w:rsid w:val="00A14003"/>
    <w:rsid w:val="00A140D9"/>
    <w:rsid w:val="00A142E7"/>
    <w:rsid w:val="00A1444B"/>
    <w:rsid w:val="00A144A2"/>
    <w:rsid w:val="00A144EA"/>
    <w:rsid w:val="00A14565"/>
    <w:rsid w:val="00A1478B"/>
    <w:rsid w:val="00A149F4"/>
    <w:rsid w:val="00A14AD6"/>
    <w:rsid w:val="00A14BDF"/>
    <w:rsid w:val="00A14C09"/>
    <w:rsid w:val="00A14C5E"/>
    <w:rsid w:val="00A14D9C"/>
    <w:rsid w:val="00A14E43"/>
    <w:rsid w:val="00A14EFC"/>
    <w:rsid w:val="00A1505C"/>
    <w:rsid w:val="00A150E5"/>
    <w:rsid w:val="00A1526E"/>
    <w:rsid w:val="00A152D9"/>
    <w:rsid w:val="00A156AC"/>
    <w:rsid w:val="00A15927"/>
    <w:rsid w:val="00A15A43"/>
    <w:rsid w:val="00A15A9C"/>
    <w:rsid w:val="00A15B2E"/>
    <w:rsid w:val="00A15C53"/>
    <w:rsid w:val="00A15EAB"/>
    <w:rsid w:val="00A1609E"/>
    <w:rsid w:val="00A160EA"/>
    <w:rsid w:val="00A162E7"/>
    <w:rsid w:val="00A16636"/>
    <w:rsid w:val="00A16649"/>
    <w:rsid w:val="00A1672D"/>
    <w:rsid w:val="00A1674D"/>
    <w:rsid w:val="00A1682B"/>
    <w:rsid w:val="00A168AB"/>
    <w:rsid w:val="00A16CA1"/>
    <w:rsid w:val="00A16F8B"/>
    <w:rsid w:val="00A17020"/>
    <w:rsid w:val="00A17300"/>
    <w:rsid w:val="00A17316"/>
    <w:rsid w:val="00A173DB"/>
    <w:rsid w:val="00A1766F"/>
    <w:rsid w:val="00A17691"/>
    <w:rsid w:val="00A176A3"/>
    <w:rsid w:val="00A17875"/>
    <w:rsid w:val="00A17A61"/>
    <w:rsid w:val="00A17B87"/>
    <w:rsid w:val="00A17D79"/>
    <w:rsid w:val="00A17DEB"/>
    <w:rsid w:val="00A17E2F"/>
    <w:rsid w:val="00A2006F"/>
    <w:rsid w:val="00A202EF"/>
    <w:rsid w:val="00A203A6"/>
    <w:rsid w:val="00A2044C"/>
    <w:rsid w:val="00A2058C"/>
    <w:rsid w:val="00A206A6"/>
    <w:rsid w:val="00A20878"/>
    <w:rsid w:val="00A20905"/>
    <w:rsid w:val="00A20A40"/>
    <w:rsid w:val="00A20D8F"/>
    <w:rsid w:val="00A20DE8"/>
    <w:rsid w:val="00A21075"/>
    <w:rsid w:val="00A213F5"/>
    <w:rsid w:val="00A21466"/>
    <w:rsid w:val="00A214DE"/>
    <w:rsid w:val="00A214F3"/>
    <w:rsid w:val="00A2176D"/>
    <w:rsid w:val="00A218F6"/>
    <w:rsid w:val="00A21AEA"/>
    <w:rsid w:val="00A21BE3"/>
    <w:rsid w:val="00A21C11"/>
    <w:rsid w:val="00A21C8B"/>
    <w:rsid w:val="00A21D0E"/>
    <w:rsid w:val="00A21F5E"/>
    <w:rsid w:val="00A21F7C"/>
    <w:rsid w:val="00A221B0"/>
    <w:rsid w:val="00A22504"/>
    <w:rsid w:val="00A22567"/>
    <w:rsid w:val="00A228B1"/>
    <w:rsid w:val="00A22C06"/>
    <w:rsid w:val="00A22D14"/>
    <w:rsid w:val="00A22D4D"/>
    <w:rsid w:val="00A230C9"/>
    <w:rsid w:val="00A2324A"/>
    <w:rsid w:val="00A23258"/>
    <w:rsid w:val="00A23300"/>
    <w:rsid w:val="00A233D3"/>
    <w:rsid w:val="00A233DE"/>
    <w:rsid w:val="00A23413"/>
    <w:rsid w:val="00A234D2"/>
    <w:rsid w:val="00A23576"/>
    <w:rsid w:val="00A23916"/>
    <w:rsid w:val="00A23BE1"/>
    <w:rsid w:val="00A23D5A"/>
    <w:rsid w:val="00A23D69"/>
    <w:rsid w:val="00A23E2C"/>
    <w:rsid w:val="00A24344"/>
    <w:rsid w:val="00A243E2"/>
    <w:rsid w:val="00A244A4"/>
    <w:rsid w:val="00A24839"/>
    <w:rsid w:val="00A248BE"/>
    <w:rsid w:val="00A248ED"/>
    <w:rsid w:val="00A24B90"/>
    <w:rsid w:val="00A24BDE"/>
    <w:rsid w:val="00A24C97"/>
    <w:rsid w:val="00A24E0B"/>
    <w:rsid w:val="00A24E0F"/>
    <w:rsid w:val="00A24E4E"/>
    <w:rsid w:val="00A252BC"/>
    <w:rsid w:val="00A25580"/>
    <w:rsid w:val="00A2571E"/>
    <w:rsid w:val="00A2576A"/>
    <w:rsid w:val="00A25810"/>
    <w:rsid w:val="00A25824"/>
    <w:rsid w:val="00A25878"/>
    <w:rsid w:val="00A259D3"/>
    <w:rsid w:val="00A25CAC"/>
    <w:rsid w:val="00A25CCE"/>
    <w:rsid w:val="00A25EF6"/>
    <w:rsid w:val="00A25F28"/>
    <w:rsid w:val="00A2617C"/>
    <w:rsid w:val="00A261DF"/>
    <w:rsid w:val="00A26221"/>
    <w:rsid w:val="00A26263"/>
    <w:rsid w:val="00A26300"/>
    <w:rsid w:val="00A263AB"/>
    <w:rsid w:val="00A2643A"/>
    <w:rsid w:val="00A2669B"/>
    <w:rsid w:val="00A26768"/>
    <w:rsid w:val="00A267EC"/>
    <w:rsid w:val="00A26913"/>
    <w:rsid w:val="00A2694E"/>
    <w:rsid w:val="00A26C3D"/>
    <w:rsid w:val="00A26CB7"/>
    <w:rsid w:val="00A26EEB"/>
    <w:rsid w:val="00A26F17"/>
    <w:rsid w:val="00A271C0"/>
    <w:rsid w:val="00A271FC"/>
    <w:rsid w:val="00A273AA"/>
    <w:rsid w:val="00A273F2"/>
    <w:rsid w:val="00A274C1"/>
    <w:rsid w:val="00A275DA"/>
    <w:rsid w:val="00A2762B"/>
    <w:rsid w:val="00A27666"/>
    <w:rsid w:val="00A27748"/>
    <w:rsid w:val="00A27918"/>
    <w:rsid w:val="00A279B0"/>
    <w:rsid w:val="00A27CCA"/>
    <w:rsid w:val="00A27D34"/>
    <w:rsid w:val="00A27F57"/>
    <w:rsid w:val="00A27FF0"/>
    <w:rsid w:val="00A300FC"/>
    <w:rsid w:val="00A307E9"/>
    <w:rsid w:val="00A3081B"/>
    <w:rsid w:val="00A30A8A"/>
    <w:rsid w:val="00A30AB3"/>
    <w:rsid w:val="00A30C58"/>
    <w:rsid w:val="00A30D1D"/>
    <w:rsid w:val="00A30DCC"/>
    <w:rsid w:val="00A30E29"/>
    <w:rsid w:val="00A30FF1"/>
    <w:rsid w:val="00A3118D"/>
    <w:rsid w:val="00A311CB"/>
    <w:rsid w:val="00A31220"/>
    <w:rsid w:val="00A312F2"/>
    <w:rsid w:val="00A316D5"/>
    <w:rsid w:val="00A3173E"/>
    <w:rsid w:val="00A3180E"/>
    <w:rsid w:val="00A31958"/>
    <w:rsid w:val="00A319A9"/>
    <w:rsid w:val="00A31A86"/>
    <w:rsid w:val="00A31C83"/>
    <w:rsid w:val="00A31D96"/>
    <w:rsid w:val="00A31F1B"/>
    <w:rsid w:val="00A3225E"/>
    <w:rsid w:val="00A32421"/>
    <w:rsid w:val="00A32573"/>
    <w:rsid w:val="00A328CA"/>
    <w:rsid w:val="00A32924"/>
    <w:rsid w:val="00A32BA0"/>
    <w:rsid w:val="00A32BDE"/>
    <w:rsid w:val="00A32CCD"/>
    <w:rsid w:val="00A32D46"/>
    <w:rsid w:val="00A32D51"/>
    <w:rsid w:val="00A32D6B"/>
    <w:rsid w:val="00A32F5F"/>
    <w:rsid w:val="00A33090"/>
    <w:rsid w:val="00A331BA"/>
    <w:rsid w:val="00A33221"/>
    <w:rsid w:val="00A33557"/>
    <w:rsid w:val="00A335C5"/>
    <w:rsid w:val="00A336B1"/>
    <w:rsid w:val="00A336D6"/>
    <w:rsid w:val="00A336EC"/>
    <w:rsid w:val="00A3371F"/>
    <w:rsid w:val="00A33A32"/>
    <w:rsid w:val="00A33A61"/>
    <w:rsid w:val="00A33BCA"/>
    <w:rsid w:val="00A33C56"/>
    <w:rsid w:val="00A33D5A"/>
    <w:rsid w:val="00A33E12"/>
    <w:rsid w:val="00A33F5F"/>
    <w:rsid w:val="00A33FB2"/>
    <w:rsid w:val="00A341C1"/>
    <w:rsid w:val="00A3444C"/>
    <w:rsid w:val="00A3447B"/>
    <w:rsid w:val="00A344C2"/>
    <w:rsid w:val="00A34502"/>
    <w:rsid w:val="00A34739"/>
    <w:rsid w:val="00A3476D"/>
    <w:rsid w:val="00A34832"/>
    <w:rsid w:val="00A348D2"/>
    <w:rsid w:val="00A348E2"/>
    <w:rsid w:val="00A34BCD"/>
    <w:rsid w:val="00A34CA7"/>
    <w:rsid w:val="00A34EA8"/>
    <w:rsid w:val="00A34EB2"/>
    <w:rsid w:val="00A34EBB"/>
    <w:rsid w:val="00A34EEC"/>
    <w:rsid w:val="00A34FF7"/>
    <w:rsid w:val="00A3508E"/>
    <w:rsid w:val="00A351A8"/>
    <w:rsid w:val="00A351D4"/>
    <w:rsid w:val="00A3562E"/>
    <w:rsid w:val="00A35AF2"/>
    <w:rsid w:val="00A35BDB"/>
    <w:rsid w:val="00A35C57"/>
    <w:rsid w:val="00A35CCD"/>
    <w:rsid w:val="00A35CD5"/>
    <w:rsid w:val="00A35D00"/>
    <w:rsid w:val="00A35FD9"/>
    <w:rsid w:val="00A3621D"/>
    <w:rsid w:val="00A36369"/>
    <w:rsid w:val="00A3656A"/>
    <w:rsid w:val="00A36594"/>
    <w:rsid w:val="00A367A8"/>
    <w:rsid w:val="00A367CF"/>
    <w:rsid w:val="00A36863"/>
    <w:rsid w:val="00A368D6"/>
    <w:rsid w:val="00A36C5B"/>
    <w:rsid w:val="00A36C65"/>
    <w:rsid w:val="00A36D22"/>
    <w:rsid w:val="00A36F09"/>
    <w:rsid w:val="00A36F1C"/>
    <w:rsid w:val="00A37579"/>
    <w:rsid w:val="00A37753"/>
    <w:rsid w:val="00A37815"/>
    <w:rsid w:val="00A37BCB"/>
    <w:rsid w:val="00A37D35"/>
    <w:rsid w:val="00A37E35"/>
    <w:rsid w:val="00A37F15"/>
    <w:rsid w:val="00A37F3D"/>
    <w:rsid w:val="00A3AFB3"/>
    <w:rsid w:val="00A400E9"/>
    <w:rsid w:val="00A40363"/>
    <w:rsid w:val="00A404AD"/>
    <w:rsid w:val="00A404E9"/>
    <w:rsid w:val="00A407AB"/>
    <w:rsid w:val="00A407B8"/>
    <w:rsid w:val="00A4087C"/>
    <w:rsid w:val="00A40940"/>
    <w:rsid w:val="00A4094E"/>
    <w:rsid w:val="00A40A64"/>
    <w:rsid w:val="00A40CD5"/>
    <w:rsid w:val="00A40DDD"/>
    <w:rsid w:val="00A40E3E"/>
    <w:rsid w:val="00A40FA3"/>
    <w:rsid w:val="00A41004"/>
    <w:rsid w:val="00A41050"/>
    <w:rsid w:val="00A41259"/>
    <w:rsid w:val="00A412BE"/>
    <w:rsid w:val="00A4134A"/>
    <w:rsid w:val="00A413CE"/>
    <w:rsid w:val="00A41479"/>
    <w:rsid w:val="00A415BC"/>
    <w:rsid w:val="00A415DD"/>
    <w:rsid w:val="00A416EA"/>
    <w:rsid w:val="00A41844"/>
    <w:rsid w:val="00A418CD"/>
    <w:rsid w:val="00A418D3"/>
    <w:rsid w:val="00A41A60"/>
    <w:rsid w:val="00A41B0E"/>
    <w:rsid w:val="00A41E2D"/>
    <w:rsid w:val="00A41E6B"/>
    <w:rsid w:val="00A41EC2"/>
    <w:rsid w:val="00A42003"/>
    <w:rsid w:val="00A42113"/>
    <w:rsid w:val="00A4218B"/>
    <w:rsid w:val="00A421E5"/>
    <w:rsid w:val="00A4230F"/>
    <w:rsid w:val="00A42420"/>
    <w:rsid w:val="00A42427"/>
    <w:rsid w:val="00A424C5"/>
    <w:rsid w:val="00A426AB"/>
    <w:rsid w:val="00A42779"/>
    <w:rsid w:val="00A427DF"/>
    <w:rsid w:val="00A42AB4"/>
    <w:rsid w:val="00A42CD1"/>
    <w:rsid w:val="00A42DE2"/>
    <w:rsid w:val="00A42E3B"/>
    <w:rsid w:val="00A431F4"/>
    <w:rsid w:val="00A43353"/>
    <w:rsid w:val="00A43432"/>
    <w:rsid w:val="00A434AD"/>
    <w:rsid w:val="00A4357D"/>
    <w:rsid w:val="00A435A3"/>
    <w:rsid w:val="00A435AB"/>
    <w:rsid w:val="00A435B6"/>
    <w:rsid w:val="00A43711"/>
    <w:rsid w:val="00A437B5"/>
    <w:rsid w:val="00A437DD"/>
    <w:rsid w:val="00A43851"/>
    <w:rsid w:val="00A43B42"/>
    <w:rsid w:val="00A43BFE"/>
    <w:rsid w:val="00A43C47"/>
    <w:rsid w:val="00A43C85"/>
    <w:rsid w:val="00A43D80"/>
    <w:rsid w:val="00A43F6D"/>
    <w:rsid w:val="00A43F80"/>
    <w:rsid w:val="00A44060"/>
    <w:rsid w:val="00A44194"/>
    <w:rsid w:val="00A442C4"/>
    <w:rsid w:val="00A44413"/>
    <w:rsid w:val="00A44468"/>
    <w:rsid w:val="00A444C1"/>
    <w:rsid w:val="00A444C8"/>
    <w:rsid w:val="00A44550"/>
    <w:rsid w:val="00A44594"/>
    <w:rsid w:val="00A445D9"/>
    <w:rsid w:val="00A44789"/>
    <w:rsid w:val="00A447C0"/>
    <w:rsid w:val="00A44801"/>
    <w:rsid w:val="00A44813"/>
    <w:rsid w:val="00A448DA"/>
    <w:rsid w:val="00A44A20"/>
    <w:rsid w:val="00A44AB3"/>
    <w:rsid w:val="00A44C0C"/>
    <w:rsid w:val="00A44D1A"/>
    <w:rsid w:val="00A450B4"/>
    <w:rsid w:val="00A45124"/>
    <w:rsid w:val="00A45328"/>
    <w:rsid w:val="00A453A3"/>
    <w:rsid w:val="00A454D0"/>
    <w:rsid w:val="00A4562D"/>
    <w:rsid w:val="00A457CE"/>
    <w:rsid w:val="00A45A1C"/>
    <w:rsid w:val="00A45E9E"/>
    <w:rsid w:val="00A45F81"/>
    <w:rsid w:val="00A464F9"/>
    <w:rsid w:val="00A46552"/>
    <w:rsid w:val="00A46628"/>
    <w:rsid w:val="00A46782"/>
    <w:rsid w:val="00A467A1"/>
    <w:rsid w:val="00A467EC"/>
    <w:rsid w:val="00A4680F"/>
    <w:rsid w:val="00A46A12"/>
    <w:rsid w:val="00A46AFA"/>
    <w:rsid w:val="00A46B0B"/>
    <w:rsid w:val="00A46BE9"/>
    <w:rsid w:val="00A46C33"/>
    <w:rsid w:val="00A46CEC"/>
    <w:rsid w:val="00A46D13"/>
    <w:rsid w:val="00A46D76"/>
    <w:rsid w:val="00A46EB5"/>
    <w:rsid w:val="00A46EF7"/>
    <w:rsid w:val="00A46F57"/>
    <w:rsid w:val="00A46F6E"/>
    <w:rsid w:val="00A46FFA"/>
    <w:rsid w:val="00A47048"/>
    <w:rsid w:val="00A473A2"/>
    <w:rsid w:val="00A476BA"/>
    <w:rsid w:val="00A47711"/>
    <w:rsid w:val="00A478A3"/>
    <w:rsid w:val="00A479B5"/>
    <w:rsid w:val="00A47A3C"/>
    <w:rsid w:val="00A47A5B"/>
    <w:rsid w:val="00A47BBD"/>
    <w:rsid w:val="00A47BC2"/>
    <w:rsid w:val="00A47C27"/>
    <w:rsid w:val="00A47CA4"/>
    <w:rsid w:val="00A47CE5"/>
    <w:rsid w:val="00A4BCA0"/>
    <w:rsid w:val="00A5035A"/>
    <w:rsid w:val="00A50515"/>
    <w:rsid w:val="00A50657"/>
    <w:rsid w:val="00A50808"/>
    <w:rsid w:val="00A509E9"/>
    <w:rsid w:val="00A50BDC"/>
    <w:rsid w:val="00A50BDF"/>
    <w:rsid w:val="00A50C28"/>
    <w:rsid w:val="00A50CCB"/>
    <w:rsid w:val="00A50CF2"/>
    <w:rsid w:val="00A50D01"/>
    <w:rsid w:val="00A50D2D"/>
    <w:rsid w:val="00A50EC7"/>
    <w:rsid w:val="00A5109C"/>
    <w:rsid w:val="00A510F9"/>
    <w:rsid w:val="00A511E9"/>
    <w:rsid w:val="00A51489"/>
    <w:rsid w:val="00A51495"/>
    <w:rsid w:val="00A51507"/>
    <w:rsid w:val="00A5177C"/>
    <w:rsid w:val="00A517BC"/>
    <w:rsid w:val="00A5186A"/>
    <w:rsid w:val="00A51A64"/>
    <w:rsid w:val="00A51A71"/>
    <w:rsid w:val="00A51ADE"/>
    <w:rsid w:val="00A51D70"/>
    <w:rsid w:val="00A51E4F"/>
    <w:rsid w:val="00A52090"/>
    <w:rsid w:val="00A52618"/>
    <w:rsid w:val="00A5262F"/>
    <w:rsid w:val="00A5269E"/>
    <w:rsid w:val="00A526FD"/>
    <w:rsid w:val="00A52893"/>
    <w:rsid w:val="00A5292C"/>
    <w:rsid w:val="00A52A86"/>
    <w:rsid w:val="00A52BED"/>
    <w:rsid w:val="00A52DC0"/>
    <w:rsid w:val="00A52E0A"/>
    <w:rsid w:val="00A52E9C"/>
    <w:rsid w:val="00A531AD"/>
    <w:rsid w:val="00A5329F"/>
    <w:rsid w:val="00A53521"/>
    <w:rsid w:val="00A53831"/>
    <w:rsid w:val="00A53955"/>
    <w:rsid w:val="00A539EC"/>
    <w:rsid w:val="00A53AE6"/>
    <w:rsid w:val="00A53C12"/>
    <w:rsid w:val="00A53C2A"/>
    <w:rsid w:val="00A540AC"/>
    <w:rsid w:val="00A540DD"/>
    <w:rsid w:val="00A5412C"/>
    <w:rsid w:val="00A543F7"/>
    <w:rsid w:val="00A5442A"/>
    <w:rsid w:val="00A54545"/>
    <w:rsid w:val="00A546EE"/>
    <w:rsid w:val="00A54770"/>
    <w:rsid w:val="00A547AC"/>
    <w:rsid w:val="00A549B0"/>
    <w:rsid w:val="00A54B3A"/>
    <w:rsid w:val="00A54C04"/>
    <w:rsid w:val="00A54C47"/>
    <w:rsid w:val="00A54CDF"/>
    <w:rsid w:val="00A54D08"/>
    <w:rsid w:val="00A54D64"/>
    <w:rsid w:val="00A54EA6"/>
    <w:rsid w:val="00A54F26"/>
    <w:rsid w:val="00A55270"/>
    <w:rsid w:val="00A55324"/>
    <w:rsid w:val="00A55416"/>
    <w:rsid w:val="00A55436"/>
    <w:rsid w:val="00A55530"/>
    <w:rsid w:val="00A555AF"/>
    <w:rsid w:val="00A55720"/>
    <w:rsid w:val="00A557F1"/>
    <w:rsid w:val="00A55A3F"/>
    <w:rsid w:val="00A55B04"/>
    <w:rsid w:val="00A55D55"/>
    <w:rsid w:val="00A55EA0"/>
    <w:rsid w:val="00A5607D"/>
    <w:rsid w:val="00A5658B"/>
    <w:rsid w:val="00A56640"/>
    <w:rsid w:val="00A5675D"/>
    <w:rsid w:val="00A56794"/>
    <w:rsid w:val="00A56797"/>
    <w:rsid w:val="00A567A5"/>
    <w:rsid w:val="00A56828"/>
    <w:rsid w:val="00A569AA"/>
    <w:rsid w:val="00A56E39"/>
    <w:rsid w:val="00A56E3C"/>
    <w:rsid w:val="00A57398"/>
    <w:rsid w:val="00A57478"/>
    <w:rsid w:val="00A57A2D"/>
    <w:rsid w:val="00A57ACD"/>
    <w:rsid w:val="00A57E1B"/>
    <w:rsid w:val="00A6020B"/>
    <w:rsid w:val="00A60299"/>
    <w:rsid w:val="00A60359"/>
    <w:rsid w:val="00A605E2"/>
    <w:rsid w:val="00A606D2"/>
    <w:rsid w:val="00A606E7"/>
    <w:rsid w:val="00A60CC4"/>
    <w:rsid w:val="00A60D10"/>
    <w:rsid w:val="00A60DAA"/>
    <w:rsid w:val="00A60EF1"/>
    <w:rsid w:val="00A61121"/>
    <w:rsid w:val="00A61431"/>
    <w:rsid w:val="00A6150B"/>
    <w:rsid w:val="00A61611"/>
    <w:rsid w:val="00A61656"/>
    <w:rsid w:val="00A616EE"/>
    <w:rsid w:val="00A616FF"/>
    <w:rsid w:val="00A6181C"/>
    <w:rsid w:val="00A6182E"/>
    <w:rsid w:val="00A61851"/>
    <w:rsid w:val="00A618AB"/>
    <w:rsid w:val="00A618EA"/>
    <w:rsid w:val="00A61986"/>
    <w:rsid w:val="00A61990"/>
    <w:rsid w:val="00A61B8D"/>
    <w:rsid w:val="00A61C0A"/>
    <w:rsid w:val="00A61E66"/>
    <w:rsid w:val="00A6203B"/>
    <w:rsid w:val="00A62248"/>
    <w:rsid w:val="00A6227C"/>
    <w:rsid w:val="00A62348"/>
    <w:rsid w:val="00A62396"/>
    <w:rsid w:val="00A62471"/>
    <w:rsid w:val="00A62565"/>
    <w:rsid w:val="00A6260E"/>
    <w:rsid w:val="00A6269D"/>
    <w:rsid w:val="00A62863"/>
    <w:rsid w:val="00A629D3"/>
    <w:rsid w:val="00A629D5"/>
    <w:rsid w:val="00A62A73"/>
    <w:rsid w:val="00A62C78"/>
    <w:rsid w:val="00A62D76"/>
    <w:rsid w:val="00A630D4"/>
    <w:rsid w:val="00A63101"/>
    <w:rsid w:val="00A63122"/>
    <w:rsid w:val="00A632B6"/>
    <w:rsid w:val="00A634C2"/>
    <w:rsid w:val="00A63682"/>
    <w:rsid w:val="00A63882"/>
    <w:rsid w:val="00A63898"/>
    <w:rsid w:val="00A6397C"/>
    <w:rsid w:val="00A63B8D"/>
    <w:rsid w:val="00A63B94"/>
    <w:rsid w:val="00A63BA3"/>
    <w:rsid w:val="00A63C3C"/>
    <w:rsid w:val="00A63DE5"/>
    <w:rsid w:val="00A63E21"/>
    <w:rsid w:val="00A63F6B"/>
    <w:rsid w:val="00A640C6"/>
    <w:rsid w:val="00A64117"/>
    <w:rsid w:val="00A6425F"/>
    <w:rsid w:val="00A64299"/>
    <w:rsid w:val="00A643E4"/>
    <w:rsid w:val="00A645A5"/>
    <w:rsid w:val="00A646FF"/>
    <w:rsid w:val="00A64870"/>
    <w:rsid w:val="00A6490E"/>
    <w:rsid w:val="00A649D4"/>
    <w:rsid w:val="00A64B28"/>
    <w:rsid w:val="00A64BFA"/>
    <w:rsid w:val="00A64CF5"/>
    <w:rsid w:val="00A64D9A"/>
    <w:rsid w:val="00A6505E"/>
    <w:rsid w:val="00A65104"/>
    <w:rsid w:val="00A65312"/>
    <w:rsid w:val="00A65498"/>
    <w:rsid w:val="00A65587"/>
    <w:rsid w:val="00A6558F"/>
    <w:rsid w:val="00A655A2"/>
    <w:rsid w:val="00A655EA"/>
    <w:rsid w:val="00A65646"/>
    <w:rsid w:val="00A656BD"/>
    <w:rsid w:val="00A6578C"/>
    <w:rsid w:val="00A657E5"/>
    <w:rsid w:val="00A6583A"/>
    <w:rsid w:val="00A6584C"/>
    <w:rsid w:val="00A6587E"/>
    <w:rsid w:val="00A65A6A"/>
    <w:rsid w:val="00A65BDB"/>
    <w:rsid w:val="00A65C1A"/>
    <w:rsid w:val="00A65C53"/>
    <w:rsid w:val="00A65E0F"/>
    <w:rsid w:val="00A65E2C"/>
    <w:rsid w:val="00A65FAC"/>
    <w:rsid w:val="00A6606F"/>
    <w:rsid w:val="00A660C5"/>
    <w:rsid w:val="00A66283"/>
    <w:rsid w:val="00A664AC"/>
    <w:rsid w:val="00A665EB"/>
    <w:rsid w:val="00A666F4"/>
    <w:rsid w:val="00A66849"/>
    <w:rsid w:val="00A668C4"/>
    <w:rsid w:val="00A66981"/>
    <w:rsid w:val="00A669E8"/>
    <w:rsid w:val="00A66A22"/>
    <w:rsid w:val="00A66ADC"/>
    <w:rsid w:val="00A66D8D"/>
    <w:rsid w:val="00A66E5C"/>
    <w:rsid w:val="00A66F5C"/>
    <w:rsid w:val="00A670B8"/>
    <w:rsid w:val="00A670CB"/>
    <w:rsid w:val="00A67223"/>
    <w:rsid w:val="00A67417"/>
    <w:rsid w:val="00A67453"/>
    <w:rsid w:val="00A674AC"/>
    <w:rsid w:val="00A674B5"/>
    <w:rsid w:val="00A67515"/>
    <w:rsid w:val="00A6754F"/>
    <w:rsid w:val="00A67583"/>
    <w:rsid w:val="00A6760B"/>
    <w:rsid w:val="00A67693"/>
    <w:rsid w:val="00A67766"/>
    <w:rsid w:val="00A677A9"/>
    <w:rsid w:val="00A67841"/>
    <w:rsid w:val="00A679AC"/>
    <w:rsid w:val="00A67D30"/>
    <w:rsid w:val="00A67D8A"/>
    <w:rsid w:val="00A67E9B"/>
    <w:rsid w:val="00A67FA8"/>
    <w:rsid w:val="00A70004"/>
    <w:rsid w:val="00A70053"/>
    <w:rsid w:val="00A70090"/>
    <w:rsid w:val="00A7014E"/>
    <w:rsid w:val="00A703CC"/>
    <w:rsid w:val="00A7076C"/>
    <w:rsid w:val="00A708C6"/>
    <w:rsid w:val="00A70EE8"/>
    <w:rsid w:val="00A70F85"/>
    <w:rsid w:val="00A71061"/>
    <w:rsid w:val="00A710AC"/>
    <w:rsid w:val="00A71264"/>
    <w:rsid w:val="00A712C3"/>
    <w:rsid w:val="00A7133E"/>
    <w:rsid w:val="00A713A9"/>
    <w:rsid w:val="00A715F6"/>
    <w:rsid w:val="00A716EC"/>
    <w:rsid w:val="00A71966"/>
    <w:rsid w:val="00A719A6"/>
    <w:rsid w:val="00A71A13"/>
    <w:rsid w:val="00A71A1F"/>
    <w:rsid w:val="00A71A31"/>
    <w:rsid w:val="00A71A43"/>
    <w:rsid w:val="00A71AC5"/>
    <w:rsid w:val="00A71E3C"/>
    <w:rsid w:val="00A71E4E"/>
    <w:rsid w:val="00A71ECF"/>
    <w:rsid w:val="00A71FF0"/>
    <w:rsid w:val="00A720A3"/>
    <w:rsid w:val="00A720AD"/>
    <w:rsid w:val="00A721EF"/>
    <w:rsid w:val="00A7250A"/>
    <w:rsid w:val="00A72520"/>
    <w:rsid w:val="00A72858"/>
    <w:rsid w:val="00A72AB0"/>
    <w:rsid w:val="00A72B0B"/>
    <w:rsid w:val="00A72B9C"/>
    <w:rsid w:val="00A72D8C"/>
    <w:rsid w:val="00A72DDB"/>
    <w:rsid w:val="00A72E2D"/>
    <w:rsid w:val="00A72E93"/>
    <w:rsid w:val="00A72F17"/>
    <w:rsid w:val="00A72F84"/>
    <w:rsid w:val="00A7301D"/>
    <w:rsid w:val="00A73318"/>
    <w:rsid w:val="00A737F0"/>
    <w:rsid w:val="00A73803"/>
    <w:rsid w:val="00A73960"/>
    <w:rsid w:val="00A73A00"/>
    <w:rsid w:val="00A73AC9"/>
    <w:rsid w:val="00A73AD3"/>
    <w:rsid w:val="00A73F5A"/>
    <w:rsid w:val="00A740B3"/>
    <w:rsid w:val="00A743FA"/>
    <w:rsid w:val="00A7442C"/>
    <w:rsid w:val="00A74578"/>
    <w:rsid w:val="00A74582"/>
    <w:rsid w:val="00A745BD"/>
    <w:rsid w:val="00A745F5"/>
    <w:rsid w:val="00A746B7"/>
    <w:rsid w:val="00A74774"/>
    <w:rsid w:val="00A7477F"/>
    <w:rsid w:val="00A748F2"/>
    <w:rsid w:val="00A74F73"/>
    <w:rsid w:val="00A7515D"/>
    <w:rsid w:val="00A75177"/>
    <w:rsid w:val="00A75200"/>
    <w:rsid w:val="00A7540D"/>
    <w:rsid w:val="00A75757"/>
    <w:rsid w:val="00A759FE"/>
    <w:rsid w:val="00A75ADA"/>
    <w:rsid w:val="00A75B3E"/>
    <w:rsid w:val="00A75CAE"/>
    <w:rsid w:val="00A75CBC"/>
    <w:rsid w:val="00A75D66"/>
    <w:rsid w:val="00A75DF6"/>
    <w:rsid w:val="00A75E28"/>
    <w:rsid w:val="00A75EE2"/>
    <w:rsid w:val="00A75EE9"/>
    <w:rsid w:val="00A75F4C"/>
    <w:rsid w:val="00A76030"/>
    <w:rsid w:val="00A7655E"/>
    <w:rsid w:val="00A765B3"/>
    <w:rsid w:val="00A765FF"/>
    <w:rsid w:val="00A766F2"/>
    <w:rsid w:val="00A76A7F"/>
    <w:rsid w:val="00A76B28"/>
    <w:rsid w:val="00A76C04"/>
    <w:rsid w:val="00A76C54"/>
    <w:rsid w:val="00A76CB3"/>
    <w:rsid w:val="00A76FBE"/>
    <w:rsid w:val="00A7724E"/>
    <w:rsid w:val="00A7733A"/>
    <w:rsid w:val="00A7742A"/>
    <w:rsid w:val="00A77690"/>
    <w:rsid w:val="00A7769B"/>
    <w:rsid w:val="00A776E1"/>
    <w:rsid w:val="00A777DC"/>
    <w:rsid w:val="00A77823"/>
    <w:rsid w:val="00A77BFF"/>
    <w:rsid w:val="00A77C05"/>
    <w:rsid w:val="00A77C3A"/>
    <w:rsid w:val="00A77C9F"/>
    <w:rsid w:val="00A77D7D"/>
    <w:rsid w:val="00A77EB0"/>
    <w:rsid w:val="00A7FFAF"/>
    <w:rsid w:val="00A801A9"/>
    <w:rsid w:val="00A802D4"/>
    <w:rsid w:val="00A804B4"/>
    <w:rsid w:val="00A8057D"/>
    <w:rsid w:val="00A805B3"/>
    <w:rsid w:val="00A8089D"/>
    <w:rsid w:val="00A80AFF"/>
    <w:rsid w:val="00A80FC5"/>
    <w:rsid w:val="00A8108C"/>
    <w:rsid w:val="00A810C8"/>
    <w:rsid w:val="00A810F2"/>
    <w:rsid w:val="00A81121"/>
    <w:rsid w:val="00A81292"/>
    <w:rsid w:val="00A81377"/>
    <w:rsid w:val="00A815E0"/>
    <w:rsid w:val="00A815F0"/>
    <w:rsid w:val="00A81CF9"/>
    <w:rsid w:val="00A81D34"/>
    <w:rsid w:val="00A81DB6"/>
    <w:rsid w:val="00A81F90"/>
    <w:rsid w:val="00A81F98"/>
    <w:rsid w:val="00A81FF7"/>
    <w:rsid w:val="00A8210F"/>
    <w:rsid w:val="00A82157"/>
    <w:rsid w:val="00A82159"/>
    <w:rsid w:val="00A82455"/>
    <w:rsid w:val="00A824D2"/>
    <w:rsid w:val="00A825A1"/>
    <w:rsid w:val="00A82638"/>
    <w:rsid w:val="00A82895"/>
    <w:rsid w:val="00A82C60"/>
    <w:rsid w:val="00A82E24"/>
    <w:rsid w:val="00A82E7E"/>
    <w:rsid w:val="00A82F5B"/>
    <w:rsid w:val="00A82F82"/>
    <w:rsid w:val="00A83025"/>
    <w:rsid w:val="00A830FE"/>
    <w:rsid w:val="00A8329A"/>
    <w:rsid w:val="00A83320"/>
    <w:rsid w:val="00A833D8"/>
    <w:rsid w:val="00A837CD"/>
    <w:rsid w:val="00A83938"/>
    <w:rsid w:val="00A83AE2"/>
    <w:rsid w:val="00A83B29"/>
    <w:rsid w:val="00A83B60"/>
    <w:rsid w:val="00A8411A"/>
    <w:rsid w:val="00A84373"/>
    <w:rsid w:val="00A844DB"/>
    <w:rsid w:val="00A8485E"/>
    <w:rsid w:val="00A849AC"/>
    <w:rsid w:val="00A84A21"/>
    <w:rsid w:val="00A84A61"/>
    <w:rsid w:val="00A84B4B"/>
    <w:rsid w:val="00A84BDA"/>
    <w:rsid w:val="00A84BFA"/>
    <w:rsid w:val="00A84D36"/>
    <w:rsid w:val="00A84D40"/>
    <w:rsid w:val="00A84E74"/>
    <w:rsid w:val="00A84F4C"/>
    <w:rsid w:val="00A852E4"/>
    <w:rsid w:val="00A85308"/>
    <w:rsid w:val="00A855C8"/>
    <w:rsid w:val="00A85600"/>
    <w:rsid w:val="00A8560E"/>
    <w:rsid w:val="00A85677"/>
    <w:rsid w:val="00A8568B"/>
    <w:rsid w:val="00A856DC"/>
    <w:rsid w:val="00A856DE"/>
    <w:rsid w:val="00A85722"/>
    <w:rsid w:val="00A85754"/>
    <w:rsid w:val="00A8585F"/>
    <w:rsid w:val="00A858F4"/>
    <w:rsid w:val="00A85A14"/>
    <w:rsid w:val="00A85B50"/>
    <w:rsid w:val="00A85C9C"/>
    <w:rsid w:val="00A85CD0"/>
    <w:rsid w:val="00A85DA1"/>
    <w:rsid w:val="00A8601B"/>
    <w:rsid w:val="00A86028"/>
    <w:rsid w:val="00A8610E"/>
    <w:rsid w:val="00A86130"/>
    <w:rsid w:val="00A861D2"/>
    <w:rsid w:val="00A866F4"/>
    <w:rsid w:val="00A8672E"/>
    <w:rsid w:val="00A869D0"/>
    <w:rsid w:val="00A86A1A"/>
    <w:rsid w:val="00A86AC3"/>
    <w:rsid w:val="00A86B20"/>
    <w:rsid w:val="00A86C79"/>
    <w:rsid w:val="00A86E74"/>
    <w:rsid w:val="00A86FEB"/>
    <w:rsid w:val="00A871A9"/>
    <w:rsid w:val="00A871B8"/>
    <w:rsid w:val="00A871F5"/>
    <w:rsid w:val="00A8738A"/>
    <w:rsid w:val="00A873B2"/>
    <w:rsid w:val="00A873F1"/>
    <w:rsid w:val="00A875F6"/>
    <w:rsid w:val="00A87655"/>
    <w:rsid w:val="00A877FA"/>
    <w:rsid w:val="00A8799C"/>
    <w:rsid w:val="00A87A28"/>
    <w:rsid w:val="00A87C5E"/>
    <w:rsid w:val="00A87C69"/>
    <w:rsid w:val="00A87C7C"/>
    <w:rsid w:val="00A87E7F"/>
    <w:rsid w:val="00A87E85"/>
    <w:rsid w:val="00A87F7C"/>
    <w:rsid w:val="00A87FB8"/>
    <w:rsid w:val="00A9004C"/>
    <w:rsid w:val="00A900AA"/>
    <w:rsid w:val="00A90154"/>
    <w:rsid w:val="00A901C0"/>
    <w:rsid w:val="00A90234"/>
    <w:rsid w:val="00A9031B"/>
    <w:rsid w:val="00A90326"/>
    <w:rsid w:val="00A904F6"/>
    <w:rsid w:val="00A90653"/>
    <w:rsid w:val="00A909B2"/>
    <w:rsid w:val="00A909E0"/>
    <w:rsid w:val="00A90A88"/>
    <w:rsid w:val="00A90B0B"/>
    <w:rsid w:val="00A90B6F"/>
    <w:rsid w:val="00A90BE3"/>
    <w:rsid w:val="00A90C38"/>
    <w:rsid w:val="00A90D7E"/>
    <w:rsid w:val="00A90E46"/>
    <w:rsid w:val="00A91173"/>
    <w:rsid w:val="00A91282"/>
    <w:rsid w:val="00A9131F"/>
    <w:rsid w:val="00A9139E"/>
    <w:rsid w:val="00A91432"/>
    <w:rsid w:val="00A91578"/>
    <w:rsid w:val="00A9168D"/>
    <w:rsid w:val="00A9170D"/>
    <w:rsid w:val="00A918F6"/>
    <w:rsid w:val="00A919E2"/>
    <w:rsid w:val="00A91AE6"/>
    <w:rsid w:val="00A91C84"/>
    <w:rsid w:val="00A91CE3"/>
    <w:rsid w:val="00A91DC4"/>
    <w:rsid w:val="00A91DF9"/>
    <w:rsid w:val="00A91E4D"/>
    <w:rsid w:val="00A91E73"/>
    <w:rsid w:val="00A920C4"/>
    <w:rsid w:val="00A92132"/>
    <w:rsid w:val="00A921DB"/>
    <w:rsid w:val="00A922A8"/>
    <w:rsid w:val="00A922FB"/>
    <w:rsid w:val="00A92429"/>
    <w:rsid w:val="00A92438"/>
    <w:rsid w:val="00A924B7"/>
    <w:rsid w:val="00A92528"/>
    <w:rsid w:val="00A92865"/>
    <w:rsid w:val="00A928C3"/>
    <w:rsid w:val="00A92920"/>
    <w:rsid w:val="00A92A0E"/>
    <w:rsid w:val="00A92A52"/>
    <w:rsid w:val="00A92A9F"/>
    <w:rsid w:val="00A92BBF"/>
    <w:rsid w:val="00A92E9A"/>
    <w:rsid w:val="00A92F21"/>
    <w:rsid w:val="00A9302E"/>
    <w:rsid w:val="00A930EB"/>
    <w:rsid w:val="00A93163"/>
    <w:rsid w:val="00A9341A"/>
    <w:rsid w:val="00A934E2"/>
    <w:rsid w:val="00A934E4"/>
    <w:rsid w:val="00A93554"/>
    <w:rsid w:val="00A9364B"/>
    <w:rsid w:val="00A936E6"/>
    <w:rsid w:val="00A93764"/>
    <w:rsid w:val="00A939D5"/>
    <w:rsid w:val="00A93AC3"/>
    <w:rsid w:val="00A93B4C"/>
    <w:rsid w:val="00A93F02"/>
    <w:rsid w:val="00A9400C"/>
    <w:rsid w:val="00A94024"/>
    <w:rsid w:val="00A9408B"/>
    <w:rsid w:val="00A9408C"/>
    <w:rsid w:val="00A940DE"/>
    <w:rsid w:val="00A94256"/>
    <w:rsid w:val="00A945DA"/>
    <w:rsid w:val="00A94645"/>
    <w:rsid w:val="00A9472A"/>
    <w:rsid w:val="00A9492B"/>
    <w:rsid w:val="00A94BA2"/>
    <w:rsid w:val="00A94D04"/>
    <w:rsid w:val="00A94D4D"/>
    <w:rsid w:val="00A94E9F"/>
    <w:rsid w:val="00A94EC3"/>
    <w:rsid w:val="00A94F30"/>
    <w:rsid w:val="00A94FFE"/>
    <w:rsid w:val="00A95254"/>
    <w:rsid w:val="00A953C1"/>
    <w:rsid w:val="00A95496"/>
    <w:rsid w:val="00A954E7"/>
    <w:rsid w:val="00A95649"/>
    <w:rsid w:val="00A956C6"/>
    <w:rsid w:val="00A956E2"/>
    <w:rsid w:val="00A9577A"/>
    <w:rsid w:val="00A957E0"/>
    <w:rsid w:val="00A95834"/>
    <w:rsid w:val="00A95846"/>
    <w:rsid w:val="00A95854"/>
    <w:rsid w:val="00A959C7"/>
    <w:rsid w:val="00A95A78"/>
    <w:rsid w:val="00A95A96"/>
    <w:rsid w:val="00A95AA2"/>
    <w:rsid w:val="00A9605C"/>
    <w:rsid w:val="00A9614B"/>
    <w:rsid w:val="00A962BA"/>
    <w:rsid w:val="00A96390"/>
    <w:rsid w:val="00A96537"/>
    <w:rsid w:val="00A96539"/>
    <w:rsid w:val="00A9668A"/>
    <w:rsid w:val="00A9684A"/>
    <w:rsid w:val="00A96917"/>
    <w:rsid w:val="00A96A4E"/>
    <w:rsid w:val="00A96A50"/>
    <w:rsid w:val="00A96E36"/>
    <w:rsid w:val="00A96EE1"/>
    <w:rsid w:val="00A9715F"/>
    <w:rsid w:val="00A97226"/>
    <w:rsid w:val="00A97384"/>
    <w:rsid w:val="00A973C2"/>
    <w:rsid w:val="00A973F4"/>
    <w:rsid w:val="00A9757E"/>
    <w:rsid w:val="00A976FB"/>
    <w:rsid w:val="00A977BB"/>
    <w:rsid w:val="00A97CBF"/>
    <w:rsid w:val="00A97EC2"/>
    <w:rsid w:val="00A97FB6"/>
    <w:rsid w:val="00A97FDE"/>
    <w:rsid w:val="00AA0003"/>
    <w:rsid w:val="00AA01DC"/>
    <w:rsid w:val="00AA01E6"/>
    <w:rsid w:val="00AA02E6"/>
    <w:rsid w:val="00AA06A8"/>
    <w:rsid w:val="00AA0739"/>
    <w:rsid w:val="00AA07EC"/>
    <w:rsid w:val="00AA083A"/>
    <w:rsid w:val="00AA08EC"/>
    <w:rsid w:val="00AA09D5"/>
    <w:rsid w:val="00AA0A80"/>
    <w:rsid w:val="00AA0B2B"/>
    <w:rsid w:val="00AA0B2F"/>
    <w:rsid w:val="00AA0B8A"/>
    <w:rsid w:val="00AA0C33"/>
    <w:rsid w:val="00AA0C39"/>
    <w:rsid w:val="00AA0C99"/>
    <w:rsid w:val="00AA0E2A"/>
    <w:rsid w:val="00AA0ED8"/>
    <w:rsid w:val="00AA10C8"/>
    <w:rsid w:val="00AA1175"/>
    <w:rsid w:val="00AA121E"/>
    <w:rsid w:val="00AA122E"/>
    <w:rsid w:val="00AA12A7"/>
    <w:rsid w:val="00AA12A9"/>
    <w:rsid w:val="00AA145E"/>
    <w:rsid w:val="00AA1558"/>
    <w:rsid w:val="00AA16CF"/>
    <w:rsid w:val="00AA1913"/>
    <w:rsid w:val="00AA1AE0"/>
    <w:rsid w:val="00AA1BF4"/>
    <w:rsid w:val="00AA1C38"/>
    <w:rsid w:val="00AA1D36"/>
    <w:rsid w:val="00AA1DC4"/>
    <w:rsid w:val="00AA1F97"/>
    <w:rsid w:val="00AA203D"/>
    <w:rsid w:val="00AA20D9"/>
    <w:rsid w:val="00AA2144"/>
    <w:rsid w:val="00AA21ED"/>
    <w:rsid w:val="00AA220F"/>
    <w:rsid w:val="00AA2239"/>
    <w:rsid w:val="00AA2286"/>
    <w:rsid w:val="00AA2463"/>
    <w:rsid w:val="00AA24A7"/>
    <w:rsid w:val="00AA2548"/>
    <w:rsid w:val="00AA256E"/>
    <w:rsid w:val="00AA2579"/>
    <w:rsid w:val="00AA2811"/>
    <w:rsid w:val="00AA2A34"/>
    <w:rsid w:val="00AA2B6B"/>
    <w:rsid w:val="00AA2C28"/>
    <w:rsid w:val="00AA2DA9"/>
    <w:rsid w:val="00AA2E41"/>
    <w:rsid w:val="00AA2F35"/>
    <w:rsid w:val="00AA32B6"/>
    <w:rsid w:val="00AA32C3"/>
    <w:rsid w:val="00AA351C"/>
    <w:rsid w:val="00AA3549"/>
    <w:rsid w:val="00AA3875"/>
    <w:rsid w:val="00AA38C7"/>
    <w:rsid w:val="00AA3998"/>
    <w:rsid w:val="00AA3ADD"/>
    <w:rsid w:val="00AA3B23"/>
    <w:rsid w:val="00AA3FCF"/>
    <w:rsid w:val="00AA436D"/>
    <w:rsid w:val="00AA43D9"/>
    <w:rsid w:val="00AA4452"/>
    <w:rsid w:val="00AA445B"/>
    <w:rsid w:val="00AA44A2"/>
    <w:rsid w:val="00AA4570"/>
    <w:rsid w:val="00AA4663"/>
    <w:rsid w:val="00AA4773"/>
    <w:rsid w:val="00AA4785"/>
    <w:rsid w:val="00AA47BF"/>
    <w:rsid w:val="00AA47E5"/>
    <w:rsid w:val="00AA484D"/>
    <w:rsid w:val="00AA4E9E"/>
    <w:rsid w:val="00AA51EE"/>
    <w:rsid w:val="00AA5255"/>
    <w:rsid w:val="00AA55F7"/>
    <w:rsid w:val="00AA55F9"/>
    <w:rsid w:val="00AA56DE"/>
    <w:rsid w:val="00AA5886"/>
    <w:rsid w:val="00AA5DD6"/>
    <w:rsid w:val="00AA6084"/>
    <w:rsid w:val="00AA628B"/>
    <w:rsid w:val="00AA63B4"/>
    <w:rsid w:val="00AA64DD"/>
    <w:rsid w:val="00AA6513"/>
    <w:rsid w:val="00AA65F3"/>
    <w:rsid w:val="00AA6776"/>
    <w:rsid w:val="00AA67DA"/>
    <w:rsid w:val="00AA69A1"/>
    <w:rsid w:val="00AA6A82"/>
    <w:rsid w:val="00AA6E2A"/>
    <w:rsid w:val="00AA6F2E"/>
    <w:rsid w:val="00AA7008"/>
    <w:rsid w:val="00AA7086"/>
    <w:rsid w:val="00AA70EC"/>
    <w:rsid w:val="00AA72BB"/>
    <w:rsid w:val="00AA731E"/>
    <w:rsid w:val="00AA735E"/>
    <w:rsid w:val="00AA735F"/>
    <w:rsid w:val="00AA73B6"/>
    <w:rsid w:val="00AA75F0"/>
    <w:rsid w:val="00AA761B"/>
    <w:rsid w:val="00AA7761"/>
    <w:rsid w:val="00AA7830"/>
    <w:rsid w:val="00AA7871"/>
    <w:rsid w:val="00AA7A3D"/>
    <w:rsid w:val="00AA7B55"/>
    <w:rsid w:val="00AA7D34"/>
    <w:rsid w:val="00AB00C3"/>
    <w:rsid w:val="00AB00F7"/>
    <w:rsid w:val="00AB016C"/>
    <w:rsid w:val="00AB0375"/>
    <w:rsid w:val="00AB05C4"/>
    <w:rsid w:val="00AB063D"/>
    <w:rsid w:val="00AB07A5"/>
    <w:rsid w:val="00AB09E2"/>
    <w:rsid w:val="00AB0B2C"/>
    <w:rsid w:val="00AB0C3D"/>
    <w:rsid w:val="00AB0C64"/>
    <w:rsid w:val="00AB0CCF"/>
    <w:rsid w:val="00AB0D0D"/>
    <w:rsid w:val="00AB0D61"/>
    <w:rsid w:val="00AB100A"/>
    <w:rsid w:val="00AB1010"/>
    <w:rsid w:val="00AB1016"/>
    <w:rsid w:val="00AB1023"/>
    <w:rsid w:val="00AB1063"/>
    <w:rsid w:val="00AB1088"/>
    <w:rsid w:val="00AB10CA"/>
    <w:rsid w:val="00AB1137"/>
    <w:rsid w:val="00AB1176"/>
    <w:rsid w:val="00AB13E8"/>
    <w:rsid w:val="00AB14A6"/>
    <w:rsid w:val="00AB1708"/>
    <w:rsid w:val="00AB18AE"/>
    <w:rsid w:val="00AB1CE9"/>
    <w:rsid w:val="00AB1D0F"/>
    <w:rsid w:val="00AB1DB1"/>
    <w:rsid w:val="00AB1E09"/>
    <w:rsid w:val="00AB1F69"/>
    <w:rsid w:val="00AB20AA"/>
    <w:rsid w:val="00AB20D9"/>
    <w:rsid w:val="00AB216F"/>
    <w:rsid w:val="00AB219C"/>
    <w:rsid w:val="00AB2362"/>
    <w:rsid w:val="00AB239A"/>
    <w:rsid w:val="00AB2406"/>
    <w:rsid w:val="00AB27E9"/>
    <w:rsid w:val="00AB2871"/>
    <w:rsid w:val="00AB289C"/>
    <w:rsid w:val="00AB28AF"/>
    <w:rsid w:val="00AB28CF"/>
    <w:rsid w:val="00AB2978"/>
    <w:rsid w:val="00AB2989"/>
    <w:rsid w:val="00AB29BE"/>
    <w:rsid w:val="00AB2A2B"/>
    <w:rsid w:val="00AB2F16"/>
    <w:rsid w:val="00AB2F4A"/>
    <w:rsid w:val="00AB30A2"/>
    <w:rsid w:val="00AB3636"/>
    <w:rsid w:val="00AB3670"/>
    <w:rsid w:val="00AB37F6"/>
    <w:rsid w:val="00AB381D"/>
    <w:rsid w:val="00AB3840"/>
    <w:rsid w:val="00AB3941"/>
    <w:rsid w:val="00AB39C3"/>
    <w:rsid w:val="00AB3BB4"/>
    <w:rsid w:val="00AB3C40"/>
    <w:rsid w:val="00AB3DE3"/>
    <w:rsid w:val="00AB4108"/>
    <w:rsid w:val="00AB418A"/>
    <w:rsid w:val="00AB41AD"/>
    <w:rsid w:val="00AB43D7"/>
    <w:rsid w:val="00AB449B"/>
    <w:rsid w:val="00AB45CF"/>
    <w:rsid w:val="00AB463B"/>
    <w:rsid w:val="00AB4680"/>
    <w:rsid w:val="00AB4772"/>
    <w:rsid w:val="00AB4828"/>
    <w:rsid w:val="00AB484F"/>
    <w:rsid w:val="00AB48B1"/>
    <w:rsid w:val="00AB48C7"/>
    <w:rsid w:val="00AB48E5"/>
    <w:rsid w:val="00AB492C"/>
    <w:rsid w:val="00AB5009"/>
    <w:rsid w:val="00AB525D"/>
    <w:rsid w:val="00AB52D8"/>
    <w:rsid w:val="00AB53E2"/>
    <w:rsid w:val="00AB5505"/>
    <w:rsid w:val="00AB555E"/>
    <w:rsid w:val="00AB5607"/>
    <w:rsid w:val="00AB57AA"/>
    <w:rsid w:val="00AB57B0"/>
    <w:rsid w:val="00AB5897"/>
    <w:rsid w:val="00AB58DD"/>
    <w:rsid w:val="00AB5AB4"/>
    <w:rsid w:val="00AB5F28"/>
    <w:rsid w:val="00AB5F64"/>
    <w:rsid w:val="00AB5F8C"/>
    <w:rsid w:val="00AB69D9"/>
    <w:rsid w:val="00AB6A06"/>
    <w:rsid w:val="00AB6A96"/>
    <w:rsid w:val="00AB6B5C"/>
    <w:rsid w:val="00AB6B86"/>
    <w:rsid w:val="00AB6C1A"/>
    <w:rsid w:val="00AB6C4D"/>
    <w:rsid w:val="00AB6CA1"/>
    <w:rsid w:val="00AB6DA9"/>
    <w:rsid w:val="00AB6DAC"/>
    <w:rsid w:val="00AB6E73"/>
    <w:rsid w:val="00AB6E7F"/>
    <w:rsid w:val="00AB72B7"/>
    <w:rsid w:val="00AB73DB"/>
    <w:rsid w:val="00AB7499"/>
    <w:rsid w:val="00AB7778"/>
    <w:rsid w:val="00AB7A22"/>
    <w:rsid w:val="00AB7A3E"/>
    <w:rsid w:val="00AC000D"/>
    <w:rsid w:val="00AC02C4"/>
    <w:rsid w:val="00AC04B6"/>
    <w:rsid w:val="00AC04EC"/>
    <w:rsid w:val="00AC08FD"/>
    <w:rsid w:val="00AC0AE2"/>
    <w:rsid w:val="00AC0C7A"/>
    <w:rsid w:val="00AC0CEB"/>
    <w:rsid w:val="00AC0D38"/>
    <w:rsid w:val="00AC0F36"/>
    <w:rsid w:val="00AC0FB6"/>
    <w:rsid w:val="00AC105E"/>
    <w:rsid w:val="00AC108E"/>
    <w:rsid w:val="00AC10DD"/>
    <w:rsid w:val="00AC1248"/>
    <w:rsid w:val="00AC1395"/>
    <w:rsid w:val="00AC144E"/>
    <w:rsid w:val="00AC1484"/>
    <w:rsid w:val="00AC1686"/>
    <w:rsid w:val="00AC16EB"/>
    <w:rsid w:val="00AC1892"/>
    <w:rsid w:val="00AC19A4"/>
    <w:rsid w:val="00AC19E9"/>
    <w:rsid w:val="00AC1A51"/>
    <w:rsid w:val="00AC1D00"/>
    <w:rsid w:val="00AC1E0A"/>
    <w:rsid w:val="00AC1FF0"/>
    <w:rsid w:val="00AC20F3"/>
    <w:rsid w:val="00AC2612"/>
    <w:rsid w:val="00AC27BA"/>
    <w:rsid w:val="00AC288F"/>
    <w:rsid w:val="00AC2B49"/>
    <w:rsid w:val="00AC2D88"/>
    <w:rsid w:val="00AC2E8A"/>
    <w:rsid w:val="00AC2F60"/>
    <w:rsid w:val="00AC32C4"/>
    <w:rsid w:val="00AC32FF"/>
    <w:rsid w:val="00AC330E"/>
    <w:rsid w:val="00AC33B0"/>
    <w:rsid w:val="00AC3542"/>
    <w:rsid w:val="00AC3563"/>
    <w:rsid w:val="00AC37D7"/>
    <w:rsid w:val="00AC3B54"/>
    <w:rsid w:val="00AC3D35"/>
    <w:rsid w:val="00AC3ECE"/>
    <w:rsid w:val="00AC3EF3"/>
    <w:rsid w:val="00AC43EE"/>
    <w:rsid w:val="00AC4493"/>
    <w:rsid w:val="00AC44E5"/>
    <w:rsid w:val="00AC456E"/>
    <w:rsid w:val="00AC4572"/>
    <w:rsid w:val="00AC45F2"/>
    <w:rsid w:val="00AC463C"/>
    <w:rsid w:val="00AC46AD"/>
    <w:rsid w:val="00AC479B"/>
    <w:rsid w:val="00AC47A8"/>
    <w:rsid w:val="00AC4B09"/>
    <w:rsid w:val="00AC4CE9"/>
    <w:rsid w:val="00AC4E11"/>
    <w:rsid w:val="00AC5354"/>
    <w:rsid w:val="00AC53B5"/>
    <w:rsid w:val="00AC55DC"/>
    <w:rsid w:val="00AC5617"/>
    <w:rsid w:val="00AC57AC"/>
    <w:rsid w:val="00AC5A3B"/>
    <w:rsid w:val="00AC5A4B"/>
    <w:rsid w:val="00AC5BF3"/>
    <w:rsid w:val="00AC5CB6"/>
    <w:rsid w:val="00AC5EB2"/>
    <w:rsid w:val="00AC6124"/>
    <w:rsid w:val="00AC61B5"/>
    <w:rsid w:val="00AC649D"/>
    <w:rsid w:val="00AC654D"/>
    <w:rsid w:val="00AC655F"/>
    <w:rsid w:val="00AC668E"/>
    <w:rsid w:val="00AC66F1"/>
    <w:rsid w:val="00AC688C"/>
    <w:rsid w:val="00AC68E4"/>
    <w:rsid w:val="00AC6B1E"/>
    <w:rsid w:val="00AC6B43"/>
    <w:rsid w:val="00AC6D44"/>
    <w:rsid w:val="00AC6D5F"/>
    <w:rsid w:val="00AC6DD1"/>
    <w:rsid w:val="00AC6ED5"/>
    <w:rsid w:val="00AC6FF3"/>
    <w:rsid w:val="00AC71F2"/>
    <w:rsid w:val="00AC724D"/>
    <w:rsid w:val="00AC730E"/>
    <w:rsid w:val="00AC7430"/>
    <w:rsid w:val="00AC753C"/>
    <w:rsid w:val="00AC753D"/>
    <w:rsid w:val="00AC7675"/>
    <w:rsid w:val="00AC7806"/>
    <w:rsid w:val="00AC7B2C"/>
    <w:rsid w:val="00AC7CB9"/>
    <w:rsid w:val="00AC7CC0"/>
    <w:rsid w:val="00AC7EF6"/>
    <w:rsid w:val="00AC7F6C"/>
    <w:rsid w:val="00AC7F96"/>
    <w:rsid w:val="00AD002C"/>
    <w:rsid w:val="00AD00F7"/>
    <w:rsid w:val="00AD01FE"/>
    <w:rsid w:val="00AD03CF"/>
    <w:rsid w:val="00AD04E8"/>
    <w:rsid w:val="00AD0569"/>
    <w:rsid w:val="00AD0648"/>
    <w:rsid w:val="00AD0892"/>
    <w:rsid w:val="00AD09DD"/>
    <w:rsid w:val="00AD0A30"/>
    <w:rsid w:val="00AD0A9A"/>
    <w:rsid w:val="00AD0BEF"/>
    <w:rsid w:val="00AD0C88"/>
    <w:rsid w:val="00AD0CD7"/>
    <w:rsid w:val="00AD0D2E"/>
    <w:rsid w:val="00AD0E9E"/>
    <w:rsid w:val="00AD0F69"/>
    <w:rsid w:val="00AD1152"/>
    <w:rsid w:val="00AD1175"/>
    <w:rsid w:val="00AD11D0"/>
    <w:rsid w:val="00AD1272"/>
    <w:rsid w:val="00AD128D"/>
    <w:rsid w:val="00AD12AE"/>
    <w:rsid w:val="00AD12BC"/>
    <w:rsid w:val="00AD12CC"/>
    <w:rsid w:val="00AD144F"/>
    <w:rsid w:val="00AD1537"/>
    <w:rsid w:val="00AD1586"/>
    <w:rsid w:val="00AD17EC"/>
    <w:rsid w:val="00AD19DE"/>
    <w:rsid w:val="00AD1D05"/>
    <w:rsid w:val="00AD1D58"/>
    <w:rsid w:val="00AD1EF0"/>
    <w:rsid w:val="00AD1F35"/>
    <w:rsid w:val="00AD1F78"/>
    <w:rsid w:val="00AD1FE1"/>
    <w:rsid w:val="00AD20BB"/>
    <w:rsid w:val="00AD20F8"/>
    <w:rsid w:val="00AD20FB"/>
    <w:rsid w:val="00AD2112"/>
    <w:rsid w:val="00AD21A4"/>
    <w:rsid w:val="00AD21BF"/>
    <w:rsid w:val="00AD2540"/>
    <w:rsid w:val="00AD25B6"/>
    <w:rsid w:val="00AD260E"/>
    <w:rsid w:val="00AD2650"/>
    <w:rsid w:val="00AD27B5"/>
    <w:rsid w:val="00AD2BBB"/>
    <w:rsid w:val="00AD2D73"/>
    <w:rsid w:val="00AD2E69"/>
    <w:rsid w:val="00AD2E6C"/>
    <w:rsid w:val="00AD2FE2"/>
    <w:rsid w:val="00AD303E"/>
    <w:rsid w:val="00AD30D3"/>
    <w:rsid w:val="00AD3199"/>
    <w:rsid w:val="00AD31E9"/>
    <w:rsid w:val="00AD3459"/>
    <w:rsid w:val="00AD3B5E"/>
    <w:rsid w:val="00AD3CA0"/>
    <w:rsid w:val="00AD3CE4"/>
    <w:rsid w:val="00AD3D96"/>
    <w:rsid w:val="00AD400A"/>
    <w:rsid w:val="00AD40D3"/>
    <w:rsid w:val="00AD4290"/>
    <w:rsid w:val="00AD4761"/>
    <w:rsid w:val="00AD48AF"/>
    <w:rsid w:val="00AD4B45"/>
    <w:rsid w:val="00AD4FD6"/>
    <w:rsid w:val="00AD5021"/>
    <w:rsid w:val="00AD51DA"/>
    <w:rsid w:val="00AD52A4"/>
    <w:rsid w:val="00AD5315"/>
    <w:rsid w:val="00AD53DD"/>
    <w:rsid w:val="00AD53E3"/>
    <w:rsid w:val="00AD5684"/>
    <w:rsid w:val="00AD5829"/>
    <w:rsid w:val="00AD590A"/>
    <w:rsid w:val="00AD5AB2"/>
    <w:rsid w:val="00AD5B4F"/>
    <w:rsid w:val="00AD5BD2"/>
    <w:rsid w:val="00AD5C00"/>
    <w:rsid w:val="00AD5CAC"/>
    <w:rsid w:val="00AD5FB6"/>
    <w:rsid w:val="00AD6368"/>
    <w:rsid w:val="00AD64E6"/>
    <w:rsid w:val="00AD6737"/>
    <w:rsid w:val="00AD680A"/>
    <w:rsid w:val="00AD6995"/>
    <w:rsid w:val="00AD6AB6"/>
    <w:rsid w:val="00AD6BA1"/>
    <w:rsid w:val="00AD6C93"/>
    <w:rsid w:val="00AD6DCE"/>
    <w:rsid w:val="00AD6E04"/>
    <w:rsid w:val="00AD6E30"/>
    <w:rsid w:val="00AD6E8F"/>
    <w:rsid w:val="00AD6F02"/>
    <w:rsid w:val="00AD6F2F"/>
    <w:rsid w:val="00AD7055"/>
    <w:rsid w:val="00AD7122"/>
    <w:rsid w:val="00AD716F"/>
    <w:rsid w:val="00AD73B9"/>
    <w:rsid w:val="00AD7777"/>
    <w:rsid w:val="00AD77D8"/>
    <w:rsid w:val="00AD7842"/>
    <w:rsid w:val="00AD7ABB"/>
    <w:rsid w:val="00AD7E29"/>
    <w:rsid w:val="00AD7E60"/>
    <w:rsid w:val="00AD7EAE"/>
    <w:rsid w:val="00AE01DB"/>
    <w:rsid w:val="00AE0238"/>
    <w:rsid w:val="00AE0240"/>
    <w:rsid w:val="00AE0330"/>
    <w:rsid w:val="00AE03F8"/>
    <w:rsid w:val="00AE04CF"/>
    <w:rsid w:val="00AE04DB"/>
    <w:rsid w:val="00AE05D1"/>
    <w:rsid w:val="00AE067A"/>
    <w:rsid w:val="00AE0684"/>
    <w:rsid w:val="00AE075E"/>
    <w:rsid w:val="00AE0A40"/>
    <w:rsid w:val="00AE0A4A"/>
    <w:rsid w:val="00AE0ACC"/>
    <w:rsid w:val="00AE0C3D"/>
    <w:rsid w:val="00AE10A8"/>
    <w:rsid w:val="00AE10D3"/>
    <w:rsid w:val="00AE182A"/>
    <w:rsid w:val="00AE1A34"/>
    <w:rsid w:val="00AE1C4E"/>
    <w:rsid w:val="00AE1DA5"/>
    <w:rsid w:val="00AE1DE1"/>
    <w:rsid w:val="00AE1EBC"/>
    <w:rsid w:val="00AE1EF9"/>
    <w:rsid w:val="00AE1F35"/>
    <w:rsid w:val="00AE240D"/>
    <w:rsid w:val="00AE2600"/>
    <w:rsid w:val="00AE265B"/>
    <w:rsid w:val="00AE2726"/>
    <w:rsid w:val="00AE272A"/>
    <w:rsid w:val="00AE2791"/>
    <w:rsid w:val="00AE27AB"/>
    <w:rsid w:val="00AE2901"/>
    <w:rsid w:val="00AE29A4"/>
    <w:rsid w:val="00AE2B37"/>
    <w:rsid w:val="00AE2CFD"/>
    <w:rsid w:val="00AE2D5C"/>
    <w:rsid w:val="00AE2DB1"/>
    <w:rsid w:val="00AE2E1E"/>
    <w:rsid w:val="00AE2E2F"/>
    <w:rsid w:val="00AE2E47"/>
    <w:rsid w:val="00AE2E72"/>
    <w:rsid w:val="00AE2F79"/>
    <w:rsid w:val="00AE2FD2"/>
    <w:rsid w:val="00AE3020"/>
    <w:rsid w:val="00AE31A3"/>
    <w:rsid w:val="00AE3237"/>
    <w:rsid w:val="00AE32DF"/>
    <w:rsid w:val="00AE3327"/>
    <w:rsid w:val="00AE3472"/>
    <w:rsid w:val="00AE3628"/>
    <w:rsid w:val="00AE38F4"/>
    <w:rsid w:val="00AE3954"/>
    <w:rsid w:val="00AE3AA6"/>
    <w:rsid w:val="00AE3B5F"/>
    <w:rsid w:val="00AE3CDE"/>
    <w:rsid w:val="00AE3D21"/>
    <w:rsid w:val="00AE40C8"/>
    <w:rsid w:val="00AE42AF"/>
    <w:rsid w:val="00AE4347"/>
    <w:rsid w:val="00AE4391"/>
    <w:rsid w:val="00AE449C"/>
    <w:rsid w:val="00AE44D8"/>
    <w:rsid w:val="00AE4761"/>
    <w:rsid w:val="00AE4BD6"/>
    <w:rsid w:val="00AE4BEA"/>
    <w:rsid w:val="00AE4E38"/>
    <w:rsid w:val="00AE4EAF"/>
    <w:rsid w:val="00AE4F84"/>
    <w:rsid w:val="00AE5009"/>
    <w:rsid w:val="00AE5090"/>
    <w:rsid w:val="00AE51EB"/>
    <w:rsid w:val="00AE520E"/>
    <w:rsid w:val="00AE52AD"/>
    <w:rsid w:val="00AE52C1"/>
    <w:rsid w:val="00AE537D"/>
    <w:rsid w:val="00AE5382"/>
    <w:rsid w:val="00AE5B3B"/>
    <w:rsid w:val="00AE5C70"/>
    <w:rsid w:val="00AE5D7A"/>
    <w:rsid w:val="00AE6088"/>
    <w:rsid w:val="00AE620F"/>
    <w:rsid w:val="00AE636A"/>
    <w:rsid w:val="00AE64DE"/>
    <w:rsid w:val="00AE676E"/>
    <w:rsid w:val="00AE6B06"/>
    <w:rsid w:val="00AE6C81"/>
    <w:rsid w:val="00AE6D8B"/>
    <w:rsid w:val="00AE6EEB"/>
    <w:rsid w:val="00AE6FC7"/>
    <w:rsid w:val="00AE7069"/>
    <w:rsid w:val="00AE729B"/>
    <w:rsid w:val="00AE737E"/>
    <w:rsid w:val="00AE7495"/>
    <w:rsid w:val="00AE778F"/>
    <w:rsid w:val="00AE77B2"/>
    <w:rsid w:val="00AE785F"/>
    <w:rsid w:val="00AE7959"/>
    <w:rsid w:val="00AE7A5C"/>
    <w:rsid w:val="00AE7BE1"/>
    <w:rsid w:val="00AE7CED"/>
    <w:rsid w:val="00AF00CA"/>
    <w:rsid w:val="00AF0280"/>
    <w:rsid w:val="00AF02D5"/>
    <w:rsid w:val="00AF03E8"/>
    <w:rsid w:val="00AF040A"/>
    <w:rsid w:val="00AF04D8"/>
    <w:rsid w:val="00AF0B24"/>
    <w:rsid w:val="00AF0C4C"/>
    <w:rsid w:val="00AF0FA1"/>
    <w:rsid w:val="00AF0FE0"/>
    <w:rsid w:val="00AF1042"/>
    <w:rsid w:val="00AF10F8"/>
    <w:rsid w:val="00AF1153"/>
    <w:rsid w:val="00AF1417"/>
    <w:rsid w:val="00AF148E"/>
    <w:rsid w:val="00AF14F4"/>
    <w:rsid w:val="00AF1578"/>
    <w:rsid w:val="00AF1599"/>
    <w:rsid w:val="00AF16CC"/>
    <w:rsid w:val="00AF1756"/>
    <w:rsid w:val="00AF193A"/>
    <w:rsid w:val="00AF19F1"/>
    <w:rsid w:val="00AF1B9D"/>
    <w:rsid w:val="00AF1CB5"/>
    <w:rsid w:val="00AF1CC9"/>
    <w:rsid w:val="00AF1D33"/>
    <w:rsid w:val="00AF1D50"/>
    <w:rsid w:val="00AF1E64"/>
    <w:rsid w:val="00AF1F4C"/>
    <w:rsid w:val="00AF1F9F"/>
    <w:rsid w:val="00AF2032"/>
    <w:rsid w:val="00AF2068"/>
    <w:rsid w:val="00AF210F"/>
    <w:rsid w:val="00AF211A"/>
    <w:rsid w:val="00AF2325"/>
    <w:rsid w:val="00AF2418"/>
    <w:rsid w:val="00AF24A2"/>
    <w:rsid w:val="00AF2683"/>
    <w:rsid w:val="00AF283E"/>
    <w:rsid w:val="00AF2CA6"/>
    <w:rsid w:val="00AF2D53"/>
    <w:rsid w:val="00AF2DF8"/>
    <w:rsid w:val="00AF2DFD"/>
    <w:rsid w:val="00AF2FBE"/>
    <w:rsid w:val="00AF319E"/>
    <w:rsid w:val="00AF335D"/>
    <w:rsid w:val="00AF35DD"/>
    <w:rsid w:val="00AF3643"/>
    <w:rsid w:val="00AF38C7"/>
    <w:rsid w:val="00AF3923"/>
    <w:rsid w:val="00AF3975"/>
    <w:rsid w:val="00AF3AD7"/>
    <w:rsid w:val="00AF3B06"/>
    <w:rsid w:val="00AF3CA5"/>
    <w:rsid w:val="00AF3EB4"/>
    <w:rsid w:val="00AF41D8"/>
    <w:rsid w:val="00AF42C5"/>
    <w:rsid w:val="00AF4437"/>
    <w:rsid w:val="00AF45F1"/>
    <w:rsid w:val="00AF464B"/>
    <w:rsid w:val="00AF46EB"/>
    <w:rsid w:val="00AF47F7"/>
    <w:rsid w:val="00AF4864"/>
    <w:rsid w:val="00AF4B59"/>
    <w:rsid w:val="00AF4D08"/>
    <w:rsid w:val="00AF4F96"/>
    <w:rsid w:val="00AF5020"/>
    <w:rsid w:val="00AF5179"/>
    <w:rsid w:val="00AF5285"/>
    <w:rsid w:val="00AF53CD"/>
    <w:rsid w:val="00AF55FE"/>
    <w:rsid w:val="00AF560E"/>
    <w:rsid w:val="00AF567A"/>
    <w:rsid w:val="00AF5739"/>
    <w:rsid w:val="00AF5764"/>
    <w:rsid w:val="00AF576C"/>
    <w:rsid w:val="00AF59A1"/>
    <w:rsid w:val="00AF59E7"/>
    <w:rsid w:val="00AF5C8C"/>
    <w:rsid w:val="00AF5DA1"/>
    <w:rsid w:val="00AF5FEB"/>
    <w:rsid w:val="00AF6281"/>
    <w:rsid w:val="00AF66B5"/>
    <w:rsid w:val="00AF68C7"/>
    <w:rsid w:val="00AF692A"/>
    <w:rsid w:val="00AF6BBC"/>
    <w:rsid w:val="00AF6D74"/>
    <w:rsid w:val="00AF6E6E"/>
    <w:rsid w:val="00AF6EBE"/>
    <w:rsid w:val="00AF6FD0"/>
    <w:rsid w:val="00AF72E0"/>
    <w:rsid w:val="00AF733A"/>
    <w:rsid w:val="00AF794A"/>
    <w:rsid w:val="00AF7DC3"/>
    <w:rsid w:val="00AF7FA8"/>
    <w:rsid w:val="00AFA057"/>
    <w:rsid w:val="00B00782"/>
    <w:rsid w:val="00B00A85"/>
    <w:rsid w:val="00B00C5D"/>
    <w:rsid w:val="00B00E0A"/>
    <w:rsid w:val="00B00E7B"/>
    <w:rsid w:val="00B00E91"/>
    <w:rsid w:val="00B00F14"/>
    <w:rsid w:val="00B01130"/>
    <w:rsid w:val="00B01199"/>
    <w:rsid w:val="00B012F1"/>
    <w:rsid w:val="00B013AC"/>
    <w:rsid w:val="00B01402"/>
    <w:rsid w:val="00B01421"/>
    <w:rsid w:val="00B01438"/>
    <w:rsid w:val="00B01613"/>
    <w:rsid w:val="00B01631"/>
    <w:rsid w:val="00B01632"/>
    <w:rsid w:val="00B017DC"/>
    <w:rsid w:val="00B017EB"/>
    <w:rsid w:val="00B01912"/>
    <w:rsid w:val="00B019A8"/>
    <w:rsid w:val="00B01A22"/>
    <w:rsid w:val="00B01A47"/>
    <w:rsid w:val="00B01C1C"/>
    <w:rsid w:val="00B01CF7"/>
    <w:rsid w:val="00B01E1A"/>
    <w:rsid w:val="00B01E6C"/>
    <w:rsid w:val="00B01F4A"/>
    <w:rsid w:val="00B01F82"/>
    <w:rsid w:val="00B0216D"/>
    <w:rsid w:val="00B02272"/>
    <w:rsid w:val="00B0256F"/>
    <w:rsid w:val="00B02590"/>
    <w:rsid w:val="00B025D3"/>
    <w:rsid w:val="00B025E8"/>
    <w:rsid w:val="00B029A6"/>
    <w:rsid w:val="00B029D8"/>
    <w:rsid w:val="00B02ABF"/>
    <w:rsid w:val="00B02AF4"/>
    <w:rsid w:val="00B02B0D"/>
    <w:rsid w:val="00B02D2F"/>
    <w:rsid w:val="00B02DAE"/>
    <w:rsid w:val="00B0327F"/>
    <w:rsid w:val="00B032DE"/>
    <w:rsid w:val="00B0337D"/>
    <w:rsid w:val="00B033E2"/>
    <w:rsid w:val="00B03428"/>
    <w:rsid w:val="00B03584"/>
    <w:rsid w:val="00B03611"/>
    <w:rsid w:val="00B036F7"/>
    <w:rsid w:val="00B0385A"/>
    <w:rsid w:val="00B03949"/>
    <w:rsid w:val="00B03BA9"/>
    <w:rsid w:val="00B03CE2"/>
    <w:rsid w:val="00B03DD3"/>
    <w:rsid w:val="00B03E77"/>
    <w:rsid w:val="00B041F4"/>
    <w:rsid w:val="00B042C7"/>
    <w:rsid w:val="00B04394"/>
    <w:rsid w:val="00B043B0"/>
    <w:rsid w:val="00B043CC"/>
    <w:rsid w:val="00B046DD"/>
    <w:rsid w:val="00B0495E"/>
    <w:rsid w:val="00B04B3A"/>
    <w:rsid w:val="00B04C42"/>
    <w:rsid w:val="00B04C98"/>
    <w:rsid w:val="00B04CE9"/>
    <w:rsid w:val="00B04D19"/>
    <w:rsid w:val="00B04E31"/>
    <w:rsid w:val="00B04FA1"/>
    <w:rsid w:val="00B05074"/>
    <w:rsid w:val="00B0511E"/>
    <w:rsid w:val="00B05177"/>
    <w:rsid w:val="00B051E3"/>
    <w:rsid w:val="00B05278"/>
    <w:rsid w:val="00B053E1"/>
    <w:rsid w:val="00B053E5"/>
    <w:rsid w:val="00B05418"/>
    <w:rsid w:val="00B054DF"/>
    <w:rsid w:val="00B05507"/>
    <w:rsid w:val="00B05511"/>
    <w:rsid w:val="00B0553A"/>
    <w:rsid w:val="00B056CC"/>
    <w:rsid w:val="00B057CC"/>
    <w:rsid w:val="00B0581D"/>
    <w:rsid w:val="00B0583E"/>
    <w:rsid w:val="00B058B6"/>
    <w:rsid w:val="00B05A51"/>
    <w:rsid w:val="00B05A63"/>
    <w:rsid w:val="00B05B16"/>
    <w:rsid w:val="00B05CED"/>
    <w:rsid w:val="00B05D29"/>
    <w:rsid w:val="00B05E5E"/>
    <w:rsid w:val="00B05F3F"/>
    <w:rsid w:val="00B05F8A"/>
    <w:rsid w:val="00B06093"/>
    <w:rsid w:val="00B06112"/>
    <w:rsid w:val="00B06167"/>
    <w:rsid w:val="00B063BD"/>
    <w:rsid w:val="00B0658E"/>
    <w:rsid w:val="00B0659C"/>
    <w:rsid w:val="00B06611"/>
    <w:rsid w:val="00B0661D"/>
    <w:rsid w:val="00B066C2"/>
    <w:rsid w:val="00B06742"/>
    <w:rsid w:val="00B067CC"/>
    <w:rsid w:val="00B0681D"/>
    <w:rsid w:val="00B068FF"/>
    <w:rsid w:val="00B0693A"/>
    <w:rsid w:val="00B06989"/>
    <w:rsid w:val="00B06BE9"/>
    <w:rsid w:val="00B07106"/>
    <w:rsid w:val="00B0713C"/>
    <w:rsid w:val="00B071BA"/>
    <w:rsid w:val="00B071C9"/>
    <w:rsid w:val="00B0725B"/>
    <w:rsid w:val="00B07274"/>
    <w:rsid w:val="00B0738F"/>
    <w:rsid w:val="00B07630"/>
    <w:rsid w:val="00B076C4"/>
    <w:rsid w:val="00B0776C"/>
    <w:rsid w:val="00B077A6"/>
    <w:rsid w:val="00B077D2"/>
    <w:rsid w:val="00B07876"/>
    <w:rsid w:val="00B078DC"/>
    <w:rsid w:val="00B0792D"/>
    <w:rsid w:val="00B07A1B"/>
    <w:rsid w:val="00B07BCB"/>
    <w:rsid w:val="00B07E29"/>
    <w:rsid w:val="00B10084"/>
    <w:rsid w:val="00B10185"/>
    <w:rsid w:val="00B101E1"/>
    <w:rsid w:val="00B1021C"/>
    <w:rsid w:val="00B105C2"/>
    <w:rsid w:val="00B1068A"/>
    <w:rsid w:val="00B10842"/>
    <w:rsid w:val="00B10863"/>
    <w:rsid w:val="00B10A37"/>
    <w:rsid w:val="00B10A6D"/>
    <w:rsid w:val="00B10B41"/>
    <w:rsid w:val="00B10B4D"/>
    <w:rsid w:val="00B10C6E"/>
    <w:rsid w:val="00B10CE4"/>
    <w:rsid w:val="00B10D90"/>
    <w:rsid w:val="00B11073"/>
    <w:rsid w:val="00B11285"/>
    <w:rsid w:val="00B115AA"/>
    <w:rsid w:val="00B1180D"/>
    <w:rsid w:val="00B11A08"/>
    <w:rsid w:val="00B11B07"/>
    <w:rsid w:val="00B11B2D"/>
    <w:rsid w:val="00B11D20"/>
    <w:rsid w:val="00B11E04"/>
    <w:rsid w:val="00B11EAB"/>
    <w:rsid w:val="00B122A2"/>
    <w:rsid w:val="00B1257D"/>
    <w:rsid w:val="00B125D6"/>
    <w:rsid w:val="00B126B3"/>
    <w:rsid w:val="00B128BB"/>
    <w:rsid w:val="00B12E17"/>
    <w:rsid w:val="00B12E40"/>
    <w:rsid w:val="00B12E74"/>
    <w:rsid w:val="00B12FDC"/>
    <w:rsid w:val="00B133C1"/>
    <w:rsid w:val="00B133FB"/>
    <w:rsid w:val="00B134B3"/>
    <w:rsid w:val="00B13921"/>
    <w:rsid w:val="00B13A65"/>
    <w:rsid w:val="00B13B74"/>
    <w:rsid w:val="00B13BA2"/>
    <w:rsid w:val="00B13CE9"/>
    <w:rsid w:val="00B13FB0"/>
    <w:rsid w:val="00B13FDF"/>
    <w:rsid w:val="00B140A1"/>
    <w:rsid w:val="00B14165"/>
    <w:rsid w:val="00B14178"/>
    <w:rsid w:val="00B141E6"/>
    <w:rsid w:val="00B1428B"/>
    <w:rsid w:val="00B14719"/>
    <w:rsid w:val="00B1491A"/>
    <w:rsid w:val="00B14CCF"/>
    <w:rsid w:val="00B14E0B"/>
    <w:rsid w:val="00B14E22"/>
    <w:rsid w:val="00B14E56"/>
    <w:rsid w:val="00B14F46"/>
    <w:rsid w:val="00B14FE4"/>
    <w:rsid w:val="00B1511C"/>
    <w:rsid w:val="00B152A3"/>
    <w:rsid w:val="00B152F4"/>
    <w:rsid w:val="00B1530C"/>
    <w:rsid w:val="00B153B6"/>
    <w:rsid w:val="00B1542F"/>
    <w:rsid w:val="00B156BB"/>
    <w:rsid w:val="00B1587E"/>
    <w:rsid w:val="00B15A94"/>
    <w:rsid w:val="00B15DFE"/>
    <w:rsid w:val="00B15EBA"/>
    <w:rsid w:val="00B15F3C"/>
    <w:rsid w:val="00B162D6"/>
    <w:rsid w:val="00B16471"/>
    <w:rsid w:val="00B164CC"/>
    <w:rsid w:val="00B164F7"/>
    <w:rsid w:val="00B16606"/>
    <w:rsid w:val="00B166EB"/>
    <w:rsid w:val="00B16933"/>
    <w:rsid w:val="00B16992"/>
    <w:rsid w:val="00B16D1A"/>
    <w:rsid w:val="00B16E8F"/>
    <w:rsid w:val="00B16EA3"/>
    <w:rsid w:val="00B17186"/>
    <w:rsid w:val="00B172EB"/>
    <w:rsid w:val="00B17321"/>
    <w:rsid w:val="00B173BE"/>
    <w:rsid w:val="00B17462"/>
    <w:rsid w:val="00B1749B"/>
    <w:rsid w:val="00B17591"/>
    <w:rsid w:val="00B17738"/>
    <w:rsid w:val="00B1774E"/>
    <w:rsid w:val="00B17785"/>
    <w:rsid w:val="00B17809"/>
    <w:rsid w:val="00B1780B"/>
    <w:rsid w:val="00B1786B"/>
    <w:rsid w:val="00B17929"/>
    <w:rsid w:val="00B17B82"/>
    <w:rsid w:val="00B17FEA"/>
    <w:rsid w:val="00B1FB67"/>
    <w:rsid w:val="00B2004A"/>
    <w:rsid w:val="00B2006C"/>
    <w:rsid w:val="00B2016C"/>
    <w:rsid w:val="00B201C9"/>
    <w:rsid w:val="00B202C8"/>
    <w:rsid w:val="00B208FF"/>
    <w:rsid w:val="00B2097E"/>
    <w:rsid w:val="00B209A9"/>
    <w:rsid w:val="00B209CD"/>
    <w:rsid w:val="00B20A51"/>
    <w:rsid w:val="00B20A67"/>
    <w:rsid w:val="00B20B61"/>
    <w:rsid w:val="00B20C33"/>
    <w:rsid w:val="00B20DEE"/>
    <w:rsid w:val="00B20E46"/>
    <w:rsid w:val="00B20FD0"/>
    <w:rsid w:val="00B210EB"/>
    <w:rsid w:val="00B2114D"/>
    <w:rsid w:val="00B2127A"/>
    <w:rsid w:val="00B21302"/>
    <w:rsid w:val="00B21456"/>
    <w:rsid w:val="00B215E0"/>
    <w:rsid w:val="00B216D3"/>
    <w:rsid w:val="00B2172A"/>
    <w:rsid w:val="00B2175F"/>
    <w:rsid w:val="00B21867"/>
    <w:rsid w:val="00B21A22"/>
    <w:rsid w:val="00B21C7F"/>
    <w:rsid w:val="00B21D99"/>
    <w:rsid w:val="00B21E01"/>
    <w:rsid w:val="00B21E06"/>
    <w:rsid w:val="00B21E4D"/>
    <w:rsid w:val="00B21E5C"/>
    <w:rsid w:val="00B21F0E"/>
    <w:rsid w:val="00B21F45"/>
    <w:rsid w:val="00B22324"/>
    <w:rsid w:val="00B224F6"/>
    <w:rsid w:val="00B22592"/>
    <w:rsid w:val="00B227AA"/>
    <w:rsid w:val="00B22AB5"/>
    <w:rsid w:val="00B22ADE"/>
    <w:rsid w:val="00B22C04"/>
    <w:rsid w:val="00B22C6B"/>
    <w:rsid w:val="00B22CDC"/>
    <w:rsid w:val="00B22DF7"/>
    <w:rsid w:val="00B23091"/>
    <w:rsid w:val="00B2310E"/>
    <w:rsid w:val="00B232BB"/>
    <w:rsid w:val="00B23379"/>
    <w:rsid w:val="00B233F4"/>
    <w:rsid w:val="00B234F5"/>
    <w:rsid w:val="00B23662"/>
    <w:rsid w:val="00B23A7C"/>
    <w:rsid w:val="00B23AC2"/>
    <w:rsid w:val="00B23B01"/>
    <w:rsid w:val="00B23B95"/>
    <w:rsid w:val="00B23D74"/>
    <w:rsid w:val="00B23F22"/>
    <w:rsid w:val="00B23F72"/>
    <w:rsid w:val="00B23FD3"/>
    <w:rsid w:val="00B24183"/>
    <w:rsid w:val="00B241FE"/>
    <w:rsid w:val="00B244C2"/>
    <w:rsid w:val="00B24690"/>
    <w:rsid w:val="00B24717"/>
    <w:rsid w:val="00B24740"/>
    <w:rsid w:val="00B24781"/>
    <w:rsid w:val="00B24A84"/>
    <w:rsid w:val="00B24AC0"/>
    <w:rsid w:val="00B24ADD"/>
    <w:rsid w:val="00B24C33"/>
    <w:rsid w:val="00B24E41"/>
    <w:rsid w:val="00B2504B"/>
    <w:rsid w:val="00B253C3"/>
    <w:rsid w:val="00B257D8"/>
    <w:rsid w:val="00B258BD"/>
    <w:rsid w:val="00B25ABE"/>
    <w:rsid w:val="00B25D03"/>
    <w:rsid w:val="00B25D73"/>
    <w:rsid w:val="00B25E27"/>
    <w:rsid w:val="00B25F5F"/>
    <w:rsid w:val="00B25FD7"/>
    <w:rsid w:val="00B2601C"/>
    <w:rsid w:val="00B2613E"/>
    <w:rsid w:val="00B26160"/>
    <w:rsid w:val="00B261BB"/>
    <w:rsid w:val="00B261CB"/>
    <w:rsid w:val="00B26413"/>
    <w:rsid w:val="00B2695B"/>
    <w:rsid w:val="00B26B17"/>
    <w:rsid w:val="00B26C76"/>
    <w:rsid w:val="00B26CAB"/>
    <w:rsid w:val="00B26D3C"/>
    <w:rsid w:val="00B26DE0"/>
    <w:rsid w:val="00B26EC9"/>
    <w:rsid w:val="00B26ED8"/>
    <w:rsid w:val="00B26F1D"/>
    <w:rsid w:val="00B26FC5"/>
    <w:rsid w:val="00B27213"/>
    <w:rsid w:val="00B27299"/>
    <w:rsid w:val="00B273EE"/>
    <w:rsid w:val="00B273FB"/>
    <w:rsid w:val="00B274C1"/>
    <w:rsid w:val="00B27530"/>
    <w:rsid w:val="00B275F9"/>
    <w:rsid w:val="00B27842"/>
    <w:rsid w:val="00B27913"/>
    <w:rsid w:val="00B27A23"/>
    <w:rsid w:val="00B27A6D"/>
    <w:rsid w:val="00B27B89"/>
    <w:rsid w:val="00B27EA3"/>
    <w:rsid w:val="00B27F17"/>
    <w:rsid w:val="00B30020"/>
    <w:rsid w:val="00B3002D"/>
    <w:rsid w:val="00B30244"/>
    <w:rsid w:val="00B3024B"/>
    <w:rsid w:val="00B3046B"/>
    <w:rsid w:val="00B30533"/>
    <w:rsid w:val="00B30616"/>
    <w:rsid w:val="00B309AE"/>
    <w:rsid w:val="00B30A39"/>
    <w:rsid w:val="00B30ADF"/>
    <w:rsid w:val="00B30B27"/>
    <w:rsid w:val="00B30B8F"/>
    <w:rsid w:val="00B30D43"/>
    <w:rsid w:val="00B30DAE"/>
    <w:rsid w:val="00B31134"/>
    <w:rsid w:val="00B31275"/>
    <w:rsid w:val="00B31333"/>
    <w:rsid w:val="00B31471"/>
    <w:rsid w:val="00B3158B"/>
    <w:rsid w:val="00B316A6"/>
    <w:rsid w:val="00B317B4"/>
    <w:rsid w:val="00B3186C"/>
    <w:rsid w:val="00B31890"/>
    <w:rsid w:val="00B31AC2"/>
    <w:rsid w:val="00B31D1A"/>
    <w:rsid w:val="00B31E37"/>
    <w:rsid w:val="00B31F6F"/>
    <w:rsid w:val="00B32085"/>
    <w:rsid w:val="00B32312"/>
    <w:rsid w:val="00B32697"/>
    <w:rsid w:val="00B32715"/>
    <w:rsid w:val="00B32785"/>
    <w:rsid w:val="00B327B8"/>
    <w:rsid w:val="00B32A7A"/>
    <w:rsid w:val="00B32B8C"/>
    <w:rsid w:val="00B32BE7"/>
    <w:rsid w:val="00B32BF2"/>
    <w:rsid w:val="00B32CA2"/>
    <w:rsid w:val="00B32E9F"/>
    <w:rsid w:val="00B3303C"/>
    <w:rsid w:val="00B3318C"/>
    <w:rsid w:val="00B33264"/>
    <w:rsid w:val="00B332FA"/>
    <w:rsid w:val="00B3356F"/>
    <w:rsid w:val="00B335A7"/>
    <w:rsid w:val="00B33606"/>
    <w:rsid w:val="00B33983"/>
    <w:rsid w:val="00B339F6"/>
    <w:rsid w:val="00B33A55"/>
    <w:rsid w:val="00B33A66"/>
    <w:rsid w:val="00B33BBF"/>
    <w:rsid w:val="00B33C41"/>
    <w:rsid w:val="00B33D3A"/>
    <w:rsid w:val="00B33D87"/>
    <w:rsid w:val="00B33EF2"/>
    <w:rsid w:val="00B34078"/>
    <w:rsid w:val="00B34113"/>
    <w:rsid w:val="00B342D9"/>
    <w:rsid w:val="00B3430D"/>
    <w:rsid w:val="00B3438E"/>
    <w:rsid w:val="00B34416"/>
    <w:rsid w:val="00B34476"/>
    <w:rsid w:val="00B3462A"/>
    <w:rsid w:val="00B346D5"/>
    <w:rsid w:val="00B347AC"/>
    <w:rsid w:val="00B34855"/>
    <w:rsid w:val="00B348F7"/>
    <w:rsid w:val="00B34BC6"/>
    <w:rsid w:val="00B34C4D"/>
    <w:rsid w:val="00B34CF3"/>
    <w:rsid w:val="00B34FB1"/>
    <w:rsid w:val="00B35509"/>
    <w:rsid w:val="00B35515"/>
    <w:rsid w:val="00B3559D"/>
    <w:rsid w:val="00B355DE"/>
    <w:rsid w:val="00B35705"/>
    <w:rsid w:val="00B358A1"/>
    <w:rsid w:val="00B35936"/>
    <w:rsid w:val="00B35CAD"/>
    <w:rsid w:val="00B3616E"/>
    <w:rsid w:val="00B3623E"/>
    <w:rsid w:val="00B362B2"/>
    <w:rsid w:val="00B362FD"/>
    <w:rsid w:val="00B3639B"/>
    <w:rsid w:val="00B36696"/>
    <w:rsid w:val="00B367EE"/>
    <w:rsid w:val="00B36887"/>
    <w:rsid w:val="00B369F0"/>
    <w:rsid w:val="00B36A87"/>
    <w:rsid w:val="00B36AB1"/>
    <w:rsid w:val="00B36BF0"/>
    <w:rsid w:val="00B36D3B"/>
    <w:rsid w:val="00B36D83"/>
    <w:rsid w:val="00B36DDB"/>
    <w:rsid w:val="00B36FBF"/>
    <w:rsid w:val="00B3701E"/>
    <w:rsid w:val="00B370A5"/>
    <w:rsid w:val="00B3729E"/>
    <w:rsid w:val="00B372DC"/>
    <w:rsid w:val="00B378A1"/>
    <w:rsid w:val="00B378FE"/>
    <w:rsid w:val="00B379FE"/>
    <w:rsid w:val="00B37C81"/>
    <w:rsid w:val="00B37CE3"/>
    <w:rsid w:val="00B37DC3"/>
    <w:rsid w:val="00B37EA9"/>
    <w:rsid w:val="00B37F2A"/>
    <w:rsid w:val="00B400FC"/>
    <w:rsid w:val="00B40146"/>
    <w:rsid w:val="00B4028A"/>
    <w:rsid w:val="00B404B6"/>
    <w:rsid w:val="00B406A0"/>
    <w:rsid w:val="00B408CB"/>
    <w:rsid w:val="00B40A87"/>
    <w:rsid w:val="00B40B22"/>
    <w:rsid w:val="00B40B68"/>
    <w:rsid w:val="00B40C8B"/>
    <w:rsid w:val="00B40DA4"/>
    <w:rsid w:val="00B40FA4"/>
    <w:rsid w:val="00B410F1"/>
    <w:rsid w:val="00B411B6"/>
    <w:rsid w:val="00B41235"/>
    <w:rsid w:val="00B4131B"/>
    <w:rsid w:val="00B41582"/>
    <w:rsid w:val="00B41941"/>
    <w:rsid w:val="00B41DAC"/>
    <w:rsid w:val="00B41E07"/>
    <w:rsid w:val="00B42034"/>
    <w:rsid w:val="00B420C2"/>
    <w:rsid w:val="00B420CE"/>
    <w:rsid w:val="00B4215E"/>
    <w:rsid w:val="00B4225F"/>
    <w:rsid w:val="00B42450"/>
    <w:rsid w:val="00B424F1"/>
    <w:rsid w:val="00B425C3"/>
    <w:rsid w:val="00B42952"/>
    <w:rsid w:val="00B4296E"/>
    <w:rsid w:val="00B429CC"/>
    <w:rsid w:val="00B42F49"/>
    <w:rsid w:val="00B430D7"/>
    <w:rsid w:val="00B4346B"/>
    <w:rsid w:val="00B435F8"/>
    <w:rsid w:val="00B43634"/>
    <w:rsid w:val="00B4365F"/>
    <w:rsid w:val="00B43709"/>
    <w:rsid w:val="00B4370D"/>
    <w:rsid w:val="00B43710"/>
    <w:rsid w:val="00B437B7"/>
    <w:rsid w:val="00B43997"/>
    <w:rsid w:val="00B43A63"/>
    <w:rsid w:val="00B43BDE"/>
    <w:rsid w:val="00B43D0D"/>
    <w:rsid w:val="00B43D4F"/>
    <w:rsid w:val="00B43D7C"/>
    <w:rsid w:val="00B43FCA"/>
    <w:rsid w:val="00B440B0"/>
    <w:rsid w:val="00B442DD"/>
    <w:rsid w:val="00B443AB"/>
    <w:rsid w:val="00B445ED"/>
    <w:rsid w:val="00B447B7"/>
    <w:rsid w:val="00B447DC"/>
    <w:rsid w:val="00B44A84"/>
    <w:rsid w:val="00B44C06"/>
    <w:rsid w:val="00B44CEC"/>
    <w:rsid w:val="00B44EC3"/>
    <w:rsid w:val="00B4506F"/>
    <w:rsid w:val="00B457BE"/>
    <w:rsid w:val="00B4587E"/>
    <w:rsid w:val="00B458B2"/>
    <w:rsid w:val="00B458CF"/>
    <w:rsid w:val="00B45967"/>
    <w:rsid w:val="00B459DC"/>
    <w:rsid w:val="00B459FF"/>
    <w:rsid w:val="00B45A45"/>
    <w:rsid w:val="00B45B9F"/>
    <w:rsid w:val="00B45C6A"/>
    <w:rsid w:val="00B45D10"/>
    <w:rsid w:val="00B45D51"/>
    <w:rsid w:val="00B45DD8"/>
    <w:rsid w:val="00B46182"/>
    <w:rsid w:val="00B461FB"/>
    <w:rsid w:val="00B46346"/>
    <w:rsid w:val="00B463DE"/>
    <w:rsid w:val="00B4643E"/>
    <w:rsid w:val="00B4649C"/>
    <w:rsid w:val="00B465FC"/>
    <w:rsid w:val="00B46676"/>
    <w:rsid w:val="00B466B5"/>
    <w:rsid w:val="00B466E8"/>
    <w:rsid w:val="00B467E4"/>
    <w:rsid w:val="00B46AF5"/>
    <w:rsid w:val="00B46CB9"/>
    <w:rsid w:val="00B4704E"/>
    <w:rsid w:val="00B471EB"/>
    <w:rsid w:val="00B47209"/>
    <w:rsid w:val="00B47339"/>
    <w:rsid w:val="00B47494"/>
    <w:rsid w:val="00B474AE"/>
    <w:rsid w:val="00B476B4"/>
    <w:rsid w:val="00B47881"/>
    <w:rsid w:val="00B4791F"/>
    <w:rsid w:val="00B47A6A"/>
    <w:rsid w:val="00B47C48"/>
    <w:rsid w:val="00B47C67"/>
    <w:rsid w:val="00B47D8C"/>
    <w:rsid w:val="00B47F4C"/>
    <w:rsid w:val="00B5002A"/>
    <w:rsid w:val="00B500F2"/>
    <w:rsid w:val="00B50126"/>
    <w:rsid w:val="00B50249"/>
    <w:rsid w:val="00B50429"/>
    <w:rsid w:val="00B5053F"/>
    <w:rsid w:val="00B505CF"/>
    <w:rsid w:val="00B507B0"/>
    <w:rsid w:val="00B508D1"/>
    <w:rsid w:val="00B50AF1"/>
    <w:rsid w:val="00B50B7E"/>
    <w:rsid w:val="00B50E34"/>
    <w:rsid w:val="00B51368"/>
    <w:rsid w:val="00B5137A"/>
    <w:rsid w:val="00B5172E"/>
    <w:rsid w:val="00B5187F"/>
    <w:rsid w:val="00B51A28"/>
    <w:rsid w:val="00B51B76"/>
    <w:rsid w:val="00B51D75"/>
    <w:rsid w:val="00B51E96"/>
    <w:rsid w:val="00B51EFE"/>
    <w:rsid w:val="00B51F01"/>
    <w:rsid w:val="00B51FC5"/>
    <w:rsid w:val="00B523D5"/>
    <w:rsid w:val="00B526DF"/>
    <w:rsid w:val="00B52A42"/>
    <w:rsid w:val="00B52C48"/>
    <w:rsid w:val="00B52DB5"/>
    <w:rsid w:val="00B52E0D"/>
    <w:rsid w:val="00B52FA0"/>
    <w:rsid w:val="00B53064"/>
    <w:rsid w:val="00B534DF"/>
    <w:rsid w:val="00B534E9"/>
    <w:rsid w:val="00B537CB"/>
    <w:rsid w:val="00B53808"/>
    <w:rsid w:val="00B53A93"/>
    <w:rsid w:val="00B53C97"/>
    <w:rsid w:val="00B53CA8"/>
    <w:rsid w:val="00B53D93"/>
    <w:rsid w:val="00B53E8E"/>
    <w:rsid w:val="00B53F42"/>
    <w:rsid w:val="00B54173"/>
    <w:rsid w:val="00B54478"/>
    <w:rsid w:val="00B54621"/>
    <w:rsid w:val="00B54688"/>
    <w:rsid w:val="00B5489F"/>
    <w:rsid w:val="00B5492A"/>
    <w:rsid w:val="00B5498B"/>
    <w:rsid w:val="00B54A38"/>
    <w:rsid w:val="00B54A5B"/>
    <w:rsid w:val="00B54AF1"/>
    <w:rsid w:val="00B54BCB"/>
    <w:rsid w:val="00B54DA8"/>
    <w:rsid w:val="00B54F97"/>
    <w:rsid w:val="00B55136"/>
    <w:rsid w:val="00B5524C"/>
    <w:rsid w:val="00B552EE"/>
    <w:rsid w:val="00B554BA"/>
    <w:rsid w:val="00B554FA"/>
    <w:rsid w:val="00B5551E"/>
    <w:rsid w:val="00B55544"/>
    <w:rsid w:val="00B555DD"/>
    <w:rsid w:val="00B55600"/>
    <w:rsid w:val="00B5576B"/>
    <w:rsid w:val="00B55BE3"/>
    <w:rsid w:val="00B55C08"/>
    <w:rsid w:val="00B55CB6"/>
    <w:rsid w:val="00B55DA0"/>
    <w:rsid w:val="00B55EE8"/>
    <w:rsid w:val="00B55FAE"/>
    <w:rsid w:val="00B55FF9"/>
    <w:rsid w:val="00B56031"/>
    <w:rsid w:val="00B56098"/>
    <w:rsid w:val="00B56158"/>
    <w:rsid w:val="00B56246"/>
    <w:rsid w:val="00B5626C"/>
    <w:rsid w:val="00B563D4"/>
    <w:rsid w:val="00B5642D"/>
    <w:rsid w:val="00B564E9"/>
    <w:rsid w:val="00B566A7"/>
    <w:rsid w:val="00B566E3"/>
    <w:rsid w:val="00B56924"/>
    <w:rsid w:val="00B56A53"/>
    <w:rsid w:val="00B56AD6"/>
    <w:rsid w:val="00B56B31"/>
    <w:rsid w:val="00B56B47"/>
    <w:rsid w:val="00B56B9D"/>
    <w:rsid w:val="00B56C62"/>
    <w:rsid w:val="00B56CEA"/>
    <w:rsid w:val="00B56E5A"/>
    <w:rsid w:val="00B56FB7"/>
    <w:rsid w:val="00B5700D"/>
    <w:rsid w:val="00B572A2"/>
    <w:rsid w:val="00B574B2"/>
    <w:rsid w:val="00B57814"/>
    <w:rsid w:val="00B579A5"/>
    <w:rsid w:val="00B57B99"/>
    <w:rsid w:val="00B57BAB"/>
    <w:rsid w:val="00B57E50"/>
    <w:rsid w:val="00B57EE5"/>
    <w:rsid w:val="00B60027"/>
    <w:rsid w:val="00B60359"/>
    <w:rsid w:val="00B604E0"/>
    <w:rsid w:val="00B604E5"/>
    <w:rsid w:val="00B60808"/>
    <w:rsid w:val="00B60864"/>
    <w:rsid w:val="00B60965"/>
    <w:rsid w:val="00B609FC"/>
    <w:rsid w:val="00B60A71"/>
    <w:rsid w:val="00B60B26"/>
    <w:rsid w:val="00B60C2A"/>
    <w:rsid w:val="00B60CAB"/>
    <w:rsid w:val="00B60FBF"/>
    <w:rsid w:val="00B6102F"/>
    <w:rsid w:val="00B6105A"/>
    <w:rsid w:val="00B610F3"/>
    <w:rsid w:val="00B613EB"/>
    <w:rsid w:val="00B6156A"/>
    <w:rsid w:val="00B6161D"/>
    <w:rsid w:val="00B61774"/>
    <w:rsid w:val="00B6183D"/>
    <w:rsid w:val="00B61878"/>
    <w:rsid w:val="00B618F5"/>
    <w:rsid w:val="00B6198C"/>
    <w:rsid w:val="00B619D0"/>
    <w:rsid w:val="00B61BE1"/>
    <w:rsid w:val="00B61D00"/>
    <w:rsid w:val="00B61DA7"/>
    <w:rsid w:val="00B61F12"/>
    <w:rsid w:val="00B620C5"/>
    <w:rsid w:val="00B6219F"/>
    <w:rsid w:val="00B621F6"/>
    <w:rsid w:val="00B623FD"/>
    <w:rsid w:val="00B624F4"/>
    <w:rsid w:val="00B62720"/>
    <w:rsid w:val="00B6280A"/>
    <w:rsid w:val="00B6280C"/>
    <w:rsid w:val="00B6290A"/>
    <w:rsid w:val="00B629AA"/>
    <w:rsid w:val="00B62A3B"/>
    <w:rsid w:val="00B62C17"/>
    <w:rsid w:val="00B62DE3"/>
    <w:rsid w:val="00B62E74"/>
    <w:rsid w:val="00B62EC1"/>
    <w:rsid w:val="00B62EC9"/>
    <w:rsid w:val="00B63011"/>
    <w:rsid w:val="00B63015"/>
    <w:rsid w:val="00B63066"/>
    <w:rsid w:val="00B63084"/>
    <w:rsid w:val="00B630AE"/>
    <w:rsid w:val="00B6322F"/>
    <w:rsid w:val="00B63288"/>
    <w:rsid w:val="00B634C0"/>
    <w:rsid w:val="00B634D7"/>
    <w:rsid w:val="00B634E4"/>
    <w:rsid w:val="00B63694"/>
    <w:rsid w:val="00B636A3"/>
    <w:rsid w:val="00B638BC"/>
    <w:rsid w:val="00B63986"/>
    <w:rsid w:val="00B639E0"/>
    <w:rsid w:val="00B63A03"/>
    <w:rsid w:val="00B63BC3"/>
    <w:rsid w:val="00B63D68"/>
    <w:rsid w:val="00B63E7F"/>
    <w:rsid w:val="00B64121"/>
    <w:rsid w:val="00B64234"/>
    <w:rsid w:val="00B64279"/>
    <w:rsid w:val="00B64307"/>
    <w:rsid w:val="00B64332"/>
    <w:rsid w:val="00B64605"/>
    <w:rsid w:val="00B646CD"/>
    <w:rsid w:val="00B64747"/>
    <w:rsid w:val="00B64A20"/>
    <w:rsid w:val="00B64C28"/>
    <w:rsid w:val="00B64D4A"/>
    <w:rsid w:val="00B64F0D"/>
    <w:rsid w:val="00B64FE8"/>
    <w:rsid w:val="00B65013"/>
    <w:rsid w:val="00B65111"/>
    <w:rsid w:val="00B65142"/>
    <w:rsid w:val="00B651D3"/>
    <w:rsid w:val="00B65425"/>
    <w:rsid w:val="00B654CA"/>
    <w:rsid w:val="00B656CB"/>
    <w:rsid w:val="00B65924"/>
    <w:rsid w:val="00B65C0E"/>
    <w:rsid w:val="00B65D48"/>
    <w:rsid w:val="00B65D4E"/>
    <w:rsid w:val="00B65DB1"/>
    <w:rsid w:val="00B65ED0"/>
    <w:rsid w:val="00B65F32"/>
    <w:rsid w:val="00B65FB0"/>
    <w:rsid w:val="00B6602C"/>
    <w:rsid w:val="00B6609B"/>
    <w:rsid w:val="00B661CB"/>
    <w:rsid w:val="00B6620F"/>
    <w:rsid w:val="00B664C8"/>
    <w:rsid w:val="00B66589"/>
    <w:rsid w:val="00B667AC"/>
    <w:rsid w:val="00B6680D"/>
    <w:rsid w:val="00B6682D"/>
    <w:rsid w:val="00B66926"/>
    <w:rsid w:val="00B66C42"/>
    <w:rsid w:val="00B66D2A"/>
    <w:rsid w:val="00B66DBB"/>
    <w:rsid w:val="00B66E12"/>
    <w:rsid w:val="00B66F51"/>
    <w:rsid w:val="00B66FBC"/>
    <w:rsid w:val="00B67157"/>
    <w:rsid w:val="00B673F6"/>
    <w:rsid w:val="00B676CE"/>
    <w:rsid w:val="00B67702"/>
    <w:rsid w:val="00B6785D"/>
    <w:rsid w:val="00B678C3"/>
    <w:rsid w:val="00B678EE"/>
    <w:rsid w:val="00B67A41"/>
    <w:rsid w:val="00B67BAE"/>
    <w:rsid w:val="00B67BB8"/>
    <w:rsid w:val="00B67F1A"/>
    <w:rsid w:val="00B67F39"/>
    <w:rsid w:val="00B67F3E"/>
    <w:rsid w:val="00B700F3"/>
    <w:rsid w:val="00B70363"/>
    <w:rsid w:val="00B70434"/>
    <w:rsid w:val="00B70734"/>
    <w:rsid w:val="00B707C9"/>
    <w:rsid w:val="00B70803"/>
    <w:rsid w:val="00B70C20"/>
    <w:rsid w:val="00B70D87"/>
    <w:rsid w:val="00B70F28"/>
    <w:rsid w:val="00B70F6F"/>
    <w:rsid w:val="00B711A3"/>
    <w:rsid w:val="00B711BD"/>
    <w:rsid w:val="00B714B9"/>
    <w:rsid w:val="00B7154E"/>
    <w:rsid w:val="00B715B6"/>
    <w:rsid w:val="00B716A5"/>
    <w:rsid w:val="00B716C9"/>
    <w:rsid w:val="00B7183C"/>
    <w:rsid w:val="00B71B43"/>
    <w:rsid w:val="00B71BA2"/>
    <w:rsid w:val="00B71C83"/>
    <w:rsid w:val="00B71F7C"/>
    <w:rsid w:val="00B72020"/>
    <w:rsid w:val="00B721E6"/>
    <w:rsid w:val="00B72271"/>
    <w:rsid w:val="00B723F6"/>
    <w:rsid w:val="00B72549"/>
    <w:rsid w:val="00B725F6"/>
    <w:rsid w:val="00B72752"/>
    <w:rsid w:val="00B72C32"/>
    <w:rsid w:val="00B72CC9"/>
    <w:rsid w:val="00B72CDE"/>
    <w:rsid w:val="00B72CEA"/>
    <w:rsid w:val="00B72D85"/>
    <w:rsid w:val="00B72DAA"/>
    <w:rsid w:val="00B72F84"/>
    <w:rsid w:val="00B73028"/>
    <w:rsid w:val="00B734A6"/>
    <w:rsid w:val="00B73743"/>
    <w:rsid w:val="00B73755"/>
    <w:rsid w:val="00B73872"/>
    <w:rsid w:val="00B73906"/>
    <w:rsid w:val="00B73A1F"/>
    <w:rsid w:val="00B73DD8"/>
    <w:rsid w:val="00B73E91"/>
    <w:rsid w:val="00B73EAF"/>
    <w:rsid w:val="00B74056"/>
    <w:rsid w:val="00B74251"/>
    <w:rsid w:val="00B746B6"/>
    <w:rsid w:val="00B74789"/>
    <w:rsid w:val="00B74A66"/>
    <w:rsid w:val="00B74B07"/>
    <w:rsid w:val="00B74DC0"/>
    <w:rsid w:val="00B74E3F"/>
    <w:rsid w:val="00B74E45"/>
    <w:rsid w:val="00B751CB"/>
    <w:rsid w:val="00B753E9"/>
    <w:rsid w:val="00B756EE"/>
    <w:rsid w:val="00B758C7"/>
    <w:rsid w:val="00B75A30"/>
    <w:rsid w:val="00B75AB9"/>
    <w:rsid w:val="00B75B6A"/>
    <w:rsid w:val="00B75C6D"/>
    <w:rsid w:val="00B75DEA"/>
    <w:rsid w:val="00B76406"/>
    <w:rsid w:val="00B765AC"/>
    <w:rsid w:val="00B765B4"/>
    <w:rsid w:val="00B765CC"/>
    <w:rsid w:val="00B76C1F"/>
    <w:rsid w:val="00B76CBB"/>
    <w:rsid w:val="00B76E09"/>
    <w:rsid w:val="00B76E8E"/>
    <w:rsid w:val="00B76F71"/>
    <w:rsid w:val="00B7701D"/>
    <w:rsid w:val="00B7704B"/>
    <w:rsid w:val="00B77078"/>
    <w:rsid w:val="00B77352"/>
    <w:rsid w:val="00B77353"/>
    <w:rsid w:val="00B7736E"/>
    <w:rsid w:val="00B773FD"/>
    <w:rsid w:val="00B7748C"/>
    <w:rsid w:val="00B77526"/>
    <w:rsid w:val="00B779E3"/>
    <w:rsid w:val="00B77AA1"/>
    <w:rsid w:val="00B77B4B"/>
    <w:rsid w:val="00B77DD7"/>
    <w:rsid w:val="00B77F94"/>
    <w:rsid w:val="00B80236"/>
    <w:rsid w:val="00B803BF"/>
    <w:rsid w:val="00B8047B"/>
    <w:rsid w:val="00B80529"/>
    <w:rsid w:val="00B806C7"/>
    <w:rsid w:val="00B80806"/>
    <w:rsid w:val="00B8083D"/>
    <w:rsid w:val="00B8092C"/>
    <w:rsid w:val="00B80BD7"/>
    <w:rsid w:val="00B80BF4"/>
    <w:rsid w:val="00B80D46"/>
    <w:rsid w:val="00B80F38"/>
    <w:rsid w:val="00B80F6D"/>
    <w:rsid w:val="00B80FD2"/>
    <w:rsid w:val="00B80FE9"/>
    <w:rsid w:val="00B81114"/>
    <w:rsid w:val="00B811DE"/>
    <w:rsid w:val="00B812C3"/>
    <w:rsid w:val="00B81427"/>
    <w:rsid w:val="00B81579"/>
    <w:rsid w:val="00B81592"/>
    <w:rsid w:val="00B8184F"/>
    <w:rsid w:val="00B81862"/>
    <w:rsid w:val="00B81A79"/>
    <w:rsid w:val="00B81AAA"/>
    <w:rsid w:val="00B81BBC"/>
    <w:rsid w:val="00B81CAE"/>
    <w:rsid w:val="00B8200A"/>
    <w:rsid w:val="00B82035"/>
    <w:rsid w:val="00B8240A"/>
    <w:rsid w:val="00B82607"/>
    <w:rsid w:val="00B82693"/>
    <w:rsid w:val="00B8281F"/>
    <w:rsid w:val="00B8282D"/>
    <w:rsid w:val="00B8287E"/>
    <w:rsid w:val="00B82977"/>
    <w:rsid w:val="00B8299F"/>
    <w:rsid w:val="00B829E6"/>
    <w:rsid w:val="00B82AB0"/>
    <w:rsid w:val="00B82B36"/>
    <w:rsid w:val="00B83133"/>
    <w:rsid w:val="00B835EC"/>
    <w:rsid w:val="00B8373B"/>
    <w:rsid w:val="00B837F0"/>
    <w:rsid w:val="00B838BC"/>
    <w:rsid w:val="00B83936"/>
    <w:rsid w:val="00B839A2"/>
    <w:rsid w:val="00B839B8"/>
    <w:rsid w:val="00B83A01"/>
    <w:rsid w:val="00B83C2A"/>
    <w:rsid w:val="00B83CFD"/>
    <w:rsid w:val="00B83DEA"/>
    <w:rsid w:val="00B83EA0"/>
    <w:rsid w:val="00B840DA"/>
    <w:rsid w:val="00B84162"/>
    <w:rsid w:val="00B841CE"/>
    <w:rsid w:val="00B8430C"/>
    <w:rsid w:val="00B844D2"/>
    <w:rsid w:val="00B84525"/>
    <w:rsid w:val="00B84707"/>
    <w:rsid w:val="00B8471E"/>
    <w:rsid w:val="00B848C2"/>
    <w:rsid w:val="00B848C6"/>
    <w:rsid w:val="00B848E0"/>
    <w:rsid w:val="00B84909"/>
    <w:rsid w:val="00B84A44"/>
    <w:rsid w:val="00B84A6B"/>
    <w:rsid w:val="00B84AAE"/>
    <w:rsid w:val="00B84D29"/>
    <w:rsid w:val="00B84DFE"/>
    <w:rsid w:val="00B84F07"/>
    <w:rsid w:val="00B84F40"/>
    <w:rsid w:val="00B84F6C"/>
    <w:rsid w:val="00B84FA9"/>
    <w:rsid w:val="00B850AE"/>
    <w:rsid w:val="00B8518B"/>
    <w:rsid w:val="00B85271"/>
    <w:rsid w:val="00B852C3"/>
    <w:rsid w:val="00B854A6"/>
    <w:rsid w:val="00B85502"/>
    <w:rsid w:val="00B8565E"/>
    <w:rsid w:val="00B856DD"/>
    <w:rsid w:val="00B85930"/>
    <w:rsid w:val="00B8596A"/>
    <w:rsid w:val="00B85A89"/>
    <w:rsid w:val="00B85BB6"/>
    <w:rsid w:val="00B85BE4"/>
    <w:rsid w:val="00B85C23"/>
    <w:rsid w:val="00B85DC1"/>
    <w:rsid w:val="00B85DEC"/>
    <w:rsid w:val="00B85EBC"/>
    <w:rsid w:val="00B8622B"/>
    <w:rsid w:val="00B864C8"/>
    <w:rsid w:val="00B86767"/>
    <w:rsid w:val="00B868CC"/>
    <w:rsid w:val="00B86992"/>
    <w:rsid w:val="00B86A4D"/>
    <w:rsid w:val="00B86CB0"/>
    <w:rsid w:val="00B86CEE"/>
    <w:rsid w:val="00B87115"/>
    <w:rsid w:val="00B8721E"/>
    <w:rsid w:val="00B87375"/>
    <w:rsid w:val="00B8751D"/>
    <w:rsid w:val="00B87583"/>
    <w:rsid w:val="00B877B1"/>
    <w:rsid w:val="00B87998"/>
    <w:rsid w:val="00B87AD7"/>
    <w:rsid w:val="00B87B76"/>
    <w:rsid w:val="00B87CD9"/>
    <w:rsid w:val="00B87D66"/>
    <w:rsid w:val="00B900C3"/>
    <w:rsid w:val="00B90157"/>
    <w:rsid w:val="00B9025D"/>
    <w:rsid w:val="00B90351"/>
    <w:rsid w:val="00B90511"/>
    <w:rsid w:val="00B9071E"/>
    <w:rsid w:val="00B908E7"/>
    <w:rsid w:val="00B908EA"/>
    <w:rsid w:val="00B90B3C"/>
    <w:rsid w:val="00B90B6B"/>
    <w:rsid w:val="00B90BF1"/>
    <w:rsid w:val="00B90C66"/>
    <w:rsid w:val="00B90D38"/>
    <w:rsid w:val="00B90F0B"/>
    <w:rsid w:val="00B913F0"/>
    <w:rsid w:val="00B91420"/>
    <w:rsid w:val="00B9152A"/>
    <w:rsid w:val="00B915D5"/>
    <w:rsid w:val="00B91972"/>
    <w:rsid w:val="00B91A25"/>
    <w:rsid w:val="00B91C1C"/>
    <w:rsid w:val="00B91DA0"/>
    <w:rsid w:val="00B91E27"/>
    <w:rsid w:val="00B91F68"/>
    <w:rsid w:val="00B92076"/>
    <w:rsid w:val="00B927F9"/>
    <w:rsid w:val="00B92A1D"/>
    <w:rsid w:val="00B92A8C"/>
    <w:rsid w:val="00B92AE6"/>
    <w:rsid w:val="00B92C9B"/>
    <w:rsid w:val="00B92E8D"/>
    <w:rsid w:val="00B92FEB"/>
    <w:rsid w:val="00B931A0"/>
    <w:rsid w:val="00B93265"/>
    <w:rsid w:val="00B93364"/>
    <w:rsid w:val="00B936B0"/>
    <w:rsid w:val="00B938EC"/>
    <w:rsid w:val="00B93B67"/>
    <w:rsid w:val="00B93B6B"/>
    <w:rsid w:val="00B93B9D"/>
    <w:rsid w:val="00B93C28"/>
    <w:rsid w:val="00B93D90"/>
    <w:rsid w:val="00B93F71"/>
    <w:rsid w:val="00B9413F"/>
    <w:rsid w:val="00B94298"/>
    <w:rsid w:val="00B94307"/>
    <w:rsid w:val="00B944A9"/>
    <w:rsid w:val="00B94689"/>
    <w:rsid w:val="00B9469F"/>
    <w:rsid w:val="00B947B7"/>
    <w:rsid w:val="00B94858"/>
    <w:rsid w:val="00B94A5E"/>
    <w:rsid w:val="00B94AC3"/>
    <w:rsid w:val="00B94AD5"/>
    <w:rsid w:val="00B94C2F"/>
    <w:rsid w:val="00B94CC8"/>
    <w:rsid w:val="00B94D24"/>
    <w:rsid w:val="00B94E1B"/>
    <w:rsid w:val="00B950B7"/>
    <w:rsid w:val="00B95477"/>
    <w:rsid w:val="00B955C7"/>
    <w:rsid w:val="00B957C6"/>
    <w:rsid w:val="00B95C2D"/>
    <w:rsid w:val="00B95E0A"/>
    <w:rsid w:val="00B95EBF"/>
    <w:rsid w:val="00B95F9E"/>
    <w:rsid w:val="00B9648B"/>
    <w:rsid w:val="00B964D3"/>
    <w:rsid w:val="00B96623"/>
    <w:rsid w:val="00B9673F"/>
    <w:rsid w:val="00B96815"/>
    <w:rsid w:val="00B96840"/>
    <w:rsid w:val="00B96C69"/>
    <w:rsid w:val="00B96CE0"/>
    <w:rsid w:val="00B96EAE"/>
    <w:rsid w:val="00B96FA8"/>
    <w:rsid w:val="00B9729A"/>
    <w:rsid w:val="00B97678"/>
    <w:rsid w:val="00B9785D"/>
    <w:rsid w:val="00B97868"/>
    <w:rsid w:val="00B97A12"/>
    <w:rsid w:val="00B97AF7"/>
    <w:rsid w:val="00B97C4B"/>
    <w:rsid w:val="00B97E38"/>
    <w:rsid w:val="00BA0204"/>
    <w:rsid w:val="00BA0936"/>
    <w:rsid w:val="00BA0B32"/>
    <w:rsid w:val="00BA0B5C"/>
    <w:rsid w:val="00BA0EC6"/>
    <w:rsid w:val="00BA0FA4"/>
    <w:rsid w:val="00BA0FCE"/>
    <w:rsid w:val="00BA1284"/>
    <w:rsid w:val="00BA1355"/>
    <w:rsid w:val="00BA1401"/>
    <w:rsid w:val="00BA146D"/>
    <w:rsid w:val="00BA1587"/>
    <w:rsid w:val="00BA182F"/>
    <w:rsid w:val="00BA18FA"/>
    <w:rsid w:val="00BA1A87"/>
    <w:rsid w:val="00BA1AA7"/>
    <w:rsid w:val="00BA1B49"/>
    <w:rsid w:val="00BA1B69"/>
    <w:rsid w:val="00BA1D7B"/>
    <w:rsid w:val="00BA1DDF"/>
    <w:rsid w:val="00BA1DFF"/>
    <w:rsid w:val="00BA20BC"/>
    <w:rsid w:val="00BA2124"/>
    <w:rsid w:val="00BA2229"/>
    <w:rsid w:val="00BA2510"/>
    <w:rsid w:val="00BA264F"/>
    <w:rsid w:val="00BA299A"/>
    <w:rsid w:val="00BA2A71"/>
    <w:rsid w:val="00BA2B21"/>
    <w:rsid w:val="00BA2D1E"/>
    <w:rsid w:val="00BA303A"/>
    <w:rsid w:val="00BA3081"/>
    <w:rsid w:val="00BA328A"/>
    <w:rsid w:val="00BA3310"/>
    <w:rsid w:val="00BA3426"/>
    <w:rsid w:val="00BA34E7"/>
    <w:rsid w:val="00BA367C"/>
    <w:rsid w:val="00BA3746"/>
    <w:rsid w:val="00BA3763"/>
    <w:rsid w:val="00BA3777"/>
    <w:rsid w:val="00BA3962"/>
    <w:rsid w:val="00BA3AED"/>
    <w:rsid w:val="00BA3B26"/>
    <w:rsid w:val="00BA3B6B"/>
    <w:rsid w:val="00BA3C74"/>
    <w:rsid w:val="00BA3CDE"/>
    <w:rsid w:val="00BA3D8D"/>
    <w:rsid w:val="00BA3F80"/>
    <w:rsid w:val="00BA3FE5"/>
    <w:rsid w:val="00BA3FEA"/>
    <w:rsid w:val="00BA4118"/>
    <w:rsid w:val="00BA441B"/>
    <w:rsid w:val="00BA45B6"/>
    <w:rsid w:val="00BA46A6"/>
    <w:rsid w:val="00BA4780"/>
    <w:rsid w:val="00BA4829"/>
    <w:rsid w:val="00BA497A"/>
    <w:rsid w:val="00BA4A1D"/>
    <w:rsid w:val="00BA4C7B"/>
    <w:rsid w:val="00BA51A2"/>
    <w:rsid w:val="00BA51CB"/>
    <w:rsid w:val="00BA5247"/>
    <w:rsid w:val="00BA53F3"/>
    <w:rsid w:val="00BA5723"/>
    <w:rsid w:val="00BA58E8"/>
    <w:rsid w:val="00BA5997"/>
    <w:rsid w:val="00BA5A43"/>
    <w:rsid w:val="00BA5B31"/>
    <w:rsid w:val="00BA5C16"/>
    <w:rsid w:val="00BA5CB8"/>
    <w:rsid w:val="00BA5E90"/>
    <w:rsid w:val="00BA5F3A"/>
    <w:rsid w:val="00BA5FB3"/>
    <w:rsid w:val="00BA6127"/>
    <w:rsid w:val="00BA6248"/>
    <w:rsid w:val="00BA63D9"/>
    <w:rsid w:val="00BA66F5"/>
    <w:rsid w:val="00BA6705"/>
    <w:rsid w:val="00BA6876"/>
    <w:rsid w:val="00BA695C"/>
    <w:rsid w:val="00BA6B0A"/>
    <w:rsid w:val="00BA6D15"/>
    <w:rsid w:val="00BA6DD0"/>
    <w:rsid w:val="00BA6E3B"/>
    <w:rsid w:val="00BA70AB"/>
    <w:rsid w:val="00BA70BC"/>
    <w:rsid w:val="00BA726C"/>
    <w:rsid w:val="00BA728D"/>
    <w:rsid w:val="00BA72FC"/>
    <w:rsid w:val="00BA7548"/>
    <w:rsid w:val="00BA7609"/>
    <w:rsid w:val="00BA76A2"/>
    <w:rsid w:val="00BA7762"/>
    <w:rsid w:val="00BA77E7"/>
    <w:rsid w:val="00BA78BD"/>
    <w:rsid w:val="00BA7A38"/>
    <w:rsid w:val="00BA7B55"/>
    <w:rsid w:val="00BA7B8D"/>
    <w:rsid w:val="00BA7BB1"/>
    <w:rsid w:val="00BA7FC4"/>
    <w:rsid w:val="00BA7FFB"/>
    <w:rsid w:val="00BB00CA"/>
    <w:rsid w:val="00BB02D2"/>
    <w:rsid w:val="00BB046F"/>
    <w:rsid w:val="00BB0481"/>
    <w:rsid w:val="00BB04E6"/>
    <w:rsid w:val="00BB069F"/>
    <w:rsid w:val="00BB07B7"/>
    <w:rsid w:val="00BB0A3A"/>
    <w:rsid w:val="00BB0AE3"/>
    <w:rsid w:val="00BB0B2A"/>
    <w:rsid w:val="00BB0C1F"/>
    <w:rsid w:val="00BB0E15"/>
    <w:rsid w:val="00BB0E21"/>
    <w:rsid w:val="00BB0E5C"/>
    <w:rsid w:val="00BB0F6A"/>
    <w:rsid w:val="00BB0F85"/>
    <w:rsid w:val="00BB105C"/>
    <w:rsid w:val="00BB107A"/>
    <w:rsid w:val="00BB123C"/>
    <w:rsid w:val="00BB12FA"/>
    <w:rsid w:val="00BB1349"/>
    <w:rsid w:val="00BB13D2"/>
    <w:rsid w:val="00BB13F4"/>
    <w:rsid w:val="00BB13FC"/>
    <w:rsid w:val="00BB14FC"/>
    <w:rsid w:val="00BB1607"/>
    <w:rsid w:val="00BB184A"/>
    <w:rsid w:val="00BB1897"/>
    <w:rsid w:val="00BB1982"/>
    <w:rsid w:val="00BB1B7F"/>
    <w:rsid w:val="00BB1CB2"/>
    <w:rsid w:val="00BB1DA9"/>
    <w:rsid w:val="00BB1DEC"/>
    <w:rsid w:val="00BB1EED"/>
    <w:rsid w:val="00BB1EF6"/>
    <w:rsid w:val="00BB1F72"/>
    <w:rsid w:val="00BB20AF"/>
    <w:rsid w:val="00BB20E2"/>
    <w:rsid w:val="00BB2166"/>
    <w:rsid w:val="00BB21D8"/>
    <w:rsid w:val="00BB220C"/>
    <w:rsid w:val="00BB2290"/>
    <w:rsid w:val="00BB22E2"/>
    <w:rsid w:val="00BB2357"/>
    <w:rsid w:val="00BB27F4"/>
    <w:rsid w:val="00BB289B"/>
    <w:rsid w:val="00BB2909"/>
    <w:rsid w:val="00BB294E"/>
    <w:rsid w:val="00BB29CC"/>
    <w:rsid w:val="00BB29F4"/>
    <w:rsid w:val="00BB29F6"/>
    <w:rsid w:val="00BB29FA"/>
    <w:rsid w:val="00BB2A0E"/>
    <w:rsid w:val="00BB2A29"/>
    <w:rsid w:val="00BB2B8B"/>
    <w:rsid w:val="00BB2C0B"/>
    <w:rsid w:val="00BB2C31"/>
    <w:rsid w:val="00BB2C5B"/>
    <w:rsid w:val="00BB2D4C"/>
    <w:rsid w:val="00BB2D53"/>
    <w:rsid w:val="00BB2E6E"/>
    <w:rsid w:val="00BB3082"/>
    <w:rsid w:val="00BB30AF"/>
    <w:rsid w:val="00BB30EB"/>
    <w:rsid w:val="00BB3111"/>
    <w:rsid w:val="00BB31F1"/>
    <w:rsid w:val="00BB322D"/>
    <w:rsid w:val="00BB3323"/>
    <w:rsid w:val="00BB354E"/>
    <w:rsid w:val="00BB35D6"/>
    <w:rsid w:val="00BB3808"/>
    <w:rsid w:val="00BB3B9C"/>
    <w:rsid w:val="00BB3D6F"/>
    <w:rsid w:val="00BB3D81"/>
    <w:rsid w:val="00BB3F1B"/>
    <w:rsid w:val="00BB3FDD"/>
    <w:rsid w:val="00BB402B"/>
    <w:rsid w:val="00BB40CC"/>
    <w:rsid w:val="00BB410E"/>
    <w:rsid w:val="00BB411B"/>
    <w:rsid w:val="00BB416A"/>
    <w:rsid w:val="00BB42B0"/>
    <w:rsid w:val="00BB4496"/>
    <w:rsid w:val="00BB44C5"/>
    <w:rsid w:val="00BB4738"/>
    <w:rsid w:val="00BB48E9"/>
    <w:rsid w:val="00BB497D"/>
    <w:rsid w:val="00BB4A16"/>
    <w:rsid w:val="00BB4BDE"/>
    <w:rsid w:val="00BB4D2D"/>
    <w:rsid w:val="00BB4F0E"/>
    <w:rsid w:val="00BB50A8"/>
    <w:rsid w:val="00BB5330"/>
    <w:rsid w:val="00BB53AB"/>
    <w:rsid w:val="00BB5475"/>
    <w:rsid w:val="00BB5526"/>
    <w:rsid w:val="00BB5586"/>
    <w:rsid w:val="00BB55A9"/>
    <w:rsid w:val="00BB5604"/>
    <w:rsid w:val="00BB569D"/>
    <w:rsid w:val="00BB57D0"/>
    <w:rsid w:val="00BB5B0F"/>
    <w:rsid w:val="00BB5BB3"/>
    <w:rsid w:val="00BB6018"/>
    <w:rsid w:val="00BB60C8"/>
    <w:rsid w:val="00BB6129"/>
    <w:rsid w:val="00BB6137"/>
    <w:rsid w:val="00BB6270"/>
    <w:rsid w:val="00BB6330"/>
    <w:rsid w:val="00BB6461"/>
    <w:rsid w:val="00BB64C9"/>
    <w:rsid w:val="00BB661D"/>
    <w:rsid w:val="00BB6656"/>
    <w:rsid w:val="00BB6839"/>
    <w:rsid w:val="00BB6B96"/>
    <w:rsid w:val="00BB6CAC"/>
    <w:rsid w:val="00BB6D45"/>
    <w:rsid w:val="00BB6D47"/>
    <w:rsid w:val="00BB6F81"/>
    <w:rsid w:val="00BB6FB9"/>
    <w:rsid w:val="00BB70AF"/>
    <w:rsid w:val="00BB7305"/>
    <w:rsid w:val="00BB7346"/>
    <w:rsid w:val="00BB7401"/>
    <w:rsid w:val="00BB74D9"/>
    <w:rsid w:val="00BB76C5"/>
    <w:rsid w:val="00BB7750"/>
    <w:rsid w:val="00BB797E"/>
    <w:rsid w:val="00BB7A8A"/>
    <w:rsid w:val="00BB7CDA"/>
    <w:rsid w:val="00BB7DEE"/>
    <w:rsid w:val="00BB8B99"/>
    <w:rsid w:val="00BC0018"/>
    <w:rsid w:val="00BC0120"/>
    <w:rsid w:val="00BC0133"/>
    <w:rsid w:val="00BC0323"/>
    <w:rsid w:val="00BC0559"/>
    <w:rsid w:val="00BC06F4"/>
    <w:rsid w:val="00BC0974"/>
    <w:rsid w:val="00BC0AEA"/>
    <w:rsid w:val="00BC0B5C"/>
    <w:rsid w:val="00BC0CC9"/>
    <w:rsid w:val="00BC0E0B"/>
    <w:rsid w:val="00BC0F89"/>
    <w:rsid w:val="00BC1119"/>
    <w:rsid w:val="00BC118A"/>
    <w:rsid w:val="00BC120D"/>
    <w:rsid w:val="00BC15D6"/>
    <w:rsid w:val="00BC16F1"/>
    <w:rsid w:val="00BC178E"/>
    <w:rsid w:val="00BC1815"/>
    <w:rsid w:val="00BC1ECD"/>
    <w:rsid w:val="00BC1FD6"/>
    <w:rsid w:val="00BC2035"/>
    <w:rsid w:val="00BC216C"/>
    <w:rsid w:val="00BC2222"/>
    <w:rsid w:val="00BC22AE"/>
    <w:rsid w:val="00BC2445"/>
    <w:rsid w:val="00BC2953"/>
    <w:rsid w:val="00BC29B8"/>
    <w:rsid w:val="00BC29F4"/>
    <w:rsid w:val="00BC2B05"/>
    <w:rsid w:val="00BC2C28"/>
    <w:rsid w:val="00BC2C63"/>
    <w:rsid w:val="00BC2FAC"/>
    <w:rsid w:val="00BC2FE6"/>
    <w:rsid w:val="00BC3113"/>
    <w:rsid w:val="00BC316C"/>
    <w:rsid w:val="00BC3280"/>
    <w:rsid w:val="00BC3302"/>
    <w:rsid w:val="00BC3365"/>
    <w:rsid w:val="00BC33AA"/>
    <w:rsid w:val="00BC3550"/>
    <w:rsid w:val="00BC355B"/>
    <w:rsid w:val="00BC367F"/>
    <w:rsid w:val="00BC3805"/>
    <w:rsid w:val="00BC3889"/>
    <w:rsid w:val="00BC3A4C"/>
    <w:rsid w:val="00BC3B3A"/>
    <w:rsid w:val="00BC3B53"/>
    <w:rsid w:val="00BC3C9D"/>
    <w:rsid w:val="00BC3EE8"/>
    <w:rsid w:val="00BC3FE7"/>
    <w:rsid w:val="00BC404E"/>
    <w:rsid w:val="00BC4090"/>
    <w:rsid w:val="00BC40CA"/>
    <w:rsid w:val="00BC4244"/>
    <w:rsid w:val="00BC4441"/>
    <w:rsid w:val="00BC4762"/>
    <w:rsid w:val="00BC47A8"/>
    <w:rsid w:val="00BC489A"/>
    <w:rsid w:val="00BC4978"/>
    <w:rsid w:val="00BC4AD6"/>
    <w:rsid w:val="00BC4CBD"/>
    <w:rsid w:val="00BC4DA6"/>
    <w:rsid w:val="00BC4FC5"/>
    <w:rsid w:val="00BC50E9"/>
    <w:rsid w:val="00BC526B"/>
    <w:rsid w:val="00BC53BC"/>
    <w:rsid w:val="00BC53F9"/>
    <w:rsid w:val="00BC541F"/>
    <w:rsid w:val="00BC56A2"/>
    <w:rsid w:val="00BC56FE"/>
    <w:rsid w:val="00BC5720"/>
    <w:rsid w:val="00BC57E3"/>
    <w:rsid w:val="00BC594C"/>
    <w:rsid w:val="00BC594F"/>
    <w:rsid w:val="00BC5A0F"/>
    <w:rsid w:val="00BC5A2F"/>
    <w:rsid w:val="00BC5B2D"/>
    <w:rsid w:val="00BC5FF7"/>
    <w:rsid w:val="00BC60DE"/>
    <w:rsid w:val="00BC6135"/>
    <w:rsid w:val="00BC61B2"/>
    <w:rsid w:val="00BC63A3"/>
    <w:rsid w:val="00BC63AD"/>
    <w:rsid w:val="00BC66C1"/>
    <w:rsid w:val="00BC66EA"/>
    <w:rsid w:val="00BC6778"/>
    <w:rsid w:val="00BC6A30"/>
    <w:rsid w:val="00BC6BE4"/>
    <w:rsid w:val="00BC6C89"/>
    <w:rsid w:val="00BC6CF0"/>
    <w:rsid w:val="00BC6D17"/>
    <w:rsid w:val="00BC6E62"/>
    <w:rsid w:val="00BC6E67"/>
    <w:rsid w:val="00BC6FDB"/>
    <w:rsid w:val="00BC7023"/>
    <w:rsid w:val="00BC70C9"/>
    <w:rsid w:val="00BC7138"/>
    <w:rsid w:val="00BC72C1"/>
    <w:rsid w:val="00BC7309"/>
    <w:rsid w:val="00BC731D"/>
    <w:rsid w:val="00BC7337"/>
    <w:rsid w:val="00BC734A"/>
    <w:rsid w:val="00BC7705"/>
    <w:rsid w:val="00BC7719"/>
    <w:rsid w:val="00BC772D"/>
    <w:rsid w:val="00BC7A31"/>
    <w:rsid w:val="00BC7AD4"/>
    <w:rsid w:val="00BD0151"/>
    <w:rsid w:val="00BD0272"/>
    <w:rsid w:val="00BD043B"/>
    <w:rsid w:val="00BD045E"/>
    <w:rsid w:val="00BD0466"/>
    <w:rsid w:val="00BD04D7"/>
    <w:rsid w:val="00BD063D"/>
    <w:rsid w:val="00BD0695"/>
    <w:rsid w:val="00BD073F"/>
    <w:rsid w:val="00BD0999"/>
    <w:rsid w:val="00BD0A71"/>
    <w:rsid w:val="00BD0CFC"/>
    <w:rsid w:val="00BD0E60"/>
    <w:rsid w:val="00BD0F24"/>
    <w:rsid w:val="00BD0F53"/>
    <w:rsid w:val="00BD11BD"/>
    <w:rsid w:val="00BD121A"/>
    <w:rsid w:val="00BD12ED"/>
    <w:rsid w:val="00BD12F0"/>
    <w:rsid w:val="00BD152C"/>
    <w:rsid w:val="00BD15B8"/>
    <w:rsid w:val="00BD15BC"/>
    <w:rsid w:val="00BD15C2"/>
    <w:rsid w:val="00BD15E3"/>
    <w:rsid w:val="00BD1610"/>
    <w:rsid w:val="00BD161C"/>
    <w:rsid w:val="00BD1632"/>
    <w:rsid w:val="00BD1656"/>
    <w:rsid w:val="00BD17F6"/>
    <w:rsid w:val="00BD1904"/>
    <w:rsid w:val="00BD190D"/>
    <w:rsid w:val="00BD1A3F"/>
    <w:rsid w:val="00BD1B8C"/>
    <w:rsid w:val="00BD1C40"/>
    <w:rsid w:val="00BD1C63"/>
    <w:rsid w:val="00BD1EC9"/>
    <w:rsid w:val="00BD1F21"/>
    <w:rsid w:val="00BD1FEB"/>
    <w:rsid w:val="00BD203F"/>
    <w:rsid w:val="00BD2287"/>
    <w:rsid w:val="00BD247A"/>
    <w:rsid w:val="00BD26DD"/>
    <w:rsid w:val="00BD2775"/>
    <w:rsid w:val="00BD27F2"/>
    <w:rsid w:val="00BD299E"/>
    <w:rsid w:val="00BD2A17"/>
    <w:rsid w:val="00BD2A76"/>
    <w:rsid w:val="00BD2B1F"/>
    <w:rsid w:val="00BD2E83"/>
    <w:rsid w:val="00BD3069"/>
    <w:rsid w:val="00BD30C3"/>
    <w:rsid w:val="00BD30C7"/>
    <w:rsid w:val="00BD310C"/>
    <w:rsid w:val="00BD3665"/>
    <w:rsid w:val="00BD3685"/>
    <w:rsid w:val="00BD38A1"/>
    <w:rsid w:val="00BD38A9"/>
    <w:rsid w:val="00BD38B9"/>
    <w:rsid w:val="00BD3C02"/>
    <w:rsid w:val="00BD3C6A"/>
    <w:rsid w:val="00BD3E1B"/>
    <w:rsid w:val="00BD40A3"/>
    <w:rsid w:val="00BD4121"/>
    <w:rsid w:val="00BD4140"/>
    <w:rsid w:val="00BD41C4"/>
    <w:rsid w:val="00BD424A"/>
    <w:rsid w:val="00BD4413"/>
    <w:rsid w:val="00BD44A6"/>
    <w:rsid w:val="00BD469A"/>
    <w:rsid w:val="00BD483B"/>
    <w:rsid w:val="00BD4A6B"/>
    <w:rsid w:val="00BD4B56"/>
    <w:rsid w:val="00BD4BBF"/>
    <w:rsid w:val="00BD4D3F"/>
    <w:rsid w:val="00BD4D62"/>
    <w:rsid w:val="00BD4D7A"/>
    <w:rsid w:val="00BD4EB7"/>
    <w:rsid w:val="00BD5057"/>
    <w:rsid w:val="00BD5074"/>
    <w:rsid w:val="00BD50E3"/>
    <w:rsid w:val="00BD517B"/>
    <w:rsid w:val="00BD51C9"/>
    <w:rsid w:val="00BD51FF"/>
    <w:rsid w:val="00BD53D9"/>
    <w:rsid w:val="00BD59CE"/>
    <w:rsid w:val="00BD5A88"/>
    <w:rsid w:val="00BD5B65"/>
    <w:rsid w:val="00BD5F96"/>
    <w:rsid w:val="00BD5FF5"/>
    <w:rsid w:val="00BD619B"/>
    <w:rsid w:val="00BD623A"/>
    <w:rsid w:val="00BD654E"/>
    <w:rsid w:val="00BD657F"/>
    <w:rsid w:val="00BD6638"/>
    <w:rsid w:val="00BD676B"/>
    <w:rsid w:val="00BD67D6"/>
    <w:rsid w:val="00BD6A3F"/>
    <w:rsid w:val="00BD6AB2"/>
    <w:rsid w:val="00BD6D62"/>
    <w:rsid w:val="00BD6E15"/>
    <w:rsid w:val="00BD6E2F"/>
    <w:rsid w:val="00BD70A8"/>
    <w:rsid w:val="00BD70EA"/>
    <w:rsid w:val="00BD745F"/>
    <w:rsid w:val="00BD7508"/>
    <w:rsid w:val="00BD750C"/>
    <w:rsid w:val="00BD76DF"/>
    <w:rsid w:val="00BD7873"/>
    <w:rsid w:val="00BD7D8D"/>
    <w:rsid w:val="00BD7E56"/>
    <w:rsid w:val="00BE056C"/>
    <w:rsid w:val="00BE066B"/>
    <w:rsid w:val="00BE079D"/>
    <w:rsid w:val="00BE07FA"/>
    <w:rsid w:val="00BE08BC"/>
    <w:rsid w:val="00BE0904"/>
    <w:rsid w:val="00BE09A8"/>
    <w:rsid w:val="00BE0A33"/>
    <w:rsid w:val="00BE0CDB"/>
    <w:rsid w:val="00BE0E1C"/>
    <w:rsid w:val="00BE0ED1"/>
    <w:rsid w:val="00BE0F6C"/>
    <w:rsid w:val="00BE1069"/>
    <w:rsid w:val="00BE1070"/>
    <w:rsid w:val="00BE107C"/>
    <w:rsid w:val="00BE1188"/>
    <w:rsid w:val="00BE11F2"/>
    <w:rsid w:val="00BE13D9"/>
    <w:rsid w:val="00BE15E2"/>
    <w:rsid w:val="00BE1629"/>
    <w:rsid w:val="00BE163C"/>
    <w:rsid w:val="00BE16A4"/>
    <w:rsid w:val="00BE1724"/>
    <w:rsid w:val="00BE1787"/>
    <w:rsid w:val="00BE17B7"/>
    <w:rsid w:val="00BE181D"/>
    <w:rsid w:val="00BE18D8"/>
    <w:rsid w:val="00BE19A2"/>
    <w:rsid w:val="00BE1B52"/>
    <w:rsid w:val="00BE1E5B"/>
    <w:rsid w:val="00BE1EE1"/>
    <w:rsid w:val="00BE1F66"/>
    <w:rsid w:val="00BE2129"/>
    <w:rsid w:val="00BE2135"/>
    <w:rsid w:val="00BE2284"/>
    <w:rsid w:val="00BE241E"/>
    <w:rsid w:val="00BE2434"/>
    <w:rsid w:val="00BE243D"/>
    <w:rsid w:val="00BE2482"/>
    <w:rsid w:val="00BE25AA"/>
    <w:rsid w:val="00BE286F"/>
    <w:rsid w:val="00BE288E"/>
    <w:rsid w:val="00BE28BA"/>
    <w:rsid w:val="00BE2A7D"/>
    <w:rsid w:val="00BE2C4D"/>
    <w:rsid w:val="00BE2F0D"/>
    <w:rsid w:val="00BE2F3E"/>
    <w:rsid w:val="00BE3010"/>
    <w:rsid w:val="00BE36A2"/>
    <w:rsid w:val="00BE3701"/>
    <w:rsid w:val="00BE3880"/>
    <w:rsid w:val="00BE38DA"/>
    <w:rsid w:val="00BE3A98"/>
    <w:rsid w:val="00BE3A9F"/>
    <w:rsid w:val="00BE3B3F"/>
    <w:rsid w:val="00BE3B8A"/>
    <w:rsid w:val="00BE3B9C"/>
    <w:rsid w:val="00BE3CD6"/>
    <w:rsid w:val="00BE3E78"/>
    <w:rsid w:val="00BE41C3"/>
    <w:rsid w:val="00BE44F4"/>
    <w:rsid w:val="00BE45F3"/>
    <w:rsid w:val="00BE4864"/>
    <w:rsid w:val="00BE4B69"/>
    <w:rsid w:val="00BE4C0E"/>
    <w:rsid w:val="00BE4DB7"/>
    <w:rsid w:val="00BE4E64"/>
    <w:rsid w:val="00BE4F1C"/>
    <w:rsid w:val="00BE5075"/>
    <w:rsid w:val="00BE50B6"/>
    <w:rsid w:val="00BE50B8"/>
    <w:rsid w:val="00BE50F9"/>
    <w:rsid w:val="00BE52C7"/>
    <w:rsid w:val="00BE52ED"/>
    <w:rsid w:val="00BE5394"/>
    <w:rsid w:val="00BE55E6"/>
    <w:rsid w:val="00BE567F"/>
    <w:rsid w:val="00BE56A6"/>
    <w:rsid w:val="00BE577F"/>
    <w:rsid w:val="00BE59E1"/>
    <w:rsid w:val="00BE5AFB"/>
    <w:rsid w:val="00BE5C5F"/>
    <w:rsid w:val="00BE5D6B"/>
    <w:rsid w:val="00BE5DBF"/>
    <w:rsid w:val="00BE5F55"/>
    <w:rsid w:val="00BE5FF2"/>
    <w:rsid w:val="00BE5FFD"/>
    <w:rsid w:val="00BE6102"/>
    <w:rsid w:val="00BE62E0"/>
    <w:rsid w:val="00BE63C7"/>
    <w:rsid w:val="00BE6459"/>
    <w:rsid w:val="00BE6670"/>
    <w:rsid w:val="00BE6923"/>
    <w:rsid w:val="00BE6A46"/>
    <w:rsid w:val="00BE6B0F"/>
    <w:rsid w:val="00BE6BA5"/>
    <w:rsid w:val="00BE6D01"/>
    <w:rsid w:val="00BE6E0A"/>
    <w:rsid w:val="00BE6E22"/>
    <w:rsid w:val="00BE6E6A"/>
    <w:rsid w:val="00BE6EAF"/>
    <w:rsid w:val="00BE6FAE"/>
    <w:rsid w:val="00BE7060"/>
    <w:rsid w:val="00BE7175"/>
    <w:rsid w:val="00BE71AC"/>
    <w:rsid w:val="00BE7295"/>
    <w:rsid w:val="00BE7350"/>
    <w:rsid w:val="00BE7385"/>
    <w:rsid w:val="00BE75FF"/>
    <w:rsid w:val="00BE7971"/>
    <w:rsid w:val="00BE7988"/>
    <w:rsid w:val="00BE7DD7"/>
    <w:rsid w:val="00BF03F7"/>
    <w:rsid w:val="00BF0420"/>
    <w:rsid w:val="00BF0501"/>
    <w:rsid w:val="00BF0664"/>
    <w:rsid w:val="00BF08CF"/>
    <w:rsid w:val="00BF0E70"/>
    <w:rsid w:val="00BF0EEB"/>
    <w:rsid w:val="00BF1022"/>
    <w:rsid w:val="00BF109E"/>
    <w:rsid w:val="00BF1210"/>
    <w:rsid w:val="00BF146C"/>
    <w:rsid w:val="00BF1507"/>
    <w:rsid w:val="00BF15DC"/>
    <w:rsid w:val="00BF169D"/>
    <w:rsid w:val="00BF19D9"/>
    <w:rsid w:val="00BF19F8"/>
    <w:rsid w:val="00BF1CC6"/>
    <w:rsid w:val="00BF218A"/>
    <w:rsid w:val="00BF21C5"/>
    <w:rsid w:val="00BF2212"/>
    <w:rsid w:val="00BF26E1"/>
    <w:rsid w:val="00BF28D4"/>
    <w:rsid w:val="00BF29B6"/>
    <w:rsid w:val="00BF29C1"/>
    <w:rsid w:val="00BF29E7"/>
    <w:rsid w:val="00BF2A5E"/>
    <w:rsid w:val="00BF2D58"/>
    <w:rsid w:val="00BF2E89"/>
    <w:rsid w:val="00BF2FA0"/>
    <w:rsid w:val="00BF302F"/>
    <w:rsid w:val="00BF327D"/>
    <w:rsid w:val="00BF3355"/>
    <w:rsid w:val="00BF352D"/>
    <w:rsid w:val="00BF36E0"/>
    <w:rsid w:val="00BF36FB"/>
    <w:rsid w:val="00BF3817"/>
    <w:rsid w:val="00BF3822"/>
    <w:rsid w:val="00BF39FE"/>
    <w:rsid w:val="00BF3E2E"/>
    <w:rsid w:val="00BF3F44"/>
    <w:rsid w:val="00BF4349"/>
    <w:rsid w:val="00BF43B6"/>
    <w:rsid w:val="00BF4484"/>
    <w:rsid w:val="00BF4594"/>
    <w:rsid w:val="00BF45B7"/>
    <w:rsid w:val="00BF45EA"/>
    <w:rsid w:val="00BF4737"/>
    <w:rsid w:val="00BF47F0"/>
    <w:rsid w:val="00BF4861"/>
    <w:rsid w:val="00BF4875"/>
    <w:rsid w:val="00BF4921"/>
    <w:rsid w:val="00BF4B65"/>
    <w:rsid w:val="00BF4BC7"/>
    <w:rsid w:val="00BF5035"/>
    <w:rsid w:val="00BF534C"/>
    <w:rsid w:val="00BF53C5"/>
    <w:rsid w:val="00BF54BF"/>
    <w:rsid w:val="00BF55B7"/>
    <w:rsid w:val="00BF55F4"/>
    <w:rsid w:val="00BF578F"/>
    <w:rsid w:val="00BF5B71"/>
    <w:rsid w:val="00BF5CB0"/>
    <w:rsid w:val="00BF5DBA"/>
    <w:rsid w:val="00BF5DC7"/>
    <w:rsid w:val="00BF5E2C"/>
    <w:rsid w:val="00BF5E33"/>
    <w:rsid w:val="00BF5F37"/>
    <w:rsid w:val="00BF5FF0"/>
    <w:rsid w:val="00BF610A"/>
    <w:rsid w:val="00BF6208"/>
    <w:rsid w:val="00BF62FD"/>
    <w:rsid w:val="00BF6339"/>
    <w:rsid w:val="00BF655A"/>
    <w:rsid w:val="00BF6663"/>
    <w:rsid w:val="00BF66EE"/>
    <w:rsid w:val="00BF6836"/>
    <w:rsid w:val="00BF68A6"/>
    <w:rsid w:val="00BF6974"/>
    <w:rsid w:val="00BF69FD"/>
    <w:rsid w:val="00BF6A1A"/>
    <w:rsid w:val="00BF6A7F"/>
    <w:rsid w:val="00BF6BA1"/>
    <w:rsid w:val="00BF70A1"/>
    <w:rsid w:val="00BF7157"/>
    <w:rsid w:val="00BF73DD"/>
    <w:rsid w:val="00BF7463"/>
    <w:rsid w:val="00BF76B2"/>
    <w:rsid w:val="00BF76EB"/>
    <w:rsid w:val="00BF78E4"/>
    <w:rsid w:val="00BF7A94"/>
    <w:rsid w:val="00BF7DD5"/>
    <w:rsid w:val="00BF7E5C"/>
    <w:rsid w:val="00BF7E63"/>
    <w:rsid w:val="00C000E6"/>
    <w:rsid w:val="00C003C8"/>
    <w:rsid w:val="00C00570"/>
    <w:rsid w:val="00C0074A"/>
    <w:rsid w:val="00C008A6"/>
    <w:rsid w:val="00C0090F"/>
    <w:rsid w:val="00C00B5A"/>
    <w:rsid w:val="00C00CE3"/>
    <w:rsid w:val="00C00D20"/>
    <w:rsid w:val="00C00F49"/>
    <w:rsid w:val="00C010FD"/>
    <w:rsid w:val="00C0120D"/>
    <w:rsid w:val="00C014C0"/>
    <w:rsid w:val="00C0157D"/>
    <w:rsid w:val="00C01B39"/>
    <w:rsid w:val="00C01E96"/>
    <w:rsid w:val="00C01F30"/>
    <w:rsid w:val="00C02099"/>
    <w:rsid w:val="00C020C3"/>
    <w:rsid w:val="00C0211D"/>
    <w:rsid w:val="00C022E4"/>
    <w:rsid w:val="00C02334"/>
    <w:rsid w:val="00C023E2"/>
    <w:rsid w:val="00C0245F"/>
    <w:rsid w:val="00C0247A"/>
    <w:rsid w:val="00C0262F"/>
    <w:rsid w:val="00C027EE"/>
    <w:rsid w:val="00C027F8"/>
    <w:rsid w:val="00C02BE0"/>
    <w:rsid w:val="00C02F56"/>
    <w:rsid w:val="00C02FF7"/>
    <w:rsid w:val="00C03155"/>
    <w:rsid w:val="00C032B0"/>
    <w:rsid w:val="00C033F7"/>
    <w:rsid w:val="00C03609"/>
    <w:rsid w:val="00C03678"/>
    <w:rsid w:val="00C03830"/>
    <w:rsid w:val="00C038D3"/>
    <w:rsid w:val="00C03AB4"/>
    <w:rsid w:val="00C03BD1"/>
    <w:rsid w:val="00C03BF2"/>
    <w:rsid w:val="00C03C34"/>
    <w:rsid w:val="00C03C76"/>
    <w:rsid w:val="00C03C9D"/>
    <w:rsid w:val="00C03CEE"/>
    <w:rsid w:val="00C03F73"/>
    <w:rsid w:val="00C042C0"/>
    <w:rsid w:val="00C042CB"/>
    <w:rsid w:val="00C043FB"/>
    <w:rsid w:val="00C04469"/>
    <w:rsid w:val="00C04557"/>
    <w:rsid w:val="00C0463F"/>
    <w:rsid w:val="00C04678"/>
    <w:rsid w:val="00C047EC"/>
    <w:rsid w:val="00C04911"/>
    <w:rsid w:val="00C04A41"/>
    <w:rsid w:val="00C04A72"/>
    <w:rsid w:val="00C04B0E"/>
    <w:rsid w:val="00C04D57"/>
    <w:rsid w:val="00C04D86"/>
    <w:rsid w:val="00C04E38"/>
    <w:rsid w:val="00C04E60"/>
    <w:rsid w:val="00C04E9D"/>
    <w:rsid w:val="00C04F69"/>
    <w:rsid w:val="00C04FD4"/>
    <w:rsid w:val="00C05151"/>
    <w:rsid w:val="00C05192"/>
    <w:rsid w:val="00C05225"/>
    <w:rsid w:val="00C0544D"/>
    <w:rsid w:val="00C0545E"/>
    <w:rsid w:val="00C055CF"/>
    <w:rsid w:val="00C055F7"/>
    <w:rsid w:val="00C056D1"/>
    <w:rsid w:val="00C057C1"/>
    <w:rsid w:val="00C05910"/>
    <w:rsid w:val="00C059DB"/>
    <w:rsid w:val="00C05AC4"/>
    <w:rsid w:val="00C05B16"/>
    <w:rsid w:val="00C05D84"/>
    <w:rsid w:val="00C05EC1"/>
    <w:rsid w:val="00C05F16"/>
    <w:rsid w:val="00C05F3B"/>
    <w:rsid w:val="00C0604B"/>
    <w:rsid w:val="00C060CC"/>
    <w:rsid w:val="00C06409"/>
    <w:rsid w:val="00C06497"/>
    <w:rsid w:val="00C06576"/>
    <w:rsid w:val="00C06795"/>
    <w:rsid w:val="00C0681F"/>
    <w:rsid w:val="00C06988"/>
    <w:rsid w:val="00C06E28"/>
    <w:rsid w:val="00C06E39"/>
    <w:rsid w:val="00C06F07"/>
    <w:rsid w:val="00C06F4E"/>
    <w:rsid w:val="00C0713F"/>
    <w:rsid w:val="00C07147"/>
    <w:rsid w:val="00C07196"/>
    <w:rsid w:val="00C07283"/>
    <w:rsid w:val="00C073EE"/>
    <w:rsid w:val="00C07499"/>
    <w:rsid w:val="00C07562"/>
    <w:rsid w:val="00C07669"/>
    <w:rsid w:val="00C077AD"/>
    <w:rsid w:val="00C0788A"/>
    <w:rsid w:val="00C078B9"/>
    <w:rsid w:val="00C079E6"/>
    <w:rsid w:val="00C07A8A"/>
    <w:rsid w:val="00C10009"/>
    <w:rsid w:val="00C10120"/>
    <w:rsid w:val="00C101F0"/>
    <w:rsid w:val="00C1031F"/>
    <w:rsid w:val="00C1041B"/>
    <w:rsid w:val="00C1043D"/>
    <w:rsid w:val="00C104A1"/>
    <w:rsid w:val="00C1050F"/>
    <w:rsid w:val="00C10643"/>
    <w:rsid w:val="00C106F8"/>
    <w:rsid w:val="00C10882"/>
    <w:rsid w:val="00C10887"/>
    <w:rsid w:val="00C1090D"/>
    <w:rsid w:val="00C109CB"/>
    <w:rsid w:val="00C10CA4"/>
    <w:rsid w:val="00C10CE7"/>
    <w:rsid w:val="00C10D0B"/>
    <w:rsid w:val="00C10D81"/>
    <w:rsid w:val="00C10EDB"/>
    <w:rsid w:val="00C10FC7"/>
    <w:rsid w:val="00C11028"/>
    <w:rsid w:val="00C110F8"/>
    <w:rsid w:val="00C115A1"/>
    <w:rsid w:val="00C1195A"/>
    <w:rsid w:val="00C11AFE"/>
    <w:rsid w:val="00C11B57"/>
    <w:rsid w:val="00C11C35"/>
    <w:rsid w:val="00C11CE2"/>
    <w:rsid w:val="00C11D96"/>
    <w:rsid w:val="00C11F0D"/>
    <w:rsid w:val="00C11FCE"/>
    <w:rsid w:val="00C1213D"/>
    <w:rsid w:val="00C121EE"/>
    <w:rsid w:val="00C12280"/>
    <w:rsid w:val="00C1230B"/>
    <w:rsid w:val="00C12373"/>
    <w:rsid w:val="00C126A8"/>
    <w:rsid w:val="00C128F0"/>
    <w:rsid w:val="00C12A75"/>
    <w:rsid w:val="00C12AED"/>
    <w:rsid w:val="00C12C9E"/>
    <w:rsid w:val="00C12CA4"/>
    <w:rsid w:val="00C12FD0"/>
    <w:rsid w:val="00C13090"/>
    <w:rsid w:val="00C130E9"/>
    <w:rsid w:val="00C1314D"/>
    <w:rsid w:val="00C1347E"/>
    <w:rsid w:val="00C137C6"/>
    <w:rsid w:val="00C1383C"/>
    <w:rsid w:val="00C1389A"/>
    <w:rsid w:val="00C138E8"/>
    <w:rsid w:val="00C13A87"/>
    <w:rsid w:val="00C13E12"/>
    <w:rsid w:val="00C1403F"/>
    <w:rsid w:val="00C14110"/>
    <w:rsid w:val="00C14160"/>
    <w:rsid w:val="00C141AD"/>
    <w:rsid w:val="00C141B3"/>
    <w:rsid w:val="00C142AA"/>
    <w:rsid w:val="00C14422"/>
    <w:rsid w:val="00C1448F"/>
    <w:rsid w:val="00C14529"/>
    <w:rsid w:val="00C14758"/>
    <w:rsid w:val="00C14A10"/>
    <w:rsid w:val="00C14D76"/>
    <w:rsid w:val="00C14DE3"/>
    <w:rsid w:val="00C14EC0"/>
    <w:rsid w:val="00C14F96"/>
    <w:rsid w:val="00C14FB9"/>
    <w:rsid w:val="00C14FFA"/>
    <w:rsid w:val="00C150EF"/>
    <w:rsid w:val="00C15287"/>
    <w:rsid w:val="00C154A8"/>
    <w:rsid w:val="00C15963"/>
    <w:rsid w:val="00C15B3F"/>
    <w:rsid w:val="00C15BE1"/>
    <w:rsid w:val="00C15C0C"/>
    <w:rsid w:val="00C15C22"/>
    <w:rsid w:val="00C15D11"/>
    <w:rsid w:val="00C15DC3"/>
    <w:rsid w:val="00C16116"/>
    <w:rsid w:val="00C162A9"/>
    <w:rsid w:val="00C16342"/>
    <w:rsid w:val="00C163C3"/>
    <w:rsid w:val="00C16510"/>
    <w:rsid w:val="00C165BC"/>
    <w:rsid w:val="00C166A2"/>
    <w:rsid w:val="00C167CF"/>
    <w:rsid w:val="00C1689E"/>
    <w:rsid w:val="00C16913"/>
    <w:rsid w:val="00C169B8"/>
    <w:rsid w:val="00C16AFE"/>
    <w:rsid w:val="00C16D1C"/>
    <w:rsid w:val="00C16E33"/>
    <w:rsid w:val="00C16E76"/>
    <w:rsid w:val="00C17045"/>
    <w:rsid w:val="00C1717E"/>
    <w:rsid w:val="00C1734D"/>
    <w:rsid w:val="00C1746F"/>
    <w:rsid w:val="00C174B9"/>
    <w:rsid w:val="00C174C0"/>
    <w:rsid w:val="00C179EE"/>
    <w:rsid w:val="00C17C00"/>
    <w:rsid w:val="00C17D44"/>
    <w:rsid w:val="00C17EDF"/>
    <w:rsid w:val="00C17FAE"/>
    <w:rsid w:val="00C20137"/>
    <w:rsid w:val="00C202D4"/>
    <w:rsid w:val="00C2036F"/>
    <w:rsid w:val="00C20780"/>
    <w:rsid w:val="00C20794"/>
    <w:rsid w:val="00C207AE"/>
    <w:rsid w:val="00C207C2"/>
    <w:rsid w:val="00C207FA"/>
    <w:rsid w:val="00C2082A"/>
    <w:rsid w:val="00C209B7"/>
    <w:rsid w:val="00C20B0A"/>
    <w:rsid w:val="00C20C20"/>
    <w:rsid w:val="00C20E3F"/>
    <w:rsid w:val="00C20F12"/>
    <w:rsid w:val="00C20F42"/>
    <w:rsid w:val="00C21344"/>
    <w:rsid w:val="00C214D8"/>
    <w:rsid w:val="00C216DA"/>
    <w:rsid w:val="00C2172D"/>
    <w:rsid w:val="00C218D9"/>
    <w:rsid w:val="00C21A20"/>
    <w:rsid w:val="00C21A45"/>
    <w:rsid w:val="00C21A76"/>
    <w:rsid w:val="00C21B8E"/>
    <w:rsid w:val="00C21CB6"/>
    <w:rsid w:val="00C21EA1"/>
    <w:rsid w:val="00C21ED4"/>
    <w:rsid w:val="00C21EEA"/>
    <w:rsid w:val="00C222D3"/>
    <w:rsid w:val="00C22592"/>
    <w:rsid w:val="00C22599"/>
    <w:rsid w:val="00C2263B"/>
    <w:rsid w:val="00C22699"/>
    <w:rsid w:val="00C228A4"/>
    <w:rsid w:val="00C2292C"/>
    <w:rsid w:val="00C229AC"/>
    <w:rsid w:val="00C229E8"/>
    <w:rsid w:val="00C22AB4"/>
    <w:rsid w:val="00C22EDE"/>
    <w:rsid w:val="00C22FC5"/>
    <w:rsid w:val="00C23026"/>
    <w:rsid w:val="00C23079"/>
    <w:rsid w:val="00C230DA"/>
    <w:rsid w:val="00C23161"/>
    <w:rsid w:val="00C2322A"/>
    <w:rsid w:val="00C23239"/>
    <w:rsid w:val="00C2327F"/>
    <w:rsid w:val="00C23392"/>
    <w:rsid w:val="00C23510"/>
    <w:rsid w:val="00C2360E"/>
    <w:rsid w:val="00C23685"/>
    <w:rsid w:val="00C23693"/>
    <w:rsid w:val="00C2372A"/>
    <w:rsid w:val="00C2383C"/>
    <w:rsid w:val="00C23880"/>
    <w:rsid w:val="00C2388E"/>
    <w:rsid w:val="00C23AEE"/>
    <w:rsid w:val="00C23C66"/>
    <w:rsid w:val="00C23CE7"/>
    <w:rsid w:val="00C23DEA"/>
    <w:rsid w:val="00C23E7E"/>
    <w:rsid w:val="00C23EFB"/>
    <w:rsid w:val="00C23F25"/>
    <w:rsid w:val="00C24294"/>
    <w:rsid w:val="00C24352"/>
    <w:rsid w:val="00C2450A"/>
    <w:rsid w:val="00C245F4"/>
    <w:rsid w:val="00C24775"/>
    <w:rsid w:val="00C2479D"/>
    <w:rsid w:val="00C24869"/>
    <w:rsid w:val="00C249D1"/>
    <w:rsid w:val="00C24A92"/>
    <w:rsid w:val="00C24DE5"/>
    <w:rsid w:val="00C24F6B"/>
    <w:rsid w:val="00C24FC1"/>
    <w:rsid w:val="00C24FE5"/>
    <w:rsid w:val="00C25197"/>
    <w:rsid w:val="00C25198"/>
    <w:rsid w:val="00C251BD"/>
    <w:rsid w:val="00C2545C"/>
    <w:rsid w:val="00C254EA"/>
    <w:rsid w:val="00C2561D"/>
    <w:rsid w:val="00C2580F"/>
    <w:rsid w:val="00C258D1"/>
    <w:rsid w:val="00C25B83"/>
    <w:rsid w:val="00C25D1B"/>
    <w:rsid w:val="00C25DB4"/>
    <w:rsid w:val="00C25E15"/>
    <w:rsid w:val="00C25E96"/>
    <w:rsid w:val="00C25EB0"/>
    <w:rsid w:val="00C26032"/>
    <w:rsid w:val="00C260E1"/>
    <w:rsid w:val="00C26225"/>
    <w:rsid w:val="00C264AE"/>
    <w:rsid w:val="00C26668"/>
    <w:rsid w:val="00C266A4"/>
    <w:rsid w:val="00C267A7"/>
    <w:rsid w:val="00C2684B"/>
    <w:rsid w:val="00C268F5"/>
    <w:rsid w:val="00C26908"/>
    <w:rsid w:val="00C26926"/>
    <w:rsid w:val="00C26AC3"/>
    <w:rsid w:val="00C26ADD"/>
    <w:rsid w:val="00C26C54"/>
    <w:rsid w:val="00C2706C"/>
    <w:rsid w:val="00C273C3"/>
    <w:rsid w:val="00C27409"/>
    <w:rsid w:val="00C2765F"/>
    <w:rsid w:val="00C27D22"/>
    <w:rsid w:val="00C27D54"/>
    <w:rsid w:val="00C27EAC"/>
    <w:rsid w:val="00C27F7A"/>
    <w:rsid w:val="00C3000A"/>
    <w:rsid w:val="00C3018B"/>
    <w:rsid w:val="00C3025F"/>
    <w:rsid w:val="00C30273"/>
    <w:rsid w:val="00C30424"/>
    <w:rsid w:val="00C304AB"/>
    <w:rsid w:val="00C30531"/>
    <w:rsid w:val="00C30591"/>
    <w:rsid w:val="00C305B7"/>
    <w:rsid w:val="00C306E4"/>
    <w:rsid w:val="00C3076F"/>
    <w:rsid w:val="00C30953"/>
    <w:rsid w:val="00C30B40"/>
    <w:rsid w:val="00C30CF5"/>
    <w:rsid w:val="00C30E19"/>
    <w:rsid w:val="00C31130"/>
    <w:rsid w:val="00C31472"/>
    <w:rsid w:val="00C31530"/>
    <w:rsid w:val="00C317F4"/>
    <w:rsid w:val="00C31825"/>
    <w:rsid w:val="00C31C28"/>
    <w:rsid w:val="00C31D13"/>
    <w:rsid w:val="00C3204F"/>
    <w:rsid w:val="00C320CB"/>
    <w:rsid w:val="00C32104"/>
    <w:rsid w:val="00C32139"/>
    <w:rsid w:val="00C3228B"/>
    <w:rsid w:val="00C32308"/>
    <w:rsid w:val="00C32333"/>
    <w:rsid w:val="00C323E7"/>
    <w:rsid w:val="00C3241B"/>
    <w:rsid w:val="00C325EA"/>
    <w:rsid w:val="00C326BE"/>
    <w:rsid w:val="00C3273B"/>
    <w:rsid w:val="00C3288D"/>
    <w:rsid w:val="00C328FB"/>
    <w:rsid w:val="00C32A06"/>
    <w:rsid w:val="00C32A36"/>
    <w:rsid w:val="00C32ABD"/>
    <w:rsid w:val="00C3305E"/>
    <w:rsid w:val="00C330BD"/>
    <w:rsid w:val="00C3316F"/>
    <w:rsid w:val="00C3318E"/>
    <w:rsid w:val="00C3338C"/>
    <w:rsid w:val="00C333F1"/>
    <w:rsid w:val="00C33620"/>
    <w:rsid w:val="00C3374D"/>
    <w:rsid w:val="00C3376E"/>
    <w:rsid w:val="00C33817"/>
    <w:rsid w:val="00C33819"/>
    <w:rsid w:val="00C3395A"/>
    <w:rsid w:val="00C33A65"/>
    <w:rsid w:val="00C33EA5"/>
    <w:rsid w:val="00C34205"/>
    <w:rsid w:val="00C344A8"/>
    <w:rsid w:val="00C344E8"/>
    <w:rsid w:val="00C3454C"/>
    <w:rsid w:val="00C347DA"/>
    <w:rsid w:val="00C34A01"/>
    <w:rsid w:val="00C34A20"/>
    <w:rsid w:val="00C34A91"/>
    <w:rsid w:val="00C34B20"/>
    <w:rsid w:val="00C34B3C"/>
    <w:rsid w:val="00C34D4D"/>
    <w:rsid w:val="00C34E9A"/>
    <w:rsid w:val="00C34F0D"/>
    <w:rsid w:val="00C3502E"/>
    <w:rsid w:val="00C35327"/>
    <w:rsid w:val="00C35349"/>
    <w:rsid w:val="00C353CF"/>
    <w:rsid w:val="00C354F0"/>
    <w:rsid w:val="00C35540"/>
    <w:rsid w:val="00C3565E"/>
    <w:rsid w:val="00C35855"/>
    <w:rsid w:val="00C35B8E"/>
    <w:rsid w:val="00C360BF"/>
    <w:rsid w:val="00C361E1"/>
    <w:rsid w:val="00C36644"/>
    <w:rsid w:val="00C36746"/>
    <w:rsid w:val="00C368C9"/>
    <w:rsid w:val="00C36951"/>
    <w:rsid w:val="00C36BD7"/>
    <w:rsid w:val="00C36C5C"/>
    <w:rsid w:val="00C36DE9"/>
    <w:rsid w:val="00C36EE6"/>
    <w:rsid w:val="00C36F6B"/>
    <w:rsid w:val="00C36FAA"/>
    <w:rsid w:val="00C370CA"/>
    <w:rsid w:val="00C37302"/>
    <w:rsid w:val="00C3739A"/>
    <w:rsid w:val="00C37592"/>
    <w:rsid w:val="00C37643"/>
    <w:rsid w:val="00C3773A"/>
    <w:rsid w:val="00C377FA"/>
    <w:rsid w:val="00C37831"/>
    <w:rsid w:val="00C3793A"/>
    <w:rsid w:val="00C3797F"/>
    <w:rsid w:val="00C379AE"/>
    <w:rsid w:val="00C37AD3"/>
    <w:rsid w:val="00C37B5F"/>
    <w:rsid w:val="00C37C44"/>
    <w:rsid w:val="00C37D48"/>
    <w:rsid w:val="00C37E74"/>
    <w:rsid w:val="00C37ECD"/>
    <w:rsid w:val="00C37F35"/>
    <w:rsid w:val="00C37FEF"/>
    <w:rsid w:val="00C40015"/>
    <w:rsid w:val="00C4040E"/>
    <w:rsid w:val="00C40412"/>
    <w:rsid w:val="00C4047B"/>
    <w:rsid w:val="00C4052E"/>
    <w:rsid w:val="00C405F1"/>
    <w:rsid w:val="00C40658"/>
    <w:rsid w:val="00C4077F"/>
    <w:rsid w:val="00C40869"/>
    <w:rsid w:val="00C408DC"/>
    <w:rsid w:val="00C408DE"/>
    <w:rsid w:val="00C40AD2"/>
    <w:rsid w:val="00C40B22"/>
    <w:rsid w:val="00C40CFD"/>
    <w:rsid w:val="00C40F09"/>
    <w:rsid w:val="00C41331"/>
    <w:rsid w:val="00C413D0"/>
    <w:rsid w:val="00C4157F"/>
    <w:rsid w:val="00C415D5"/>
    <w:rsid w:val="00C41640"/>
    <w:rsid w:val="00C416FB"/>
    <w:rsid w:val="00C417DF"/>
    <w:rsid w:val="00C41806"/>
    <w:rsid w:val="00C41859"/>
    <w:rsid w:val="00C4186B"/>
    <w:rsid w:val="00C418E3"/>
    <w:rsid w:val="00C418F7"/>
    <w:rsid w:val="00C41935"/>
    <w:rsid w:val="00C41A46"/>
    <w:rsid w:val="00C41A74"/>
    <w:rsid w:val="00C41DE1"/>
    <w:rsid w:val="00C41F0D"/>
    <w:rsid w:val="00C42112"/>
    <w:rsid w:val="00C42302"/>
    <w:rsid w:val="00C4239B"/>
    <w:rsid w:val="00C423F3"/>
    <w:rsid w:val="00C42455"/>
    <w:rsid w:val="00C4259E"/>
    <w:rsid w:val="00C4277C"/>
    <w:rsid w:val="00C4279F"/>
    <w:rsid w:val="00C42897"/>
    <w:rsid w:val="00C428B4"/>
    <w:rsid w:val="00C42AD3"/>
    <w:rsid w:val="00C42F80"/>
    <w:rsid w:val="00C42F9C"/>
    <w:rsid w:val="00C4309F"/>
    <w:rsid w:val="00C430DB"/>
    <w:rsid w:val="00C4330F"/>
    <w:rsid w:val="00C43347"/>
    <w:rsid w:val="00C4338D"/>
    <w:rsid w:val="00C43A2E"/>
    <w:rsid w:val="00C43B0A"/>
    <w:rsid w:val="00C43D6C"/>
    <w:rsid w:val="00C43E24"/>
    <w:rsid w:val="00C43E51"/>
    <w:rsid w:val="00C4404A"/>
    <w:rsid w:val="00C4424C"/>
    <w:rsid w:val="00C44425"/>
    <w:rsid w:val="00C44531"/>
    <w:rsid w:val="00C4459B"/>
    <w:rsid w:val="00C44845"/>
    <w:rsid w:val="00C44928"/>
    <w:rsid w:val="00C44B83"/>
    <w:rsid w:val="00C44D87"/>
    <w:rsid w:val="00C450A2"/>
    <w:rsid w:val="00C450E5"/>
    <w:rsid w:val="00C45191"/>
    <w:rsid w:val="00C45470"/>
    <w:rsid w:val="00C454A7"/>
    <w:rsid w:val="00C45710"/>
    <w:rsid w:val="00C4571A"/>
    <w:rsid w:val="00C45A30"/>
    <w:rsid w:val="00C45AB5"/>
    <w:rsid w:val="00C45AFC"/>
    <w:rsid w:val="00C45CE7"/>
    <w:rsid w:val="00C45D38"/>
    <w:rsid w:val="00C45DAD"/>
    <w:rsid w:val="00C45DD0"/>
    <w:rsid w:val="00C45E6E"/>
    <w:rsid w:val="00C45FEF"/>
    <w:rsid w:val="00C460B5"/>
    <w:rsid w:val="00C46603"/>
    <w:rsid w:val="00C466AF"/>
    <w:rsid w:val="00C467F1"/>
    <w:rsid w:val="00C46876"/>
    <w:rsid w:val="00C468B5"/>
    <w:rsid w:val="00C46BEC"/>
    <w:rsid w:val="00C46CAF"/>
    <w:rsid w:val="00C46CD0"/>
    <w:rsid w:val="00C46DC3"/>
    <w:rsid w:val="00C46FE6"/>
    <w:rsid w:val="00C4700D"/>
    <w:rsid w:val="00C470F9"/>
    <w:rsid w:val="00C47142"/>
    <w:rsid w:val="00C471C2"/>
    <w:rsid w:val="00C47291"/>
    <w:rsid w:val="00C473B5"/>
    <w:rsid w:val="00C473D5"/>
    <w:rsid w:val="00C47644"/>
    <w:rsid w:val="00C47741"/>
    <w:rsid w:val="00C477CA"/>
    <w:rsid w:val="00C478A8"/>
    <w:rsid w:val="00C47931"/>
    <w:rsid w:val="00C47A76"/>
    <w:rsid w:val="00C47A7E"/>
    <w:rsid w:val="00C47AAC"/>
    <w:rsid w:val="00C47C95"/>
    <w:rsid w:val="00C47CA1"/>
    <w:rsid w:val="00C47D2B"/>
    <w:rsid w:val="00C50091"/>
    <w:rsid w:val="00C501A6"/>
    <w:rsid w:val="00C501D9"/>
    <w:rsid w:val="00C5032E"/>
    <w:rsid w:val="00C503F7"/>
    <w:rsid w:val="00C506DB"/>
    <w:rsid w:val="00C509A8"/>
    <w:rsid w:val="00C50A46"/>
    <w:rsid w:val="00C50C4C"/>
    <w:rsid w:val="00C50CDC"/>
    <w:rsid w:val="00C50D4B"/>
    <w:rsid w:val="00C50DAE"/>
    <w:rsid w:val="00C50DB8"/>
    <w:rsid w:val="00C50DFC"/>
    <w:rsid w:val="00C513B8"/>
    <w:rsid w:val="00C517A8"/>
    <w:rsid w:val="00C51815"/>
    <w:rsid w:val="00C51950"/>
    <w:rsid w:val="00C519F5"/>
    <w:rsid w:val="00C51AC7"/>
    <w:rsid w:val="00C51B03"/>
    <w:rsid w:val="00C51B64"/>
    <w:rsid w:val="00C51CAB"/>
    <w:rsid w:val="00C51CB0"/>
    <w:rsid w:val="00C51CEC"/>
    <w:rsid w:val="00C51CFF"/>
    <w:rsid w:val="00C51E07"/>
    <w:rsid w:val="00C51E45"/>
    <w:rsid w:val="00C51F21"/>
    <w:rsid w:val="00C5202A"/>
    <w:rsid w:val="00C520CD"/>
    <w:rsid w:val="00C52106"/>
    <w:rsid w:val="00C523B2"/>
    <w:rsid w:val="00C5240B"/>
    <w:rsid w:val="00C52581"/>
    <w:rsid w:val="00C526BB"/>
    <w:rsid w:val="00C526DC"/>
    <w:rsid w:val="00C526F6"/>
    <w:rsid w:val="00C527E6"/>
    <w:rsid w:val="00C52A0C"/>
    <w:rsid w:val="00C52A16"/>
    <w:rsid w:val="00C52A70"/>
    <w:rsid w:val="00C52A80"/>
    <w:rsid w:val="00C52B75"/>
    <w:rsid w:val="00C52DD4"/>
    <w:rsid w:val="00C52EAF"/>
    <w:rsid w:val="00C530AC"/>
    <w:rsid w:val="00C53156"/>
    <w:rsid w:val="00C53482"/>
    <w:rsid w:val="00C53C82"/>
    <w:rsid w:val="00C53D99"/>
    <w:rsid w:val="00C53DEF"/>
    <w:rsid w:val="00C53DFB"/>
    <w:rsid w:val="00C54139"/>
    <w:rsid w:val="00C5416E"/>
    <w:rsid w:val="00C5454C"/>
    <w:rsid w:val="00C54705"/>
    <w:rsid w:val="00C548EA"/>
    <w:rsid w:val="00C54A92"/>
    <w:rsid w:val="00C54AF6"/>
    <w:rsid w:val="00C54AFD"/>
    <w:rsid w:val="00C54C72"/>
    <w:rsid w:val="00C54C95"/>
    <w:rsid w:val="00C5506D"/>
    <w:rsid w:val="00C550ED"/>
    <w:rsid w:val="00C55358"/>
    <w:rsid w:val="00C555F6"/>
    <w:rsid w:val="00C55690"/>
    <w:rsid w:val="00C557A5"/>
    <w:rsid w:val="00C558B9"/>
    <w:rsid w:val="00C5593E"/>
    <w:rsid w:val="00C559D9"/>
    <w:rsid w:val="00C55AA0"/>
    <w:rsid w:val="00C55AAF"/>
    <w:rsid w:val="00C55CA8"/>
    <w:rsid w:val="00C55DAC"/>
    <w:rsid w:val="00C55F7E"/>
    <w:rsid w:val="00C5608E"/>
    <w:rsid w:val="00C561DD"/>
    <w:rsid w:val="00C56301"/>
    <w:rsid w:val="00C56851"/>
    <w:rsid w:val="00C5690D"/>
    <w:rsid w:val="00C56CDA"/>
    <w:rsid w:val="00C56D52"/>
    <w:rsid w:val="00C56DA8"/>
    <w:rsid w:val="00C56E66"/>
    <w:rsid w:val="00C56ED2"/>
    <w:rsid w:val="00C56F4F"/>
    <w:rsid w:val="00C56FAB"/>
    <w:rsid w:val="00C57052"/>
    <w:rsid w:val="00C5709E"/>
    <w:rsid w:val="00C570C8"/>
    <w:rsid w:val="00C57239"/>
    <w:rsid w:val="00C5730D"/>
    <w:rsid w:val="00C57744"/>
    <w:rsid w:val="00C577F5"/>
    <w:rsid w:val="00C57833"/>
    <w:rsid w:val="00C5791A"/>
    <w:rsid w:val="00C5797B"/>
    <w:rsid w:val="00C57D57"/>
    <w:rsid w:val="00C57E5F"/>
    <w:rsid w:val="00C57F8C"/>
    <w:rsid w:val="00C57F9A"/>
    <w:rsid w:val="00C57FB7"/>
    <w:rsid w:val="00C600E4"/>
    <w:rsid w:val="00C60349"/>
    <w:rsid w:val="00C60393"/>
    <w:rsid w:val="00C60557"/>
    <w:rsid w:val="00C605F0"/>
    <w:rsid w:val="00C607CD"/>
    <w:rsid w:val="00C609BD"/>
    <w:rsid w:val="00C60A37"/>
    <w:rsid w:val="00C60AFF"/>
    <w:rsid w:val="00C60B4A"/>
    <w:rsid w:val="00C60C6C"/>
    <w:rsid w:val="00C60D5C"/>
    <w:rsid w:val="00C6130F"/>
    <w:rsid w:val="00C613B4"/>
    <w:rsid w:val="00C613D4"/>
    <w:rsid w:val="00C614F5"/>
    <w:rsid w:val="00C61719"/>
    <w:rsid w:val="00C61723"/>
    <w:rsid w:val="00C6173A"/>
    <w:rsid w:val="00C61959"/>
    <w:rsid w:val="00C61A40"/>
    <w:rsid w:val="00C61A9C"/>
    <w:rsid w:val="00C61CD0"/>
    <w:rsid w:val="00C61E8F"/>
    <w:rsid w:val="00C62009"/>
    <w:rsid w:val="00C6200F"/>
    <w:rsid w:val="00C6204D"/>
    <w:rsid w:val="00C6209B"/>
    <w:rsid w:val="00C62186"/>
    <w:rsid w:val="00C6230D"/>
    <w:rsid w:val="00C62463"/>
    <w:rsid w:val="00C627E0"/>
    <w:rsid w:val="00C629D1"/>
    <w:rsid w:val="00C62ABD"/>
    <w:rsid w:val="00C62E47"/>
    <w:rsid w:val="00C62F78"/>
    <w:rsid w:val="00C62FF3"/>
    <w:rsid w:val="00C6314D"/>
    <w:rsid w:val="00C631C0"/>
    <w:rsid w:val="00C63240"/>
    <w:rsid w:val="00C63333"/>
    <w:rsid w:val="00C63386"/>
    <w:rsid w:val="00C639B7"/>
    <w:rsid w:val="00C63A30"/>
    <w:rsid w:val="00C63B04"/>
    <w:rsid w:val="00C63D38"/>
    <w:rsid w:val="00C63D4E"/>
    <w:rsid w:val="00C64141"/>
    <w:rsid w:val="00C641D9"/>
    <w:rsid w:val="00C64266"/>
    <w:rsid w:val="00C6436C"/>
    <w:rsid w:val="00C643DB"/>
    <w:rsid w:val="00C645BE"/>
    <w:rsid w:val="00C64851"/>
    <w:rsid w:val="00C6495C"/>
    <w:rsid w:val="00C649E7"/>
    <w:rsid w:val="00C649EB"/>
    <w:rsid w:val="00C64A8F"/>
    <w:rsid w:val="00C64ADE"/>
    <w:rsid w:val="00C64C4A"/>
    <w:rsid w:val="00C64D30"/>
    <w:rsid w:val="00C64DC9"/>
    <w:rsid w:val="00C64DEA"/>
    <w:rsid w:val="00C6501E"/>
    <w:rsid w:val="00C6516E"/>
    <w:rsid w:val="00C6531F"/>
    <w:rsid w:val="00C6551E"/>
    <w:rsid w:val="00C6554B"/>
    <w:rsid w:val="00C6558F"/>
    <w:rsid w:val="00C655D8"/>
    <w:rsid w:val="00C6564E"/>
    <w:rsid w:val="00C658D1"/>
    <w:rsid w:val="00C6590F"/>
    <w:rsid w:val="00C65B90"/>
    <w:rsid w:val="00C65CBF"/>
    <w:rsid w:val="00C65D3F"/>
    <w:rsid w:val="00C65E50"/>
    <w:rsid w:val="00C65E65"/>
    <w:rsid w:val="00C65F86"/>
    <w:rsid w:val="00C66020"/>
    <w:rsid w:val="00C66313"/>
    <w:rsid w:val="00C664AB"/>
    <w:rsid w:val="00C66759"/>
    <w:rsid w:val="00C667F0"/>
    <w:rsid w:val="00C66827"/>
    <w:rsid w:val="00C66B8E"/>
    <w:rsid w:val="00C66EC2"/>
    <w:rsid w:val="00C67105"/>
    <w:rsid w:val="00C671D1"/>
    <w:rsid w:val="00C671D7"/>
    <w:rsid w:val="00C67390"/>
    <w:rsid w:val="00C673D6"/>
    <w:rsid w:val="00C67930"/>
    <w:rsid w:val="00C67966"/>
    <w:rsid w:val="00C67BFE"/>
    <w:rsid w:val="00C67C5B"/>
    <w:rsid w:val="00C67D5E"/>
    <w:rsid w:val="00C67DDD"/>
    <w:rsid w:val="00C67DE1"/>
    <w:rsid w:val="00C67DFE"/>
    <w:rsid w:val="00C7073F"/>
    <w:rsid w:val="00C708C8"/>
    <w:rsid w:val="00C70936"/>
    <w:rsid w:val="00C70A86"/>
    <w:rsid w:val="00C70B03"/>
    <w:rsid w:val="00C70DA4"/>
    <w:rsid w:val="00C71126"/>
    <w:rsid w:val="00C711DD"/>
    <w:rsid w:val="00C71660"/>
    <w:rsid w:val="00C7187D"/>
    <w:rsid w:val="00C7194C"/>
    <w:rsid w:val="00C7199F"/>
    <w:rsid w:val="00C71FC5"/>
    <w:rsid w:val="00C71FDD"/>
    <w:rsid w:val="00C71FE6"/>
    <w:rsid w:val="00C7209D"/>
    <w:rsid w:val="00C7224C"/>
    <w:rsid w:val="00C7252A"/>
    <w:rsid w:val="00C72571"/>
    <w:rsid w:val="00C72702"/>
    <w:rsid w:val="00C7270B"/>
    <w:rsid w:val="00C728F4"/>
    <w:rsid w:val="00C72C52"/>
    <w:rsid w:val="00C72EE5"/>
    <w:rsid w:val="00C72FBB"/>
    <w:rsid w:val="00C730DE"/>
    <w:rsid w:val="00C73762"/>
    <w:rsid w:val="00C73A0E"/>
    <w:rsid w:val="00C73A46"/>
    <w:rsid w:val="00C73BEF"/>
    <w:rsid w:val="00C73C84"/>
    <w:rsid w:val="00C73E58"/>
    <w:rsid w:val="00C73FDF"/>
    <w:rsid w:val="00C7409C"/>
    <w:rsid w:val="00C74160"/>
    <w:rsid w:val="00C741E0"/>
    <w:rsid w:val="00C74368"/>
    <w:rsid w:val="00C7448A"/>
    <w:rsid w:val="00C74572"/>
    <w:rsid w:val="00C74617"/>
    <w:rsid w:val="00C749DD"/>
    <w:rsid w:val="00C74B3E"/>
    <w:rsid w:val="00C74D84"/>
    <w:rsid w:val="00C74E5A"/>
    <w:rsid w:val="00C74E99"/>
    <w:rsid w:val="00C74FCD"/>
    <w:rsid w:val="00C7507B"/>
    <w:rsid w:val="00C751F5"/>
    <w:rsid w:val="00C754CC"/>
    <w:rsid w:val="00C7556B"/>
    <w:rsid w:val="00C7570E"/>
    <w:rsid w:val="00C7571A"/>
    <w:rsid w:val="00C7571D"/>
    <w:rsid w:val="00C757F9"/>
    <w:rsid w:val="00C75A47"/>
    <w:rsid w:val="00C75A4A"/>
    <w:rsid w:val="00C75EA6"/>
    <w:rsid w:val="00C75F4B"/>
    <w:rsid w:val="00C76101"/>
    <w:rsid w:val="00C762FB"/>
    <w:rsid w:val="00C764BD"/>
    <w:rsid w:val="00C76522"/>
    <w:rsid w:val="00C7682F"/>
    <w:rsid w:val="00C76E22"/>
    <w:rsid w:val="00C76FC5"/>
    <w:rsid w:val="00C77015"/>
    <w:rsid w:val="00C77078"/>
    <w:rsid w:val="00C77155"/>
    <w:rsid w:val="00C7722E"/>
    <w:rsid w:val="00C77262"/>
    <w:rsid w:val="00C77553"/>
    <w:rsid w:val="00C777B2"/>
    <w:rsid w:val="00C77919"/>
    <w:rsid w:val="00C77CFC"/>
    <w:rsid w:val="00C8034A"/>
    <w:rsid w:val="00C803BA"/>
    <w:rsid w:val="00C80419"/>
    <w:rsid w:val="00C80871"/>
    <w:rsid w:val="00C80B21"/>
    <w:rsid w:val="00C80B55"/>
    <w:rsid w:val="00C80C90"/>
    <w:rsid w:val="00C80DD3"/>
    <w:rsid w:val="00C80F8C"/>
    <w:rsid w:val="00C81099"/>
    <w:rsid w:val="00C813B7"/>
    <w:rsid w:val="00C81615"/>
    <w:rsid w:val="00C81672"/>
    <w:rsid w:val="00C817DF"/>
    <w:rsid w:val="00C81821"/>
    <w:rsid w:val="00C818D1"/>
    <w:rsid w:val="00C81947"/>
    <w:rsid w:val="00C819C6"/>
    <w:rsid w:val="00C81C22"/>
    <w:rsid w:val="00C81D21"/>
    <w:rsid w:val="00C81D7F"/>
    <w:rsid w:val="00C81D8D"/>
    <w:rsid w:val="00C81FA1"/>
    <w:rsid w:val="00C82027"/>
    <w:rsid w:val="00C820AE"/>
    <w:rsid w:val="00C82582"/>
    <w:rsid w:val="00C8260C"/>
    <w:rsid w:val="00C82635"/>
    <w:rsid w:val="00C82A19"/>
    <w:rsid w:val="00C82A55"/>
    <w:rsid w:val="00C82BBC"/>
    <w:rsid w:val="00C82C46"/>
    <w:rsid w:val="00C82C7F"/>
    <w:rsid w:val="00C82CF4"/>
    <w:rsid w:val="00C82F23"/>
    <w:rsid w:val="00C82FDB"/>
    <w:rsid w:val="00C83064"/>
    <w:rsid w:val="00C8315E"/>
    <w:rsid w:val="00C832CA"/>
    <w:rsid w:val="00C83324"/>
    <w:rsid w:val="00C83598"/>
    <w:rsid w:val="00C83665"/>
    <w:rsid w:val="00C839C1"/>
    <w:rsid w:val="00C840BC"/>
    <w:rsid w:val="00C84184"/>
    <w:rsid w:val="00C841E3"/>
    <w:rsid w:val="00C842C7"/>
    <w:rsid w:val="00C843A6"/>
    <w:rsid w:val="00C844B3"/>
    <w:rsid w:val="00C84712"/>
    <w:rsid w:val="00C8486E"/>
    <w:rsid w:val="00C84953"/>
    <w:rsid w:val="00C84A42"/>
    <w:rsid w:val="00C84A6B"/>
    <w:rsid w:val="00C84AE0"/>
    <w:rsid w:val="00C84C1B"/>
    <w:rsid w:val="00C84D3C"/>
    <w:rsid w:val="00C84E98"/>
    <w:rsid w:val="00C85021"/>
    <w:rsid w:val="00C85039"/>
    <w:rsid w:val="00C8507D"/>
    <w:rsid w:val="00C850D0"/>
    <w:rsid w:val="00C85152"/>
    <w:rsid w:val="00C85347"/>
    <w:rsid w:val="00C853ED"/>
    <w:rsid w:val="00C855CD"/>
    <w:rsid w:val="00C85876"/>
    <w:rsid w:val="00C85936"/>
    <w:rsid w:val="00C85A1D"/>
    <w:rsid w:val="00C85A22"/>
    <w:rsid w:val="00C85AAD"/>
    <w:rsid w:val="00C85B1C"/>
    <w:rsid w:val="00C85B33"/>
    <w:rsid w:val="00C85BBC"/>
    <w:rsid w:val="00C85CC5"/>
    <w:rsid w:val="00C85D27"/>
    <w:rsid w:val="00C85E5E"/>
    <w:rsid w:val="00C85E93"/>
    <w:rsid w:val="00C85F75"/>
    <w:rsid w:val="00C86073"/>
    <w:rsid w:val="00C8625F"/>
    <w:rsid w:val="00C86286"/>
    <w:rsid w:val="00C862AA"/>
    <w:rsid w:val="00C862BD"/>
    <w:rsid w:val="00C862CC"/>
    <w:rsid w:val="00C863D9"/>
    <w:rsid w:val="00C864B2"/>
    <w:rsid w:val="00C86540"/>
    <w:rsid w:val="00C8672C"/>
    <w:rsid w:val="00C86824"/>
    <w:rsid w:val="00C868E8"/>
    <w:rsid w:val="00C86C4D"/>
    <w:rsid w:val="00C86D38"/>
    <w:rsid w:val="00C87031"/>
    <w:rsid w:val="00C870E5"/>
    <w:rsid w:val="00C871E0"/>
    <w:rsid w:val="00C87339"/>
    <w:rsid w:val="00C873A3"/>
    <w:rsid w:val="00C876DA"/>
    <w:rsid w:val="00C8784B"/>
    <w:rsid w:val="00C87871"/>
    <w:rsid w:val="00C87B1E"/>
    <w:rsid w:val="00C87B29"/>
    <w:rsid w:val="00C87DF5"/>
    <w:rsid w:val="00C90229"/>
    <w:rsid w:val="00C9042B"/>
    <w:rsid w:val="00C90631"/>
    <w:rsid w:val="00C907A0"/>
    <w:rsid w:val="00C909ED"/>
    <w:rsid w:val="00C90D6E"/>
    <w:rsid w:val="00C90F02"/>
    <w:rsid w:val="00C90FDC"/>
    <w:rsid w:val="00C91178"/>
    <w:rsid w:val="00C913A2"/>
    <w:rsid w:val="00C91423"/>
    <w:rsid w:val="00C915DB"/>
    <w:rsid w:val="00C917C7"/>
    <w:rsid w:val="00C917D9"/>
    <w:rsid w:val="00C91830"/>
    <w:rsid w:val="00C918D5"/>
    <w:rsid w:val="00C919C4"/>
    <w:rsid w:val="00C91A09"/>
    <w:rsid w:val="00C91B48"/>
    <w:rsid w:val="00C91D7D"/>
    <w:rsid w:val="00C91E95"/>
    <w:rsid w:val="00C91E9F"/>
    <w:rsid w:val="00C91EF9"/>
    <w:rsid w:val="00C92079"/>
    <w:rsid w:val="00C921A7"/>
    <w:rsid w:val="00C92295"/>
    <w:rsid w:val="00C922A6"/>
    <w:rsid w:val="00C922BF"/>
    <w:rsid w:val="00C92476"/>
    <w:rsid w:val="00C92524"/>
    <w:rsid w:val="00C9254D"/>
    <w:rsid w:val="00C92647"/>
    <w:rsid w:val="00C92650"/>
    <w:rsid w:val="00C926C7"/>
    <w:rsid w:val="00C928F1"/>
    <w:rsid w:val="00C92A1D"/>
    <w:rsid w:val="00C92AB0"/>
    <w:rsid w:val="00C92B24"/>
    <w:rsid w:val="00C92F6F"/>
    <w:rsid w:val="00C93074"/>
    <w:rsid w:val="00C93229"/>
    <w:rsid w:val="00C93406"/>
    <w:rsid w:val="00C93521"/>
    <w:rsid w:val="00C93A39"/>
    <w:rsid w:val="00C93E86"/>
    <w:rsid w:val="00C93E97"/>
    <w:rsid w:val="00C9407B"/>
    <w:rsid w:val="00C940F8"/>
    <w:rsid w:val="00C9419E"/>
    <w:rsid w:val="00C942DB"/>
    <w:rsid w:val="00C9435D"/>
    <w:rsid w:val="00C944D9"/>
    <w:rsid w:val="00C94572"/>
    <w:rsid w:val="00C9487D"/>
    <w:rsid w:val="00C948DB"/>
    <w:rsid w:val="00C94A45"/>
    <w:rsid w:val="00C94AD7"/>
    <w:rsid w:val="00C94B62"/>
    <w:rsid w:val="00C94B8E"/>
    <w:rsid w:val="00C94C09"/>
    <w:rsid w:val="00C94CCB"/>
    <w:rsid w:val="00C94E26"/>
    <w:rsid w:val="00C94E58"/>
    <w:rsid w:val="00C9503F"/>
    <w:rsid w:val="00C95185"/>
    <w:rsid w:val="00C95216"/>
    <w:rsid w:val="00C95328"/>
    <w:rsid w:val="00C9537F"/>
    <w:rsid w:val="00C954E4"/>
    <w:rsid w:val="00C95566"/>
    <w:rsid w:val="00C955C8"/>
    <w:rsid w:val="00C955F8"/>
    <w:rsid w:val="00C9561B"/>
    <w:rsid w:val="00C95A15"/>
    <w:rsid w:val="00C95A47"/>
    <w:rsid w:val="00C95BE2"/>
    <w:rsid w:val="00C95CF0"/>
    <w:rsid w:val="00C95E4F"/>
    <w:rsid w:val="00C95E70"/>
    <w:rsid w:val="00C95FBB"/>
    <w:rsid w:val="00C9617C"/>
    <w:rsid w:val="00C96207"/>
    <w:rsid w:val="00C9632A"/>
    <w:rsid w:val="00C96356"/>
    <w:rsid w:val="00C9643B"/>
    <w:rsid w:val="00C96610"/>
    <w:rsid w:val="00C96668"/>
    <w:rsid w:val="00C966BF"/>
    <w:rsid w:val="00C96741"/>
    <w:rsid w:val="00C967BA"/>
    <w:rsid w:val="00C9691C"/>
    <w:rsid w:val="00C96C78"/>
    <w:rsid w:val="00C96C9C"/>
    <w:rsid w:val="00C96EB2"/>
    <w:rsid w:val="00C96F39"/>
    <w:rsid w:val="00C97070"/>
    <w:rsid w:val="00C97352"/>
    <w:rsid w:val="00C976A0"/>
    <w:rsid w:val="00C97872"/>
    <w:rsid w:val="00C9789F"/>
    <w:rsid w:val="00C978CD"/>
    <w:rsid w:val="00C97A00"/>
    <w:rsid w:val="00C97A1F"/>
    <w:rsid w:val="00C97ACA"/>
    <w:rsid w:val="00C97BBD"/>
    <w:rsid w:val="00C97C30"/>
    <w:rsid w:val="00C97C6E"/>
    <w:rsid w:val="00C97CF2"/>
    <w:rsid w:val="00CA0245"/>
    <w:rsid w:val="00CA032B"/>
    <w:rsid w:val="00CA0425"/>
    <w:rsid w:val="00CA0427"/>
    <w:rsid w:val="00CA04DC"/>
    <w:rsid w:val="00CA06F3"/>
    <w:rsid w:val="00CA07BB"/>
    <w:rsid w:val="00CA0973"/>
    <w:rsid w:val="00CA09F0"/>
    <w:rsid w:val="00CA0B0B"/>
    <w:rsid w:val="00CA0C24"/>
    <w:rsid w:val="00CA0CCC"/>
    <w:rsid w:val="00CA0DF7"/>
    <w:rsid w:val="00CA0E68"/>
    <w:rsid w:val="00CA0EAA"/>
    <w:rsid w:val="00CA1085"/>
    <w:rsid w:val="00CA11D0"/>
    <w:rsid w:val="00CA1223"/>
    <w:rsid w:val="00CA1304"/>
    <w:rsid w:val="00CA1405"/>
    <w:rsid w:val="00CA14B6"/>
    <w:rsid w:val="00CA14DC"/>
    <w:rsid w:val="00CA1677"/>
    <w:rsid w:val="00CA1702"/>
    <w:rsid w:val="00CA173F"/>
    <w:rsid w:val="00CA1899"/>
    <w:rsid w:val="00CA1962"/>
    <w:rsid w:val="00CA19A6"/>
    <w:rsid w:val="00CA1A5B"/>
    <w:rsid w:val="00CA1ADC"/>
    <w:rsid w:val="00CA1BA2"/>
    <w:rsid w:val="00CA1BEC"/>
    <w:rsid w:val="00CA1D67"/>
    <w:rsid w:val="00CA1D9E"/>
    <w:rsid w:val="00CA1F8D"/>
    <w:rsid w:val="00CA20CA"/>
    <w:rsid w:val="00CA2209"/>
    <w:rsid w:val="00CA246C"/>
    <w:rsid w:val="00CA256F"/>
    <w:rsid w:val="00CA2893"/>
    <w:rsid w:val="00CA28C4"/>
    <w:rsid w:val="00CA2B00"/>
    <w:rsid w:val="00CA2CE8"/>
    <w:rsid w:val="00CA2D44"/>
    <w:rsid w:val="00CA2EC4"/>
    <w:rsid w:val="00CA30CD"/>
    <w:rsid w:val="00CA31EF"/>
    <w:rsid w:val="00CA3495"/>
    <w:rsid w:val="00CA34D2"/>
    <w:rsid w:val="00CA356A"/>
    <w:rsid w:val="00CA375D"/>
    <w:rsid w:val="00CA38C8"/>
    <w:rsid w:val="00CA38F5"/>
    <w:rsid w:val="00CA3B6B"/>
    <w:rsid w:val="00CA3B71"/>
    <w:rsid w:val="00CA3B97"/>
    <w:rsid w:val="00CA3CD2"/>
    <w:rsid w:val="00CA3CF5"/>
    <w:rsid w:val="00CA3DA3"/>
    <w:rsid w:val="00CA3EF0"/>
    <w:rsid w:val="00CA3F84"/>
    <w:rsid w:val="00CA40DE"/>
    <w:rsid w:val="00CA416A"/>
    <w:rsid w:val="00CA41CA"/>
    <w:rsid w:val="00CA420B"/>
    <w:rsid w:val="00CA43C1"/>
    <w:rsid w:val="00CA43F5"/>
    <w:rsid w:val="00CA4456"/>
    <w:rsid w:val="00CA4464"/>
    <w:rsid w:val="00CA45E0"/>
    <w:rsid w:val="00CA4A09"/>
    <w:rsid w:val="00CA4B5F"/>
    <w:rsid w:val="00CA4BA1"/>
    <w:rsid w:val="00CA4BAD"/>
    <w:rsid w:val="00CA4BD9"/>
    <w:rsid w:val="00CA4C31"/>
    <w:rsid w:val="00CA4D0C"/>
    <w:rsid w:val="00CA4DE7"/>
    <w:rsid w:val="00CA4E6E"/>
    <w:rsid w:val="00CA4F0E"/>
    <w:rsid w:val="00CA520E"/>
    <w:rsid w:val="00CA5346"/>
    <w:rsid w:val="00CA5485"/>
    <w:rsid w:val="00CA549E"/>
    <w:rsid w:val="00CA5573"/>
    <w:rsid w:val="00CA55E3"/>
    <w:rsid w:val="00CA5EA8"/>
    <w:rsid w:val="00CA5EBF"/>
    <w:rsid w:val="00CA602F"/>
    <w:rsid w:val="00CA605C"/>
    <w:rsid w:val="00CA61C1"/>
    <w:rsid w:val="00CA62C3"/>
    <w:rsid w:val="00CA643D"/>
    <w:rsid w:val="00CA68A9"/>
    <w:rsid w:val="00CA6A84"/>
    <w:rsid w:val="00CA6B02"/>
    <w:rsid w:val="00CA6C1F"/>
    <w:rsid w:val="00CA6CB9"/>
    <w:rsid w:val="00CA6E07"/>
    <w:rsid w:val="00CA725A"/>
    <w:rsid w:val="00CA7635"/>
    <w:rsid w:val="00CA7688"/>
    <w:rsid w:val="00CA7790"/>
    <w:rsid w:val="00CA7798"/>
    <w:rsid w:val="00CA793E"/>
    <w:rsid w:val="00CA79B8"/>
    <w:rsid w:val="00CA7AE4"/>
    <w:rsid w:val="00CA7B75"/>
    <w:rsid w:val="00CA7BAB"/>
    <w:rsid w:val="00CA7C23"/>
    <w:rsid w:val="00CA7F65"/>
    <w:rsid w:val="00CADA23"/>
    <w:rsid w:val="00CB0029"/>
    <w:rsid w:val="00CB0094"/>
    <w:rsid w:val="00CB0124"/>
    <w:rsid w:val="00CB0140"/>
    <w:rsid w:val="00CB015C"/>
    <w:rsid w:val="00CB0392"/>
    <w:rsid w:val="00CB0534"/>
    <w:rsid w:val="00CB05DF"/>
    <w:rsid w:val="00CB061C"/>
    <w:rsid w:val="00CB06AA"/>
    <w:rsid w:val="00CB07EF"/>
    <w:rsid w:val="00CB0862"/>
    <w:rsid w:val="00CB0AD0"/>
    <w:rsid w:val="00CB0BA5"/>
    <w:rsid w:val="00CB0BB4"/>
    <w:rsid w:val="00CB1084"/>
    <w:rsid w:val="00CB1455"/>
    <w:rsid w:val="00CB14B2"/>
    <w:rsid w:val="00CB1590"/>
    <w:rsid w:val="00CB15B9"/>
    <w:rsid w:val="00CB1721"/>
    <w:rsid w:val="00CB1769"/>
    <w:rsid w:val="00CB17FB"/>
    <w:rsid w:val="00CB1849"/>
    <w:rsid w:val="00CB19AD"/>
    <w:rsid w:val="00CB1A90"/>
    <w:rsid w:val="00CB1E02"/>
    <w:rsid w:val="00CB1E0F"/>
    <w:rsid w:val="00CB2323"/>
    <w:rsid w:val="00CB2344"/>
    <w:rsid w:val="00CB24E4"/>
    <w:rsid w:val="00CB2589"/>
    <w:rsid w:val="00CB2626"/>
    <w:rsid w:val="00CB2652"/>
    <w:rsid w:val="00CB26D6"/>
    <w:rsid w:val="00CB27DA"/>
    <w:rsid w:val="00CB2898"/>
    <w:rsid w:val="00CB29DE"/>
    <w:rsid w:val="00CB2B33"/>
    <w:rsid w:val="00CB2BDC"/>
    <w:rsid w:val="00CB2C04"/>
    <w:rsid w:val="00CB2C6B"/>
    <w:rsid w:val="00CB2CAE"/>
    <w:rsid w:val="00CB2DDA"/>
    <w:rsid w:val="00CB2EE6"/>
    <w:rsid w:val="00CB2F7B"/>
    <w:rsid w:val="00CB2FC3"/>
    <w:rsid w:val="00CB30B0"/>
    <w:rsid w:val="00CB31BF"/>
    <w:rsid w:val="00CB322E"/>
    <w:rsid w:val="00CB3241"/>
    <w:rsid w:val="00CB327E"/>
    <w:rsid w:val="00CB3392"/>
    <w:rsid w:val="00CB35AD"/>
    <w:rsid w:val="00CB35EE"/>
    <w:rsid w:val="00CB38CE"/>
    <w:rsid w:val="00CB38DF"/>
    <w:rsid w:val="00CB39D1"/>
    <w:rsid w:val="00CB3AEC"/>
    <w:rsid w:val="00CB3BC1"/>
    <w:rsid w:val="00CB3D39"/>
    <w:rsid w:val="00CB3E35"/>
    <w:rsid w:val="00CB3E69"/>
    <w:rsid w:val="00CB3F0D"/>
    <w:rsid w:val="00CB3F5F"/>
    <w:rsid w:val="00CB4109"/>
    <w:rsid w:val="00CB43D8"/>
    <w:rsid w:val="00CB470C"/>
    <w:rsid w:val="00CB4A0C"/>
    <w:rsid w:val="00CB4DA3"/>
    <w:rsid w:val="00CB4DDE"/>
    <w:rsid w:val="00CB4EA3"/>
    <w:rsid w:val="00CB50F4"/>
    <w:rsid w:val="00CB51D7"/>
    <w:rsid w:val="00CB521C"/>
    <w:rsid w:val="00CB5335"/>
    <w:rsid w:val="00CB554C"/>
    <w:rsid w:val="00CB56FD"/>
    <w:rsid w:val="00CB58C7"/>
    <w:rsid w:val="00CB59B1"/>
    <w:rsid w:val="00CB5C64"/>
    <w:rsid w:val="00CB6009"/>
    <w:rsid w:val="00CB6061"/>
    <w:rsid w:val="00CB6193"/>
    <w:rsid w:val="00CB61CC"/>
    <w:rsid w:val="00CB6275"/>
    <w:rsid w:val="00CB628B"/>
    <w:rsid w:val="00CB6490"/>
    <w:rsid w:val="00CB6512"/>
    <w:rsid w:val="00CB657D"/>
    <w:rsid w:val="00CB6A4A"/>
    <w:rsid w:val="00CB6D8E"/>
    <w:rsid w:val="00CB6DE8"/>
    <w:rsid w:val="00CB6E5E"/>
    <w:rsid w:val="00CB70CB"/>
    <w:rsid w:val="00CB719E"/>
    <w:rsid w:val="00CB7343"/>
    <w:rsid w:val="00CB7447"/>
    <w:rsid w:val="00CB7553"/>
    <w:rsid w:val="00CB7607"/>
    <w:rsid w:val="00CB7694"/>
    <w:rsid w:val="00CB7744"/>
    <w:rsid w:val="00CB785C"/>
    <w:rsid w:val="00CB792A"/>
    <w:rsid w:val="00CB7956"/>
    <w:rsid w:val="00CB7BA1"/>
    <w:rsid w:val="00CB7EC6"/>
    <w:rsid w:val="00CC000A"/>
    <w:rsid w:val="00CC0296"/>
    <w:rsid w:val="00CC0335"/>
    <w:rsid w:val="00CC0379"/>
    <w:rsid w:val="00CC03B0"/>
    <w:rsid w:val="00CC05D3"/>
    <w:rsid w:val="00CC0711"/>
    <w:rsid w:val="00CC0715"/>
    <w:rsid w:val="00CC0A27"/>
    <w:rsid w:val="00CC0DB6"/>
    <w:rsid w:val="00CC0DFE"/>
    <w:rsid w:val="00CC106C"/>
    <w:rsid w:val="00CC10CA"/>
    <w:rsid w:val="00CC124F"/>
    <w:rsid w:val="00CC1261"/>
    <w:rsid w:val="00CC12AC"/>
    <w:rsid w:val="00CC13A3"/>
    <w:rsid w:val="00CC154F"/>
    <w:rsid w:val="00CC1723"/>
    <w:rsid w:val="00CC175C"/>
    <w:rsid w:val="00CC187B"/>
    <w:rsid w:val="00CC19C4"/>
    <w:rsid w:val="00CC1A4E"/>
    <w:rsid w:val="00CC1C4C"/>
    <w:rsid w:val="00CC1CA1"/>
    <w:rsid w:val="00CC1DB1"/>
    <w:rsid w:val="00CC1DCC"/>
    <w:rsid w:val="00CC1ECE"/>
    <w:rsid w:val="00CC1EEA"/>
    <w:rsid w:val="00CC1FB3"/>
    <w:rsid w:val="00CC2397"/>
    <w:rsid w:val="00CC244B"/>
    <w:rsid w:val="00CC2520"/>
    <w:rsid w:val="00CC25BB"/>
    <w:rsid w:val="00CC264F"/>
    <w:rsid w:val="00CC2760"/>
    <w:rsid w:val="00CC27D5"/>
    <w:rsid w:val="00CC2835"/>
    <w:rsid w:val="00CC2909"/>
    <w:rsid w:val="00CC298B"/>
    <w:rsid w:val="00CC29A9"/>
    <w:rsid w:val="00CC2B94"/>
    <w:rsid w:val="00CC2BB9"/>
    <w:rsid w:val="00CC2BE9"/>
    <w:rsid w:val="00CC2D06"/>
    <w:rsid w:val="00CC2D44"/>
    <w:rsid w:val="00CC2D45"/>
    <w:rsid w:val="00CC2DBA"/>
    <w:rsid w:val="00CC2DF8"/>
    <w:rsid w:val="00CC2E41"/>
    <w:rsid w:val="00CC2E58"/>
    <w:rsid w:val="00CC2E72"/>
    <w:rsid w:val="00CC2E82"/>
    <w:rsid w:val="00CC2FA6"/>
    <w:rsid w:val="00CC3037"/>
    <w:rsid w:val="00CC3264"/>
    <w:rsid w:val="00CC327A"/>
    <w:rsid w:val="00CC35BA"/>
    <w:rsid w:val="00CC39F4"/>
    <w:rsid w:val="00CC3A10"/>
    <w:rsid w:val="00CC3A48"/>
    <w:rsid w:val="00CC3AAC"/>
    <w:rsid w:val="00CC3D20"/>
    <w:rsid w:val="00CC3D22"/>
    <w:rsid w:val="00CC3EE3"/>
    <w:rsid w:val="00CC3F89"/>
    <w:rsid w:val="00CC4195"/>
    <w:rsid w:val="00CC4199"/>
    <w:rsid w:val="00CC449B"/>
    <w:rsid w:val="00CC44A0"/>
    <w:rsid w:val="00CC48E1"/>
    <w:rsid w:val="00CC492B"/>
    <w:rsid w:val="00CC4A2C"/>
    <w:rsid w:val="00CC4F1E"/>
    <w:rsid w:val="00CC4FF8"/>
    <w:rsid w:val="00CC526F"/>
    <w:rsid w:val="00CC52CE"/>
    <w:rsid w:val="00CC5305"/>
    <w:rsid w:val="00CC5387"/>
    <w:rsid w:val="00CC5390"/>
    <w:rsid w:val="00CC53BF"/>
    <w:rsid w:val="00CC5418"/>
    <w:rsid w:val="00CC55C8"/>
    <w:rsid w:val="00CC5600"/>
    <w:rsid w:val="00CC5691"/>
    <w:rsid w:val="00CC579A"/>
    <w:rsid w:val="00CC5A14"/>
    <w:rsid w:val="00CC5AB0"/>
    <w:rsid w:val="00CC5C27"/>
    <w:rsid w:val="00CC5D04"/>
    <w:rsid w:val="00CC5ED4"/>
    <w:rsid w:val="00CC5F7E"/>
    <w:rsid w:val="00CC603B"/>
    <w:rsid w:val="00CC6160"/>
    <w:rsid w:val="00CC6189"/>
    <w:rsid w:val="00CC6855"/>
    <w:rsid w:val="00CC6A6C"/>
    <w:rsid w:val="00CC6B8C"/>
    <w:rsid w:val="00CC6BCA"/>
    <w:rsid w:val="00CC6BED"/>
    <w:rsid w:val="00CC6D83"/>
    <w:rsid w:val="00CC6D9E"/>
    <w:rsid w:val="00CC6DAC"/>
    <w:rsid w:val="00CC6F3B"/>
    <w:rsid w:val="00CC706D"/>
    <w:rsid w:val="00CC74D1"/>
    <w:rsid w:val="00CC75DE"/>
    <w:rsid w:val="00CC7732"/>
    <w:rsid w:val="00CC77BE"/>
    <w:rsid w:val="00CC7801"/>
    <w:rsid w:val="00CC7814"/>
    <w:rsid w:val="00CC7903"/>
    <w:rsid w:val="00CC79B4"/>
    <w:rsid w:val="00CC7A27"/>
    <w:rsid w:val="00CC7BA7"/>
    <w:rsid w:val="00CC7C51"/>
    <w:rsid w:val="00CC7E6C"/>
    <w:rsid w:val="00CC7F2F"/>
    <w:rsid w:val="00CC7F7A"/>
    <w:rsid w:val="00CC92DA"/>
    <w:rsid w:val="00CD0095"/>
    <w:rsid w:val="00CD00A9"/>
    <w:rsid w:val="00CD02D8"/>
    <w:rsid w:val="00CD034C"/>
    <w:rsid w:val="00CD04FA"/>
    <w:rsid w:val="00CD0655"/>
    <w:rsid w:val="00CD06D8"/>
    <w:rsid w:val="00CD0919"/>
    <w:rsid w:val="00CD0A78"/>
    <w:rsid w:val="00CD0A91"/>
    <w:rsid w:val="00CD0B0C"/>
    <w:rsid w:val="00CD0F0D"/>
    <w:rsid w:val="00CD102E"/>
    <w:rsid w:val="00CD10F0"/>
    <w:rsid w:val="00CD10F9"/>
    <w:rsid w:val="00CD113F"/>
    <w:rsid w:val="00CD1244"/>
    <w:rsid w:val="00CD1251"/>
    <w:rsid w:val="00CD12E9"/>
    <w:rsid w:val="00CD1339"/>
    <w:rsid w:val="00CD14EA"/>
    <w:rsid w:val="00CD1643"/>
    <w:rsid w:val="00CD16AD"/>
    <w:rsid w:val="00CD16C2"/>
    <w:rsid w:val="00CD171C"/>
    <w:rsid w:val="00CD1754"/>
    <w:rsid w:val="00CD1814"/>
    <w:rsid w:val="00CD194D"/>
    <w:rsid w:val="00CD1AA9"/>
    <w:rsid w:val="00CD1C8E"/>
    <w:rsid w:val="00CD1CCA"/>
    <w:rsid w:val="00CD1CE2"/>
    <w:rsid w:val="00CD1DBE"/>
    <w:rsid w:val="00CD1E36"/>
    <w:rsid w:val="00CD1F72"/>
    <w:rsid w:val="00CD21BC"/>
    <w:rsid w:val="00CD223B"/>
    <w:rsid w:val="00CD22B1"/>
    <w:rsid w:val="00CD2332"/>
    <w:rsid w:val="00CD23A1"/>
    <w:rsid w:val="00CD24BF"/>
    <w:rsid w:val="00CD25E3"/>
    <w:rsid w:val="00CD277D"/>
    <w:rsid w:val="00CD2963"/>
    <w:rsid w:val="00CD29AB"/>
    <w:rsid w:val="00CD2A0E"/>
    <w:rsid w:val="00CD2B73"/>
    <w:rsid w:val="00CD2BF1"/>
    <w:rsid w:val="00CD2CCE"/>
    <w:rsid w:val="00CD2D99"/>
    <w:rsid w:val="00CD2DA9"/>
    <w:rsid w:val="00CD32F5"/>
    <w:rsid w:val="00CD33EA"/>
    <w:rsid w:val="00CD341D"/>
    <w:rsid w:val="00CD3432"/>
    <w:rsid w:val="00CD3483"/>
    <w:rsid w:val="00CD35FF"/>
    <w:rsid w:val="00CD363C"/>
    <w:rsid w:val="00CD3846"/>
    <w:rsid w:val="00CD385F"/>
    <w:rsid w:val="00CD38D9"/>
    <w:rsid w:val="00CD3AF0"/>
    <w:rsid w:val="00CD3B90"/>
    <w:rsid w:val="00CD3BC7"/>
    <w:rsid w:val="00CD3CFA"/>
    <w:rsid w:val="00CD3D87"/>
    <w:rsid w:val="00CD3EB9"/>
    <w:rsid w:val="00CD41EF"/>
    <w:rsid w:val="00CD4392"/>
    <w:rsid w:val="00CD464F"/>
    <w:rsid w:val="00CD46AD"/>
    <w:rsid w:val="00CD46E8"/>
    <w:rsid w:val="00CD47D1"/>
    <w:rsid w:val="00CD47D5"/>
    <w:rsid w:val="00CD4947"/>
    <w:rsid w:val="00CD4AE3"/>
    <w:rsid w:val="00CD4B49"/>
    <w:rsid w:val="00CD4CF9"/>
    <w:rsid w:val="00CD4EFD"/>
    <w:rsid w:val="00CD500B"/>
    <w:rsid w:val="00CD5317"/>
    <w:rsid w:val="00CD53D5"/>
    <w:rsid w:val="00CD54A5"/>
    <w:rsid w:val="00CD566E"/>
    <w:rsid w:val="00CD5716"/>
    <w:rsid w:val="00CD5839"/>
    <w:rsid w:val="00CD5851"/>
    <w:rsid w:val="00CD5886"/>
    <w:rsid w:val="00CD5A54"/>
    <w:rsid w:val="00CD5B64"/>
    <w:rsid w:val="00CD5BD0"/>
    <w:rsid w:val="00CD5D64"/>
    <w:rsid w:val="00CD5D70"/>
    <w:rsid w:val="00CD5FF4"/>
    <w:rsid w:val="00CD60BF"/>
    <w:rsid w:val="00CD60DF"/>
    <w:rsid w:val="00CD621A"/>
    <w:rsid w:val="00CD62AA"/>
    <w:rsid w:val="00CD6358"/>
    <w:rsid w:val="00CD6596"/>
    <w:rsid w:val="00CD6842"/>
    <w:rsid w:val="00CD69BF"/>
    <w:rsid w:val="00CD6EC9"/>
    <w:rsid w:val="00CD6F2C"/>
    <w:rsid w:val="00CD6F51"/>
    <w:rsid w:val="00CD6FFD"/>
    <w:rsid w:val="00CD70FF"/>
    <w:rsid w:val="00CD7210"/>
    <w:rsid w:val="00CD730C"/>
    <w:rsid w:val="00CD7326"/>
    <w:rsid w:val="00CD763C"/>
    <w:rsid w:val="00CD768F"/>
    <w:rsid w:val="00CD7863"/>
    <w:rsid w:val="00CD7D8F"/>
    <w:rsid w:val="00CD7DDE"/>
    <w:rsid w:val="00CD7EF7"/>
    <w:rsid w:val="00CD7F31"/>
    <w:rsid w:val="00CD7F6C"/>
    <w:rsid w:val="00CE0090"/>
    <w:rsid w:val="00CE0237"/>
    <w:rsid w:val="00CE0261"/>
    <w:rsid w:val="00CE02FE"/>
    <w:rsid w:val="00CE0355"/>
    <w:rsid w:val="00CE03C8"/>
    <w:rsid w:val="00CE0610"/>
    <w:rsid w:val="00CE076F"/>
    <w:rsid w:val="00CE07C2"/>
    <w:rsid w:val="00CE0A16"/>
    <w:rsid w:val="00CE0A2F"/>
    <w:rsid w:val="00CE0B3A"/>
    <w:rsid w:val="00CE0C30"/>
    <w:rsid w:val="00CE0C8E"/>
    <w:rsid w:val="00CE0E5D"/>
    <w:rsid w:val="00CE1239"/>
    <w:rsid w:val="00CE1581"/>
    <w:rsid w:val="00CE1583"/>
    <w:rsid w:val="00CE158C"/>
    <w:rsid w:val="00CE16E1"/>
    <w:rsid w:val="00CE1765"/>
    <w:rsid w:val="00CE1DFE"/>
    <w:rsid w:val="00CE1E1A"/>
    <w:rsid w:val="00CE1F61"/>
    <w:rsid w:val="00CE1FCA"/>
    <w:rsid w:val="00CE1FCB"/>
    <w:rsid w:val="00CE2063"/>
    <w:rsid w:val="00CE215C"/>
    <w:rsid w:val="00CE2313"/>
    <w:rsid w:val="00CE2410"/>
    <w:rsid w:val="00CE2607"/>
    <w:rsid w:val="00CE263B"/>
    <w:rsid w:val="00CE2652"/>
    <w:rsid w:val="00CE283D"/>
    <w:rsid w:val="00CE294A"/>
    <w:rsid w:val="00CE2986"/>
    <w:rsid w:val="00CE29D2"/>
    <w:rsid w:val="00CE2A66"/>
    <w:rsid w:val="00CE2B39"/>
    <w:rsid w:val="00CE2D36"/>
    <w:rsid w:val="00CE2D99"/>
    <w:rsid w:val="00CE2DD6"/>
    <w:rsid w:val="00CE2E7E"/>
    <w:rsid w:val="00CE2ED6"/>
    <w:rsid w:val="00CE2EFC"/>
    <w:rsid w:val="00CE2F04"/>
    <w:rsid w:val="00CE3081"/>
    <w:rsid w:val="00CE31CA"/>
    <w:rsid w:val="00CE32A0"/>
    <w:rsid w:val="00CE3385"/>
    <w:rsid w:val="00CE35E3"/>
    <w:rsid w:val="00CE3857"/>
    <w:rsid w:val="00CE38B6"/>
    <w:rsid w:val="00CE3948"/>
    <w:rsid w:val="00CE3A08"/>
    <w:rsid w:val="00CE3B30"/>
    <w:rsid w:val="00CE3B87"/>
    <w:rsid w:val="00CE3C02"/>
    <w:rsid w:val="00CE3EC3"/>
    <w:rsid w:val="00CE3F85"/>
    <w:rsid w:val="00CE3FB5"/>
    <w:rsid w:val="00CE403C"/>
    <w:rsid w:val="00CE410E"/>
    <w:rsid w:val="00CE434B"/>
    <w:rsid w:val="00CE4377"/>
    <w:rsid w:val="00CE43BA"/>
    <w:rsid w:val="00CE4550"/>
    <w:rsid w:val="00CE45C3"/>
    <w:rsid w:val="00CE45E2"/>
    <w:rsid w:val="00CE4680"/>
    <w:rsid w:val="00CE4723"/>
    <w:rsid w:val="00CE487A"/>
    <w:rsid w:val="00CE4B7E"/>
    <w:rsid w:val="00CE4B8A"/>
    <w:rsid w:val="00CE4B95"/>
    <w:rsid w:val="00CE4DA9"/>
    <w:rsid w:val="00CE4E57"/>
    <w:rsid w:val="00CE5025"/>
    <w:rsid w:val="00CE5373"/>
    <w:rsid w:val="00CE5618"/>
    <w:rsid w:val="00CE56E4"/>
    <w:rsid w:val="00CE578B"/>
    <w:rsid w:val="00CE57A4"/>
    <w:rsid w:val="00CE5C6D"/>
    <w:rsid w:val="00CE5E6F"/>
    <w:rsid w:val="00CE5EA7"/>
    <w:rsid w:val="00CE5EEE"/>
    <w:rsid w:val="00CE5F3B"/>
    <w:rsid w:val="00CE5FB7"/>
    <w:rsid w:val="00CE5FE0"/>
    <w:rsid w:val="00CE606F"/>
    <w:rsid w:val="00CE61B5"/>
    <w:rsid w:val="00CE625C"/>
    <w:rsid w:val="00CE6431"/>
    <w:rsid w:val="00CE6510"/>
    <w:rsid w:val="00CE6570"/>
    <w:rsid w:val="00CE66B2"/>
    <w:rsid w:val="00CE6741"/>
    <w:rsid w:val="00CE6792"/>
    <w:rsid w:val="00CE6AC2"/>
    <w:rsid w:val="00CE6C71"/>
    <w:rsid w:val="00CE6DA5"/>
    <w:rsid w:val="00CE6DAC"/>
    <w:rsid w:val="00CE6F05"/>
    <w:rsid w:val="00CE6F48"/>
    <w:rsid w:val="00CE7314"/>
    <w:rsid w:val="00CE73E0"/>
    <w:rsid w:val="00CE74D7"/>
    <w:rsid w:val="00CE7536"/>
    <w:rsid w:val="00CE76D3"/>
    <w:rsid w:val="00CE7762"/>
    <w:rsid w:val="00CE788A"/>
    <w:rsid w:val="00CE788F"/>
    <w:rsid w:val="00CE7A0C"/>
    <w:rsid w:val="00CE7F2E"/>
    <w:rsid w:val="00CF0115"/>
    <w:rsid w:val="00CF02FB"/>
    <w:rsid w:val="00CF033B"/>
    <w:rsid w:val="00CF03CA"/>
    <w:rsid w:val="00CF04B8"/>
    <w:rsid w:val="00CF04FA"/>
    <w:rsid w:val="00CF0621"/>
    <w:rsid w:val="00CF06D9"/>
    <w:rsid w:val="00CF076B"/>
    <w:rsid w:val="00CF0963"/>
    <w:rsid w:val="00CF098F"/>
    <w:rsid w:val="00CF09E8"/>
    <w:rsid w:val="00CF0B34"/>
    <w:rsid w:val="00CF0BA4"/>
    <w:rsid w:val="00CF0E1A"/>
    <w:rsid w:val="00CF1017"/>
    <w:rsid w:val="00CF10AD"/>
    <w:rsid w:val="00CF122C"/>
    <w:rsid w:val="00CF1348"/>
    <w:rsid w:val="00CF13FC"/>
    <w:rsid w:val="00CF149E"/>
    <w:rsid w:val="00CF14B7"/>
    <w:rsid w:val="00CF1856"/>
    <w:rsid w:val="00CF194C"/>
    <w:rsid w:val="00CF1A15"/>
    <w:rsid w:val="00CF1BDD"/>
    <w:rsid w:val="00CF1C23"/>
    <w:rsid w:val="00CF1C6F"/>
    <w:rsid w:val="00CF1D4E"/>
    <w:rsid w:val="00CF1E75"/>
    <w:rsid w:val="00CF2174"/>
    <w:rsid w:val="00CF221E"/>
    <w:rsid w:val="00CF2491"/>
    <w:rsid w:val="00CF252E"/>
    <w:rsid w:val="00CF253B"/>
    <w:rsid w:val="00CF254A"/>
    <w:rsid w:val="00CF25D2"/>
    <w:rsid w:val="00CF2894"/>
    <w:rsid w:val="00CF2A21"/>
    <w:rsid w:val="00CF2B18"/>
    <w:rsid w:val="00CF2C53"/>
    <w:rsid w:val="00CF2C5F"/>
    <w:rsid w:val="00CF2D0B"/>
    <w:rsid w:val="00CF2EB0"/>
    <w:rsid w:val="00CF320C"/>
    <w:rsid w:val="00CF3316"/>
    <w:rsid w:val="00CF34E1"/>
    <w:rsid w:val="00CF3651"/>
    <w:rsid w:val="00CF36C7"/>
    <w:rsid w:val="00CF36E4"/>
    <w:rsid w:val="00CF376B"/>
    <w:rsid w:val="00CF3B2C"/>
    <w:rsid w:val="00CF3C2F"/>
    <w:rsid w:val="00CF3CA6"/>
    <w:rsid w:val="00CF3D28"/>
    <w:rsid w:val="00CF3F6D"/>
    <w:rsid w:val="00CF3FB6"/>
    <w:rsid w:val="00CF40B4"/>
    <w:rsid w:val="00CF4123"/>
    <w:rsid w:val="00CF4224"/>
    <w:rsid w:val="00CF435F"/>
    <w:rsid w:val="00CF44F6"/>
    <w:rsid w:val="00CF4563"/>
    <w:rsid w:val="00CF467F"/>
    <w:rsid w:val="00CF491B"/>
    <w:rsid w:val="00CF4A64"/>
    <w:rsid w:val="00CF4B09"/>
    <w:rsid w:val="00CF4CD8"/>
    <w:rsid w:val="00CF4D01"/>
    <w:rsid w:val="00CF4D91"/>
    <w:rsid w:val="00CF4E38"/>
    <w:rsid w:val="00CF4E81"/>
    <w:rsid w:val="00CF511D"/>
    <w:rsid w:val="00CF516E"/>
    <w:rsid w:val="00CF54B1"/>
    <w:rsid w:val="00CF58BD"/>
    <w:rsid w:val="00CF5933"/>
    <w:rsid w:val="00CF5D3E"/>
    <w:rsid w:val="00CF5DCD"/>
    <w:rsid w:val="00CF5DE1"/>
    <w:rsid w:val="00CF5E2D"/>
    <w:rsid w:val="00CF5F0E"/>
    <w:rsid w:val="00CF611B"/>
    <w:rsid w:val="00CF6220"/>
    <w:rsid w:val="00CF622C"/>
    <w:rsid w:val="00CF66E5"/>
    <w:rsid w:val="00CF66FD"/>
    <w:rsid w:val="00CF6735"/>
    <w:rsid w:val="00CF6881"/>
    <w:rsid w:val="00CF6BF4"/>
    <w:rsid w:val="00CF6D76"/>
    <w:rsid w:val="00CF6EAB"/>
    <w:rsid w:val="00CF6F5C"/>
    <w:rsid w:val="00CF6F75"/>
    <w:rsid w:val="00CF6FAE"/>
    <w:rsid w:val="00CF7026"/>
    <w:rsid w:val="00CF734C"/>
    <w:rsid w:val="00CF74C8"/>
    <w:rsid w:val="00CF772D"/>
    <w:rsid w:val="00CF7BE3"/>
    <w:rsid w:val="00CF7BF4"/>
    <w:rsid w:val="00CF7E34"/>
    <w:rsid w:val="00CF7E44"/>
    <w:rsid w:val="00CF7F4F"/>
    <w:rsid w:val="00D00015"/>
    <w:rsid w:val="00D001D7"/>
    <w:rsid w:val="00D004D6"/>
    <w:rsid w:val="00D0066D"/>
    <w:rsid w:val="00D007BF"/>
    <w:rsid w:val="00D007DE"/>
    <w:rsid w:val="00D007F9"/>
    <w:rsid w:val="00D00867"/>
    <w:rsid w:val="00D00925"/>
    <w:rsid w:val="00D00A54"/>
    <w:rsid w:val="00D00A59"/>
    <w:rsid w:val="00D00BE4"/>
    <w:rsid w:val="00D00E25"/>
    <w:rsid w:val="00D00E3C"/>
    <w:rsid w:val="00D01118"/>
    <w:rsid w:val="00D011AE"/>
    <w:rsid w:val="00D015DD"/>
    <w:rsid w:val="00D019C0"/>
    <w:rsid w:val="00D01B5B"/>
    <w:rsid w:val="00D01BCF"/>
    <w:rsid w:val="00D01C22"/>
    <w:rsid w:val="00D01C3D"/>
    <w:rsid w:val="00D01D8C"/>
    <w:rsid w:val="00D01D9B"/>
    <w:rsid w:val="00D01DA9"/>
    <w:rsid w:val="00D01E95"/>
    <w:rsid w:val="00D01EF6"/>
    <w:rsid w:val="00D01F1C"/>
    <w:rsid w:val="00D02001"/>
    <w:rsid w:val="00D021E2"/>
    <w:rsid w:val="00D022FA"/>
    <w:rsid w:val="00D02343"/>
    <w:rsid w:val="00D02589"/>
    <w:rsid w:val="00D02620"/>
    <w:rsid w:val="00D02655"/>
    <w:rsid w:val="00D02733"/>
    <w:rsid w:val="00D029BD"/>
    <w:rsid w:val="00D029F6"/>
    <w:rsid w:val="00D02A97"/>
    <w:rsid w:val="00D02F2A"/>
    <w:rsid w:val="00D02FB8"/>
    <w:rsid w:val="00D02FD0"/>
    <w:rsid w:val="00D0308B"/>
    <w:rsid w:val="00D03407"/>
    <w:rsid w:val="00D03458"/>
    <w:rsid w:val="00D0373E"/>
    <w:rsid w:val="00D038D2"/>
    <w:rsid w:val="00D039E8"/>
    <w:rsid w:val="00D03A66"/>
    <w:rsid w:val="00D03C5A"/>
    <w:rsid w:val="00D03EFF"/>
    <w:rsid w:val="00D03F44"/>
    <w:rsid w:val="00D04002"/>
    <w:rsid w:val="00D04038"/>
    <w:rsid w:val="00D04056"/>
    <w:rsid w:val="00D040DC"/>
    <w:rsid w:val="00D042EC"/>
    <w:rsid w:val="00D04372"/>
    <w:rsid w:val="00D04A00"/>
    <w:rsid w:val="00D04AD7"/>
    <w:rsid w:val="00D04C0E"/>
    <w:rsid w:val="00D04E8C"/>
    <w:rsid w:val="00D04EB7"/>
    <w:rsid w:val="00D050A2"/>
    <w:rsid w:val="00D052D6"/>
    <w:rsid w:val="00D053C9"/>
    <w:rsid w:val="00D053CC"/>
    <w:rsid w:val="00D05431"/>
    <w:rsid w:val="00D0543A"/>
    <w:rsid w:val="00D0552E"/>
    <w:rsid w:val="00D05619"/>
    <w:rsid w:val="00D059B2"/>
    <w:rsid w:val="00D05A82"/>
    <w:rsid w:val="00D05B4F"/>
    <w:rsid w:val="00D05BB7"/>
    <w:rsid w:val="00D05C61"/>
    <w:rsid w:val="00D05D36"/>
    <w:rsid w:val="00D05D3C"/>
    <w:rsid w:val="00D05D6E"/>
    <w:rsid w:val="00D05F69"/>
    <w:rsid w:val="00D05F89"/>
    <w:rsid w:val="00D0607D"/>
    <w:rsid w:val="00D060FF"/>
    <w:rsid w:val="00D0645A"/>
    <w:rsid w:val="00D0649D"/>
    <w:rsid w:val="00D06699"/>
    <w:rsid w:val="00D06863"/>
    <w:rsid w:val="00D0687B"/>
    <w:rsid w:val="00D06A88"/>
    <w:rsid w:val="00D06E3F"/>
    <w:rsid w:val="00D06EA4"/>
    <w:rsid w:val="00D07014"/>
    <w:rsid w:val="00D0704B"/>
    <w:rsid w:val="00D071A7"/>
    <w:rsid w:val="00D07270"/>
    <w:rsid w:val="00D0733D"/>
    <w:rsid w:val="00D07596"/>
    <w:rsid w:val="00D07597"/>
    <w:rsid w:val="00D07703"/>
    <w:rsid w:val="00D078AC"/>
    <w:rsid w:val="00D07AEC"/>
    <w:rsid w:val="00D07B66"/>
    <w:rsid w:val="00D07C80"/>
    <w:rsid w:val="00D07D6A"/>
    <w:rsid w:val="00D07EF6"/>
    <w:rsid w:val="00D07F10"/>
    <w:rsid w:val="00D10073"/>
    <w:rsid w:val="00D10109"/>
    <w:rsid w:val="00D103ED"/>
    <w:rsid w:val="00D10555"/>
    <w:rsid w:val="00D10640"/>
    <w:rsid w:val="00D10696"/>
    <w:rsid w:val="00D106CA"/>
    <w:rsid w:val="00D106CE"/>
    <w:rsid w:val="00D10732"/>
    <w:rsid w:val="00D10740"/>
    <w:rsid w:val="00D10B07"/>
    <w:rsid w:val="00D10B7E"/>
    <w:rsid w:val="00D10BEA"/>
    <w:rsid w:val="00D10E0C"/>
    <w:rsid w:val="00D10E60"/>
    <w:rsid w:val="00D10E85"/>
    <w:rsid w:val="00D10EE8"/>
    <w:rsid w:val="00D1101C"/>
    <w:rsid w:val="00D112E6"/>
    <w:rsid w:val="00D113FE"/>
    <w:rsid w:val="00D1165A"/>
    <w:rsid w:val="00D116B3"/>
    <w:rsid w:val="00D116C0"/>
    <w:rsid w:val="00D116C7"/>
    <w:rsid w:val="00D1175A"/>
    <w:rsid w:val="00D117C6"/>
    <w:rsid w:val="00D11887"/>
    <w:rsid w:val="00D119B8"/>
    <w:rsid w:val="00D11AAB"/>
    <w:rsid w:val="00D11AF4"/>
    <w:rsid w:val="00D11D35"/>
    <w:rsid w:val="00D11DB4"/>
    <w:rsid w:val="00D11F8F"/>
    <w:rsid w:val="00D11FB4"/>
    <w:rsid w:val="00D12082"/>
    <w:rsid w:val="00D12140"/>
    <w:rsid w:val="00D1220D"/>
    <w:rsid w:val="00D12336"/>
    <w:rsid w:val="00D1257C"/>
    <w:rsid w:val="00D128FF"/>
    <w:rsid w:val="00D12957"/>
    <w:rsid w:val="00D12B34"/>
    <w:rsid w:val="00D12BE7"/>
    <w:rsid w:val="00D12D4D"/>
    <w:rsid w:val="00D12EC2"/>
    <w:rsid w:val="00D13314"/>
    <w:rsid w:val="00D13438"/>
    <w:rsid w:val="00D135D1"/>
    <w:rsid w:val="00D136A8"/>
    <w:rsid w:val="00D13861"/>
    <w:rsid w:val="00D13A53"/>
    <w:rsid w:val="00D13B1D"/>
    <w:rsid w:val="00D13BA8"/>
    <w:rsid w:val="00D13D55"/>
    <w:rsid w:val="00D13D6C"/>
    <w:rsid w:val="00D13DC6"/>
    <w:rsid w:val="00D13F00"/>
    <w:rsid w:val="00D13F13"/>
    <w:rsid w:val="00D13F2D"/>
    <w:rsid w:val="00D1406C"/>
    <w:rsid w:val="00D140DB"/>
    <w:rsid w:val="00D141FA"/>
    <w:rsid w:val="00D141FD"/>
    <w:rsid w:val="00D14262"/>
    <w:rsid w:val="00D14343"/>
    <w:rsid w:val="00D1443B"/>
    <w:rsid w:val="00D1443D"/>
    <w:rsid w:val="00D14477"/>
    <w:rsid w:val="00D14518"/>
    <w:rsid w:val="00D145DC"/>
    <w:rsid w:val="00D145DE"/>
    <w:rsid w:val="00D1473C"/>
    <w:rsid w:val="00D1482B"/>
    <w:rsid w:val="00D14831"/>
    <w:rsid w:val="00D14833"/>
    <w:rsid w:val="00D149EA"/>
    <w:rsid w:val="00D14A02"/>
    <w:rsid w:val="00D14AF2"/>
    <w:rsid w:val="00D14D4B"/>
    <w:rsid w:val="00D14D84"/>
    <w:rsid w:val="00D14F50"/>
    <w:rsid w:val="00D1553D"/>
    <w:rsid w:val="00D155AC"/>
    <w:rsid w:val="00D15651"/>
    <w:rsid w:val="00D15674"/>
    <w:rsid w:val="00D1567B"/>
    <w:rsid w:val="00D1568E"/>
    <w:rsid w:val="00D15AB1"/>
    <w:rsid w:val="00D15B86"/>
    <w:rsid w:val="00D15BB6"/>
    <w:rsid w:val="00D15BEB"/>
    <w:rsid w:val="00D15C87"/>
    <w:rsid w:val="00D15D10"/>
    <w:rsid w:val="00D15E5D"/>
    <w:rsid w:val="00D15F75"/>
    <w:rsid w:val="00D1601C"/>
    <w:rsid w:val="00D160AB"/>
    <w:rsid w:val="00D1610F"/>
    <w:rsid w:val="00D161EC"/>
    <w:rsid w:val="00D16226"/>
    <w:rsid w:val="00D1669B"/>
    <w:rsid w:val="00D16789"/>
    <w:rsid w:val="00D167AF"/>
    <w:rsid w:val="00D1699E"/>
    <w:rsid w:val="00D16CD1"/>
    <w:rsid w:val="00D16D7A"/>
    <w:rsid w:val="00D16EB8"/>
    <w:rsid w:val="00D16FDA"/>
    <w:rsid w:val="00D1707C"/>
    <w:rsid w:val="00D17080"/>
    <w:rsid w:val="00D17239"/>
    <w:rsid w:val="00D1724B"/>
    <w:rsid w:val="00D1729A"/>
    <w:rsid w:val="00D172AE"/>
    <w:rsid w:val="00D17475"/>
    <w:rsid w:val="00D175D5"/>
    <w:rsid w:val="00D17634"/>
    <w:rsid w:val="00D1763D"/>
    <w:rsid w:val="00D176ED"/>
    <w:rsid w:val="00D178D4"/>
    <w:rsid w:val="00D17919"/>
    <w:rsid w:val="00D179E6"/>
    <w:rsid w:val="00D17AEB"/>
    <w:rsid w:val="00D17B46"/>
    <w:rsid w:val="00D17E85"/>
    <w:rsid w:val="00D17ECB"/>
    <w:rsid w:val="00D17FE3"/>
    <w:rsid w:val="00D200C9"/>
    <w:rsid w:val="00D2020E"/>
    <w:rsid w:val="00D20276"/>
    <w:rsid w:val="00D2050D"/>
    <w:rsid w:val="00D20614"/>
    <w:rsid w:val="00D20675"/>
    <w:rsid w:val="00D20A42"/>
    <w:rsid w:val="00D20A8F"/>
    <w:rsid w:val="00D20AA4"/>
    <w:rsid w:val="00D20B66"/>
    <w:rsid w:val="00D20C32"/>
    <w:rsid w:val="00D20DB5"/>
    <w:rsid w:val="00D20E2E"/>
    <w:rsid w:val="00D20F3A"/>
    <w:rsid w:val="00D20FD1"/>
    <w:rsid w:val="00D211F8"/>
    <w:rsid w:val="00D2123C"/>
    <w:rsid w:val="00D212ED"/>
    <w:rsid w:val="00D21383"/>
    <w:rsid w:val="00D213A4"/>
    <w:rsid w:val="00D2148E"/>
    <w:rsid w:val="00D21505"/>
    <w:rsid w:val="00D215D1"/>
    <w:rsid w:val="00D215F3"/>
    <w:rsid w:val="00D2167E"/>
    <w:rsid w:val="00D216A5"/>
    <w:rsid w:val="00D21781"/>
    <w:rsid w:val="00D218E7"/>
    <w:rsid w:val="00D218F4"/>
    <w:rsid w:val="00D21AD9"/>
    <w:rsid w:val="00D21BB7"/>
    <w:rsid w:val="00D21C90"/>
    <w:rsid w:val="00D21CE8"/>
    <w:rsid w:val="00D21EC2"/>
    <w:rsid w:val="00D21F3C"/>
    <w:rsid w:val="00D22068"/>
    <w:rsid w:val="00D2239B"/>
    <w:rsid w:val="00D2247B"/>
    <w:rsid w:val="00D2249F"/>
    <w:rsid w:val="00D224C5"/>
    <w:rsid w:val="00D2258C"/>
    <w:rsid w:val="00D22660"/>
    <w:rsid w:val="00D2293C"/>
    <w:rsid w:val="00D22A94"/>
    <w:rsid w:val="00D22C08"/>
    <w:rsid w:val="00D22D06"/>
    <w:rsid w:val="00D22D36"/>
    <w:rsid w:val="00D2315A"/>
    <w:rsid w:val="00D2324D"/>
    <w:rsid w:val="00D232E9"/>
    <w:rsid w:val="00D23577"/>
    <w:rsid w:val="00D2359A"/>
    <w:rsid w:val="00D23620"/>
    <w:rsid w:val="00D23820"/>
    <w:rsid w:val="00D2399D"/>
    <w:rsid w:val="00D23AD3"/>
    <w:rsid w:val="00D23B22"/>
    <w:rsid w:val="00D23C41"/>
    <w:rsid w:val="00D23D10"/>
    <w:rsid w:val="00D23F99"/>
    <w:rsid w:val="00D240B2"/>
    <w:rsid w:val="00D2418F"/>
    <w:rsid w:val="00D24339"/>
    <w:rsid w:val="00D24378"/>
    <w:rsid w:val="00D245D4"/>
    <w:rsid w:val="00D246C7"/>
    <w:rsid w:val="00D248E4"/>
    <w:rsid w:val="00D24904"/>
    <w:rsid w:val="00D24983"/>
    <w:rsid w:val="00D24996"/>
    <w:rsid w:val="00D24B30"/>
    <w:rsid w:val="00D24B38"/>
    <w:rsid w:val="00D24CB9"/>
    <w:rsid w:val="00D250F0"/>
    <w:rsid w:val="00D25417"/>
    <w:rsid w:val="00D25497"/>
    <w:rsid w:val="00D2560A"/>
    <w:rsid w:val="00D25615"/>
    <w:rsid w:val="00D25644"/>
    <w:rsid w:val="00D25728"/>
    <w:rsid w:val="00D257E4"/>
    <w:rsid w:val="00D25B7B"/>
    <w:rsid w:val="00D25B8E"/>
    <w:rsid w:val="00D25BA1"/>
    <w:rsid w:val="00D25BB7"/>
    <w:rsid w:val="00D25C41"/>
    <w:rsid w:val="00D25C50"/>
    <w:rsid w:val="00D25C89"/>
    <w:rsid w:val="00D25D02"/>
    <w:rsid w:val="00D25E30"/>
    <w:rsid w:val="00D25F26"/>
    <w:rsid w:val="00D26019"/>
    <w:rsid w:val="00D2635C"/>
    <w:rsid w:val="00D2644B"/>
    <w:rsid w:val="00D26483"/>
    <w:rsid w:val="00D264AA"/>
    <w:rsid w:val="00D26646"/>
    <w:rsid w:val="00D2676B"/>
    <w:rsid w:val="00D26794"/>
    <w:rsid w:val="00D267BA"/>
    <w:rsid w:val="00D26900"/>
    <w:rsid w:val="00D26A91"/>
    <w:rsid w:val="00D26BB4"/>
    <w:rsid w:val="00D26C69"/>
    <w:rsid w:val="00D26D70"/>
    <w:rsid w:val="00D26E7E"/>
    <w:rsid w:val="00D26FB7"/>
    <w:rsid w:val="00D26FDF"/>
    <w:rsid w:val="00D270C9"/>
    <w:rsid w:val="00D2715A"/>
    <w:rsid w:val="00D27257"/>
    <w:rsid w:val="00D273AA"/>
    <w:rsid w:val="00D273AF"/>
    <w:rsid w:val="00D274A4"/>
    <w:rsid w:val="00D275B6"/>
    <w:rsid w:val="00D2765A"/>
    <w:rsid w:val="00D27785"/>
    <w:rsid w:val="00D27916"/>
    <w:rsid w:val="00D27C4B"/>
    <w:rsid w:val="00D27C70"/>
    <w:rsid w:val="00D27CDB"/>
    <w:rsid w:val="00D27D44"/>
    <w:rsid w:val="00D27DFE"/>
    <w:rsid w:val="00D27F4C"/>
    <w:rsid w:val="00D301B1"/>
    <w:rsid w:val="00D301E2"/>
    <w:rsid w:val="00D3032D"/>
    <w:rsid w:val="00D303E1"/>
    <w:rsid w:val="00D303E6"/>
    <w:rsid w:val="00D303EC"/>
    <w:rsid w:val="00D30402"/>
    <w:rsid w:val="00D30497"/>
    <w:rsid w:val="00D3068D"/>
    <w:rsid w:val="00D307A4"/>
    <w:rsid w:val="00D308D0"/>
    <w:rsid w:val="00D309D3"/>
    <w:rsid w:val="00D30B78"/>
    <w:rsid w:val="00D30C23"/>
    <w:rsid w:val="00D30D57"/>
    <w:rsid w:val="00D30D91"/>
    <w:rsid w:val="00D30E30"/>
    <w:rsid w:val="00D30E4D"/>
    <w:rsid w:val="00D30E84"/>
    <w:rsid w:val="00D30FEE"/>
    <w:rsid w:val="00D310C6"/>
    <w:rsid w:val="00D310EC"/>
    <w:rsid w:val="00D31195"/>
    <w:rsid w:val="00D312EA"/>
    <w:rsid w:val="00D3156F"/>
    <w:rsid w:val="00D315C9"/>
    <w:rsid w:val="00D315ED"/>
    <w:rsid w:val="00D3174A"/>
    <w:rsid w:val="00D317E4"/>
    <w:rsid w:val="00D31C2E"/>
    <w:rsid w:val="00D31E56"/>
    <w:rsid w:val="00D31E84"/>
    <w:rsid w:val="00D31FC4"/>
    <w:rsid w:val="00D32190"/>
    <w:rsid w:val="00D321BA"/>
    <w:rsid w:val="00D32226"/>
    <w:rsid w:val="00D32321"/>
    <w:rsid w:val="00D324E2"/>
    <w:rsid w:val="00D324F7"/>
    <w:rsid w:val="00D325F2"/>
    <w:rsid w:val="00D32652"/>
    <w:rsid w:val="00D326D2"/>
    <w:rsid w:val="00D327AA"/>
    <w:rsid w:val="00D32972"/>
    <w:rsid w:val="00D32A57"/>
    <w:rsid w:val="00D32A85"/>
    <w:rsid w:val="00D32BC9"/>
    <w:rsid w:val="00D32D0C"/>
    <w:rsid w:val="00D32DC6"/>
    <w:rsid w:val="00D32DD7"/>
    <w:rsid w:val="00D32E46"/>
    <w:rsid w:val="00D330BF"/>
    <w:rsid w:val="00D330EA"/>
    <w:rsid w:val="00D33171"/>
    <w:rsid w:val="00D33272"/>
    <w:rsid w:val="00D3349C"/>
    <w:rsid w:val="00D3368D"/>
    <w:rsid w:val="00D3369C"/>
    <w:rsid w:val="00D33755"/>
    <w:rsid w:val="00D337AA"/>
    <w:rsid w:val="00D338EC"/>
    <w:rsid w:val="00D339B6"/>
    <w:rsid w:val="00D33ADA"/>
    <w:rsid w:val="00D33B9D"/>
    <w:rsid w:val="00D33C57"/>
    <w:rsid w:val="00D33E8A"/>
    <w:rsid w:val="00D33F5C"/>
    <w:rsid w:val="00D34023"/>
    <w:rsid w:val="00D341B3"/>
    <w:rsid w:val="00D3421A"/>
    <w:rsid w:val="00D34252"/>
    <w:rsid w:val="00D34699"/>
    <w:rsid w:val="00D34719"/>
    <w:rsid w:val="00D34736"/>
    <w:rsid w:val="00D34986"/>
    <w:rsid w:val="00D34A56"/>
    <w:rsid w:val="00D34DC9"/>
    <w:rsid w:val="00D34E44"/>
    <w:rsid w:val="00D34E7E"/>
    <w:rsid w:val="00D34EBB"/>
    <w:rsid w:val="00D3508F"/>
    <w:rsid w:val="00D351E7"/>
    <w:rsid w:val="00D3536C"/>
    <w:rsid w:val="00D3541E"/>
    <w:rsid w:val="00D35449"/>
    <w:rsid w:val="00D35482"/>
    <w:rsid w:val="00D35560"/>
    <w:rsid w:val="00D35689"/>
    <w:rsid w:val="00D357B7"/>
    <w:rsid w:val="00D358F6"/>
    <w:rsid w:val="00D359E6"/>
    <w:rsid w:val="00D35A50"/>
    <w:rsid w:val="00D35A80"/>
    <w:rsid w:val="00D35B21"/>
    <w:rsid w:val="00D35B72"/>
    <w:rsid w:val="00D35BB7"/>
    <w:rsid w:val="00D35C4A"/>
    <w:rsid w:val="00D35D8B"/>
    <w:rsid w:val="00D35DC7"/>
    <w:rsid w:val="00D35EF7"/>
    <w:rsid w:val="00D35FF7"/>
    <w:rsid w:val="00D3637E"/>
    <w:rsid w:val="00D366B4"/>
    <w:rsid w:val="00D366D4"/>
    <w:rsid w:val="00D366ED"/>
    <w:rsid w:val="00D36846"/>
    <w:rsid w:val="00D36851"/>
    <w:rsid w:val="00D3699F"/>
    <w:rsid w:val="00D36A6B"/>
    <w:rsid w:val="00D36BA9"/>
    <w:rsid w:val="00D36CFD"/>
    <w:rsid w:val="00D36D10"/>
    <w:rsid w:val="00D36D45"/>
    <w:rsid w:val="00D36E8C"/>
    <w:rsid w:val="00D37037"/>
    <w:rsid w:val="00D37053"/>
    <w:rsid w:val="00D370E2"/>
    <w:rsid w:val="00D372CD"/>
    <w:rsid w:val="00D37462"/>
    <w:rsid w:val="00D37500"/>
    <w:rsid w:val="00D37515"/>
    <w:rsid w:val="00D375A9"/>
    <w:rsid w:val="00D37630"/>
    <w:rsid w:val="00D3774C"/>
    <w:rsid w:val="00D37BB6"/>
    <w:rsid w:val="00D37CD3"/>
    <w:rsid w:val="00D37EB4"/>
    <w:rsid w:val="00D37F24"/>
    <w:rsid w:val="00D37F7A"/>
    <w:rsid w:val="00D37FF4"/>
    <w:rsid w:val="00D37FFE"/>
    <w:rsid w:val="00D40003"/>
    <w:rsid w:val="00D40072"/>
    <w:rsid w:val="00D4016F"/>
    <w:rsid w:val="00D401B4"/>
    <w:rsid w:val="00D402DB"/>
    <w:rsid w:val="00D403B9"/>
    <w:rsid w:val="00D403C0"/>
    <w:rsid w:val="00D404BB"/>
    <w:rsid w:val="00D406C8"/>
    <w:rsid w:val="00D408C2"/>
    <w:rsid w:val="00D409B9"/>
    <w:rsid w:val="00D40B3E"/>
    <w:rsid w:val="00D40B55"/>
    <w:rsid w:val="00D40BDD"/>
    <w:rsid w:val="00D40E27"/>
    <w:rsid w:val="00D40F1B"/>
    <w:rsid w:val="00D40F98"/>
    <w:rsid w:val="00D4131E"/>
    <w:rsid w:val="00D41562"/>
    <w:rsid w:val="00D41646"/>
    <w:rsid w:val="00D41686"/>
    <w:rsid w:val="00D41734"/>
    <w:rsid w:val="00D417C8"/>
    <w:rsid w:val="00D4190E"/>
    <w:rsid w:val="00D41976"/>
    <w:rsid w:val="00D41A56"/>
    <w:rsid w:val="00D41B9C"/>
    <w:rsid w:val="00D41BB4"/>
    <w:rsid w:val="00D41C0D"/>
    <w:rsid w:val="00D41CE3"/>
    <w:rsid w:val="00D41F0F"/>
    <w:rsid w:val="00D420D2"/>
    <w:rsid w:val="00D42168"/>
    <w:rsid w:val="00D4280B"/>
    <w:rsid w:val="00D4295D"/>
    <w:rsid w:val="00D42CB6"/>
    <w:rsid w:val="00D42D01"/>
    <w:rsid w:val="00D42E29"/>
    <w:rsid w:val="00D42E35"/>
    <w:rsid w:val="00D42F26"/>
    <w:rsid w:val="00D43002"/>
    <w:rsid w:val="00D4313D"/>
    <w:rsid w:val="00D43276"/>
    <w:rsid w:val="00D43453"/>
    <w:rsid w:val="00D434B3"/>
    <w:rsid w:val="00D4361B"/>
    <w:rsid w:val="00D436D1"/>
    <w:rsid w:val="00D43917"/>
    <w:rsid w:val="00D43924"/>
    <w:rsid w:val="00D4392D"/>
    <w:rsid w:val="00D43AC7"/>
    <w:rsid w:val="00D43CEA"/>
    <w:rsid w:val="00D44068"/>
    <w:rsid w:val="00D44081"/>
    <w:rsid w:val="00D4414B"/>
    <w:rsid w:val="00D44191"/>
    <w:rsid w:val="00D4420E"/>
    <w:rsid w:val="00D443C9"/>
    <w:rsid w:val="00D44433"/>
    <w:rsid w:val="00D4454A"/>
    <w:rsid w:val="00D44624"/>
    <w:rsid w:val="00D44B13"/>
    <w:rsid w:val="00D44B81"/>
    <w:rsid w:val="00D44C27"/>
    <w:rsid w:val="00D44D1D"/>
    <w:rsid w:val="00D44D70"/>
    <w:rsid w:val="00D44DAC"/>
    <w:rsid w:val="00D44F0E"/>
    <w:rsid w:val="00D4508D"/>
    <w:rsid w:val="00D450C2"/>
    <w:rsid w:val="00D45128"/>
    <w:rsid w:val="00D4516C"/>
    <w:rsid w:val="00D452A8"/>
    <w:rsid w:val="00D4540C"/>
    <w:rsid w:val="00D4549C"/>
    <w:rsid w:val="00D454B4"/>
    <w:rsid w:val="00D45567"/>
    <w:rsid w:val="00D455D2"/>
    <w:rsid w:val="00D456A9"/>
    <w:rsid w:val="00D456D1"/>
    <w:rsid w:val="00D45AFD"/>
    <w:rsid w:val="00D45CD1"/>
    <w:rsid w:val="00D45E69"/>
    <w:rsid w:val="00D45E8B"/>
    <w:rsid w:val="00D45EE3"/>
    <w:rsid w:val="00D4610A"/>
    <w:rsid w:val="00D4611B"/>
    <w:rsid w:val="00D462E9"/>
    <w:rsid w:val="00D4637E"/>
    <w:rsid w:val="00D465E1"/>
    <w:rsid w:val="00D466F4"/>
    <w:rsid w:val="00D46752"/>
    <w:rsid w:val="00D46A1D"/>
    <w:rsid w:val="00D46AD1"/>
    <w:rsid w:val="00D46BCD"/>
    <w:rsid w:val="00D46C72"/>
    <w:rsid w:val="00D46CFB"/>
    <w:rsid w:val="00D46D93"/>
    <w:rsid w:val="00D46F2B"/>
    <w:rsid w:val="00D4703C"/>
    <w:rsid w:val="00D472D9"/>
    <w:rsid w:val="00D47436"/>
    <w:rsid w:val="00D474F5"/>
    <w:rsid w:val="00D47632"/>
    <w:rsid w:val="00D4765B"/>
    <w:rsid w:val="00D476C7"/>
    <w:rsid w:val="00D47767"/>
    <w:rsid w:val="00D47782"/>
    <w:rsid w:val="00D47808"/>
    <w:rsid w:val="00D47834"/>
    <w:rsid w:val="00D47836"/>
    <w:rsid w:val="00D479BD"/>
    <w:rsid w:val="00D47B30"/>
    <w:rsid w:val="00D47D32"/>
    <w:rsid w:val="00D47F28"/>
    <w:rsid w:val="00D47FF7"/>
    <w:rsid w:val="00D50138"/>
    <w:rsid w:val="00D50146"/>
    <w:rsid w:val="00D501CE"/>
    <w:rsid w:val="00D50262"/>
    <w:rsid w:val="00D50540"/>
    <w:rsid w:val="00D505C1"/>
    <w:rsid w:val="00D5076A"/>
    <w:rsid w:val="00D50798"/>
    <w:rsid w:val="00D50A3B"/>
    <w:rsid w:val="00D50D3C"/>
    <w:rsid w:val="00D50E09"/>
    <w:rsid w:val="00D50E14"/>
    <w:rsid w:val="00D50E32"/>
    <w:rsid w:val="00D50FBA"/>
    <w:rsid w:val="00D510C9"/>
    <w:rsid w:val="00D5120E"/>
    <w:rsid w:val="00D51337"/>
    <w:rsid w:val="00D51384"/>
    <w:rsid w:val="00D51447"/>
    <w:rsid w:val="00D51558"/>
    <w:rsid w:val="00D518B9"/>
    <w:rsid w:val="00D519F2"/>
    <w:rsid w:val="00D51A32"/>
    <w:rsid w:val="00D51A3F"/>
    <w:rsid w:val="00D51B24"/>
    <w:rsid w:val="00D51C23"/>
    <w:rsid w:val="00D51F45"/>
    <w:rsid w:val="00D52096"/>
    <w:rsid w:val="00D5236E"/>
    <w:rsid w:val="00D52407"/>
    <w:rsid w:val="00D5296A"/>
    <w:rsid w:val="00D52B54"/>
    <w:rsid w:val="00D52BB0"/>
    <w:rsid w:val="00D52DCF"/>
    <w:rsid w:val="00D52E59"/>
    <w:rsid w:val="00D52F2A"/>
    <w:rsid w:val="00D53137"/>
    <w:rsid w:val="00D53221"/>
    <w:rsid w:val="00D532EB"/>
    <w:rsid w:val="00D532F5"/>
    <w:rsid w:val="00D53366"/>
    <w:rsid w:val="00D53467"/>
    <w:rsid w:val="00D5363A"/>
    <w:rsid w:val="00D53821"/>
    <w:rsid w:val="00D53874"/>
    <w:rsid w:val="00D53973"/>
    <w:rsid w:val="00D53AAB"/>
    <w:rsid w:val="00D53E6A"/>
    <w:rsid w:val="00D53EA1"/>
    <w:rsid w:val="00D54057"/>
    <w:rsid w:val="00D54067"/>
    <w:rsid w:val="00D54185"/>
    <w:rsid w:val="00D541A6"/>
    <w:rsid w:val="00D5421E"/>
    <w:rsid w:val="00D543EE"/>
    <w:rsid w:val="00D54467"/>
    <w:rsid w:val="00D54556"/>
    <w:rsid w:val="00D5467E"/>
    <w:rsid w:val="00D54770"/>
    <w:rsid w:val="00D547F7"/>
    <w:rsid w:val="00D54A17"/>
    <w:rsid w:val="00D54A5D"/>
    <w:rsid w:val="00D54ADE"/>
    <w:rsid w:val="00D54B3E"/>
    <w:rsid w:val="00D54B45"/>
    <w:rsid w:val="00D54B72"/>
    <w:rsid w:val="00D54D0E"/>
    <w:rsid w:val="00D54D7A"/>
    <w:rsid w:val="00D54F73"/>
    <w:rsid w:val="00D54FFB"/>
    <w:rsid w:val="00D55024"/>
    <w:rsid w:val="00D5516F"/>
    <w:rsid w:val="00D55293"/>
    <w:rsid w:val="00D5529B"/>
    <w:rsid w:val="00D553E4"/>
    <w:rsid w:val="00D5542F"/>
    <w:rsid w:val="00D55434"/>
    <w:rsid w:val="00D556B2"/>
    <w:rsid w:val="00D557A2"/>
    <w:rsid w:val="00D55899"/>
    <w:rsid w:val="00D55B6F"/>
    <w:rsid w:val="00D55BD3"/>
    <w:rsid w:val="00D55D4B"/>
    <w:rsid w:val="00D55D57"/>
    <w:rsid w:val="00D55D65"/>
    <w:rsid w:val="00D55E0A"/>
    <w:rsid w:val="00D55FD3"/>
    <w:rsid w:val="00D56181"/>
    <w:rsid w:val="00D56361"/>
    <w:rsid w:val="00D5639B"/>
    <w:rsid w:val="00D567C1"/>
    <w:rsid w:val="00D569AE"/>
    <w:rsid w:val="00D56BAE"/>
    <w:rsid w:val="00D56C44"/>
    <w:rsid w:val="00D56C66"/>
    <w:rsid w:val="00D56C7C"/>
    <w:rsid w:val="00D56D23"/>
    <w:rsid w:val="00D56DA3"/>
    <w:rsid w:val="00D56EAB"/>
    <w:rsid w:val="00D56ECC"/>
    <w:rsid w:val="00D570FD"/>
    <w:rsid w:val="00D5754B"/>
    <w:rsid w:val="00D5757E"/>
    <w:rsid w:val="00D57707"/>
    <w:rsid w:val="00D578A7"/>
    <w:rsid w:val="00D57928"/>
    <w:rsid w:val="00D57A34"/>
    <w:rsid w:val="00D57A6C"/>
    <w:rsid w:val="00D57CF6"/>
    <w:rsid w:val="00D5DDEC"/>
    <w:rsid w:val="00D6028C"/>
    <w:rsid w:val="00D60296"/>
    <w:rsid w:val="00D602AF"/>
    <w:rsid w:val="00D604BA"/>
    <w:rsid w:val="00D60772"/>
    <w:rsid w:val="00D607A1"/>
    <w:rsid w:val="00D6097E"/>
    <w:rsid w:val="00D60A12"/>
    <w:rsid w:val="00D60A2A"/>
    <w:rsid w:val="00D60A6F"/>
    <w:rsid w:val="00D60AFD"/>
    <w:rsid w:val="00D60BAE"/>
    <w:rsid w:val="00D60D45"/>
    <w:rsid w:val="00D60F93"/>
    <w:rsid w:val="00D610A2"/>
    <w:rsid w:val="00D61110"/>
    <w:rsid w:val="00D61153"/>
    <w:rsid w:val="00D6117F"/>
    <w:rsid w:val="00D61325"/>
    <w:rsid w:val="00D61391"/>
    <w:rsid w:val="00D61418"/>
    <w:rsid w:val="00D614C4"/>
    <w:rsid w:val="00D614D5"/>
    <w:rsid w:val="00D6168D"/>
    <w:rsid w:val="00D61726"/>
    <w:rsid w:val="00D617ED"/>
    <w:rsid w:val="00D6184E"/>
    <w:rsid w:val="00D6185B"/>
    <w:rsid w:val="00D6185C"/>
    <w:rsid w:val="00D61868"/>
    <w:rsid w:val="00D61C15"/>
    <w:rsid w:val="00D61CDD"/>
    <w:rsid w:val="00D61D1A"/>
    <w:rsid w:val="00D61D2B"/>
    <w:rsid w:val="00D61EF1"/>
    <w:rsid w:val="00D61F83"/>
    <w:rsid w:val="00D61F85"/>
    <w:rsid w:val="00D62102"/>
    <w:rsid w:val="00D6220D"/>
    <w:rsid w:val="00D626B7"/>
    <w:rsid w:val="00D62949"/>
    <w:rsid w:val="00D62C58"/>
    <w:rsid w:val="00D62EB0"/>
    <w:rsid w:val="00D63033"/>
    <w:rsid w:val="00D63044"/>
    <w:rsid w:val="00D631DE"/>
    <w:rsid w:val="00D6328A"/>
    <w:rsid w:val="00D632DC"/>
    <w:rsid w:val="00D633A2"/>
    <w:rsid w:val="00D6379A"/>
    <w:rsid w:val="00D638B7"/>
    <w:rsid w:val="00D639BE"/>
    <w:rsid w:val="00D63AB6"/>
    <w:rsid w:val="00D63AB9"/>
    <w:rsid w:val="00D63D23"/>
    <w:rsid w:val="00D63DFB"/>
    <w:rsid w:val="00D63E70"/>
    <w:rsid w:val="00D63E99"/>
    <w:rsid w:val="00D63F02"/>
    <w:rsid w:val="00D64412"/>
    <w:rsid w:val="00D645A4"/>
    <w:rsid w:val="00D645D5"/>
    <w:rsid w:val="00D64606"/>
    <w:rsid w:val="00D646E7"/>
    <w:rsid w:val="00D64780"/>
    <w:rsid w:val="00D64795"/>
    <w:rsid w:val="00D64928"/>
    <w:rsid w:val="00D64A9F"/>
    <w:rsid w:val="00D64B98"/>
    <w:rsid w:val="00D64C5B"/>
    <w:rsid w:val="00D64CC8"/>
    <w:rsid w:val="00D64CCF"/>
    <w:rsid w:val="00D64D05"/>
    <w:rsid w:val="00D650E0"/>
    <w:rsid w:val="00D651B1"/>
    <w:rsid w:val="00D652F0"/>
    <w:rsid w:val="00D65516"/>
    <w:rsid w:val="00D655F3"/>
    <w:rsid w:val="00D6563E"/>
    <w:rsid w:val="00D6571E"/>
    <w:rsid w:val="00D658DA"/>
    <w:rsid w:val="00D65A9E"/>
    <w:rsid w:val="00D65AD1"/>
    <w:rsid w:val="00D65C02"/>
    <w:rsid w:val="00D65C84"/>
    <w:rsid w:val="00D65E55"/>
    <w:rsid w:val="00D6605A"/>
    <w:rsid w:val="00D662B2"/>
    <w:rsid w:val="00D6638A"/>
    <w:rsid w:val="00D66396"/>
    <w:rsid w:val="00D663DA"/>
    <w:rsid w:val="00D664A2"/>
    <w:rsid w:val="00D664CB"/>
    <w:rsid w:val="00D6674F"/>
    <w:rsid w:val="00D668D5"/>
    <w:rsid w:val="00D66A11"/>
    <w:rsid w:val="00D66A29"/>
    <w:rsid w:val="00D66ADC"/>
    <w:rsid w:val="00D66B9D"/>
    <w:rsid w:val="00D66CA5"/>
    <w:rsid w:val="00D66CBE"/>
    <w:rsid w:val="00D66D82"/>
    <w:rsid w:val="00D66F93"/>
    <w:rsid w:val="00D66F9A"/>
    <w:rsid w:val="00D6702F"/>
    <w:rsid w:val="00D672F8"/>
    <w:rsid w:val="00D67344"/>
    <w:rsid w:val="00D673B6"/>
    <w:rsid w:val="00D67495"/>
    <w:rsid w:val="00D674DF"/>
    <w:rsid w:val="00D67732"/>
    <w:rsid w:val="00D67900"/>
    <w:rsid w:val="00D67FFB"/>
    <w:rsid w:val="00D70085"/>
    <w:rsid w:val="00D700FF"/>
    <w:rsid w:val="00D70320"/>
    <w:rsid w:val="00D70534"/>
    <w:rsid w:val="00D70701"/>
    <w:rsid w:val="00D70747"/>
    <w:rsid w:val="00D707B3"/>
    <w:rsid w:val="00D70820"/>
    <w:rsid w:val="00D7089B"/>
    <w:rsid w:val="00D708C1"/>
    <w:rsid w:val="00D70941"/>
    <w:rsid w:val="00D70BF4"/>
    <w:rsid w:val="00D70BFB"/>
    <w:rsid w:val="00D70DB5"/>
    <w:rsid w:val="00D70F01"/>
    <w:rsid w:val="00D70F11"/>
    <w:rsid w:val="00D7106E"/>
    <w:rsid w:val="00D71118"/>
    <w:rsid w:val="00D71119"/>
    <w:rsid w:val="00D711E3"/>
    <w:rsid w:val="00D7131E"/>
    <w:rsid w:val="00D71347"/>
    <w:rsid w:val="00D71525"/>
    <w:rsid w:val="00D71558"/>
    <w:rsid w:val="00D7170C"/>
    <w:rsid w:val="00D71A04"/>
    <w:rsid w:val="00D71ACA"/>
    <w:rsid w:val="00D71C3C"/>
    <w:rsid w:val="00D71D58"/>
    <w:rsid w:val="00D71D69"/>
    <w:rsid w:val="00D71DBB"/>
    <w:rsid w:val="00D71EA3"/>
    <w:rsid w:val="00D71EB0"/>
    <w:rsid w:val="00D71EE6"/>
    <w:rsid w:val="00D71F2B"/>
    <w:rsid w:val="00D71FAC"/>
    <w:rsid w:val="00D7200B"/>
    <w:rsid w:val="00D72018"/>
    <w:rsid w:val="00D7206A"/>
    <w:rsid w:val="00D72212"/>
    <w:rsid w:val="00D725F6"/>
    <w:rsid w:val="00D726D2"/>
    <w:rsid w:val="00D7277C"/>
    <w:rsid w:val="00D727ED"/>
    <w:rsid w:val="00D7282C"/>
    <w:rsid w:val="00D7285C"/>
    <w:rsid w:val="00D72926"/>
    <w:rsid w:val="00D73042"/>
    <w:rsid w:val="00D7345C"/>
    <w:rsid w:val="00D734DC"/>
    <w:rsid w:val="00D735F3"/>
    <w:rsid w:val="00D73709"/>
    <w:rsid w:val="00D7381C"/>
    <w:rsid w:val="00D73891"/>
    <w:rsid w:val="00D73AE4"/>
    <w:rsid w:val="00D73C36"/>
    <w:rsid w:val="00D73CB2"/>
    <w:rsid w:val="00D73EF1"/>
    <w:rsid w:val="00D74005"/>
    <w:rsid w:val="00D74407"/>
    <w:rsid w:val="00D744FD"/>
    <w:rsid w:val="00D746EA"/>
    <w:rsid w:val="00D74766"/>
    <w:rsid w:val="00D747CD"/>
    <w:rsid w:val="00D748BC"/>
    <w:rsid w:val="00D748E6"/>
    <w:rsid w:val="00D74900"/>
    <w:rsid w:val="00D74AD0"/>
    <w:rsid w:val="00D74B16"/>
    <w:rsid w:val="00D74BA4"/>
    <w:rsid w:val="00D74C0E"/>
    <w:rsid w:val="00D74CEF"/>
    <w:rsid w:val="00D74F01"/>
    <w:rsid w:val="00D751D9"/>
    <w:rsid w:val="00D75210"/>
    <w:rsid w:val="00D7540E"/>
    <w:rsid w:val="00D755F1"/>
    <w:rsid w:val="00D75700"/>
    <w:rsid w:val="00D7572E"/>
    <w:rsid w:val="00D7584F"/>
    <w:rsid w:val="00D75863"/>
    <w:rsid w:val="00D75B63"/>
    <w:rsid w:val="00D75DB2"/>
    <w:rsid w:val="00D75E15"/>
    <w:rsid w:val="00D75E83"/>
    <w:rsid w:val="00D75F92"/>
    <w:rsid w:val="00D76087"/>
    <w:rsid w:val="00D7622E"/>
    <w:rsid w:val="00D767C0"/>
    <w:rsid w:val="00D76902"/>
    <w:rsid w:val="00D76A00"/>
    <w:rsid w:val="00D76A3D"/>
    <w:rsid w:val="00D76A8C"/>
    <w:rsid w:val="00D76AEE"/>
    <w:rsid w:val="00D76B6E"/>
    <w:rsid w:val="00D76BBF"/>
    <w:rsid w:val="00D76D0F"/>
    <w:rsid w:val="00D76DD6"/>
    <w:rsid w:val="00D7712A"/>
    <w:rsid w:val="00D772AA"/>
    <w:rsid w:val="00D772D6"/>
    <w:rsid w:val="00D77387"/>
    <w:rsid w:val="00D77389"/>
    <w:rsid w:val="00D77409"/>
    <w:rsid w:val="00D7745C"/>
    <w:rsid w:val="00D77992"/>
    <w:rsid w:val="00D77B00"/>
    <w:rsid w:val="00D77BE6"/>
    <w:rsid w:val="00D77D78"/>
    <w:rsid w:val="00D77F80"/>
    <w:rsid w:val="00D80097"/>
    <w:rsid w:val="00D800EA"/>
    <w:rsid w:val="00D801E4"/>
    <w:rsid w:val="00D80351"/>
    <w:rsid w:val="00D8054D"/>
    <w:rsid w:val="00D805BD"/>
    <w:rsid w:val="00D805ED"/>
    <w:rsid w:val="00D80634"/>
    <w:rsid w:val="00D8083A"/>
    <w:rsid w:val="00D80886"/>
    <w:rsid w:val="00D808C8"/>
    <w:rsid w:val="00D809A3"/>
    <w:rsid w:val="00D80A5A"/>
    <w:rsid w:val="00D80BC1"/>
    <w:rsid w:val="00D80CC1"/>
    <w:rsid w:val="00D80D0D"/>
    <w:rsid w:val="00D80D95"/>
    <w:rsid w:val="00D80E0C"/>
    <w:rsid w:val="00D80E45"/>
    <w:rsid w:val="00D810B2"/>
    <w:rsid w:val="00D81108"/>
    <w:rsid w:val="00D81227"/>
    <w:rsid w:val="00D8122F"/>
    <w:rsid w:val="00D81273"/>
    <w:rsid w:val="00D8139E"/>
    <w:rsid w:val="00D817F2"/>
    <w:rsid w:val="00D8198D"/>
    <w:rsid w:val="00D81A29"/>
    <w:rsid w:val="00D81D3A"/>
    <w:rsid w:val="00D81E80"/>
    <w:rsid w:val="00D820A3"/>
    <w:rsid w:val="00D8212A"/>
    <w:rsid w:val="00D82180"/>
    <w:rsid w:val="00D8223F"/>
    <w:rsid w:val="00D82323"/>
    <w:rsid w:val="00D824B4"/>
    <w:rsid w:val="00D82530"/>
    <w:rsid w:val="00D8257F"/>
    <w:rsid w:val="00D82747"/>
    <w:rsid w:val="00D827B6"/>
    <w:rsid w:val="00D827BA"/>
    <w:rsid w:val="00D828C5"/>
    <w:rsid w:val="00D829C1"/>
    <w:rsid w:val="00D82C7A"/>
    <w:rsid w:val="00D82D08"/>
    <w:rsid w:val="00D82E8E"/>
    <w:rsid w:val="00D830C4"/>
    <w:rsid w:val="00D8316D"/>
    <w:rsid w:val="00D832C3"/>
    <w:rsid w:val="00D83431"/>
    <w:rsid w:val="00D8348A"/>
    <w:rsid w:val="00D83657"/>
    <w:rsid w:val="00D837CE"/>
    <w:rsid w:val="00D83988"/>
    <w:rsid w:val="00D83AA9"/>
    <w:rsid w:val="00D83CB1"/>
    <w:rsid w:val="00D83CD2"/>
    <w:rsid w:val="00D83D54"/>
    <w:rsid w:val="00D83DB4"/>
    <w:rsid w:val="00D83DCD"/>
    <w:rsid w:val="00D83E87"/>
    <w:rsid w:val="00D83F88"/>
    <w:rsid w:val="00D83F90"/>
    <w:rsid w:val="00D840BB"/>
    <w:rsid w:val="00D84200"/>
    <w:rsid w:val="00D84210"/>
    <w:rsid w:val="00D842FC"/>
    <w:rsid w:val="00D8430A"/>
    <w:rsid w:val="00D84322"/>
    <w:rsid w:val="00D84464"/>
    <w:rsid w:val="00D8448C"/>
    <w:rsid w:val="00D844AB"/>
    <w:rsid w:val="00D846EB"/>
    <w:rsid w:val="00D8474D"/>
    <w:rsid w:val="00D847BD"/>
    <w:rsid w:val="00D847C9"/>
    <w:rsid w:val="00D8488C"/>
    <w:rsid w:val="00D848A8"/>
    <w:rsid w:val="00D84993"/>
    <w:rsid w:val="00D84C49"/>
    <w:rsid w:val="00D84CB3"/>
    <w:rsid w:val="00D84CCF"/>
    <w:rsid w:val="00D84CF1"/>
    <w:rsid w:val="00D84DD3"/>
    <w:rsid w:val="00D84EA0"/>
    <w:rsid w:val="00D84EAE"/>
    <w:rsid w:val="00D84F9B"/>
    <w:rsid w:val="00D85008"/>
    <w:rsid w:val="00D8515B"/>
    <w:rsid w:val="00D8530E"/>
    <w:rsid w:val="00D85337"/>
    <w:rsid w:val="00D853B7"/>
    <w:rsid w:val="00D85422"/>
    <w:rsid w:val="00D85691"/>
    <w:rsid w:val="00D857EC"/>
    <w:rsid w:val="00D85808"/>
    <w:rsid w:val="00D858CC"/>
    <w:rsid w:val="00D8598E"/>
    <w:rsid w:val="00D85AD4"/>
    <w:rsid w:val="00D85B14"/>
    <w:rsid w:val="00D85B9A"/>
    <w:rsid w:val="00D85CE3"/>
    <w:rsid w:val="00D85D67"/>
    <w:rsid w:val="00D85D87"/>
    <w:rsid w:val="00D85E6F"/>
    <w:rsid w:val="00D85F0A"/>
    <w:rsid w:val="00D85F0F"/>
    <w:rsid w:val="00D8608D"/>
    <w:rsid w:val="00D86232"/>
    <w:rsid w:val="00D86311"/>
    <w:rsid w:val="00D86532"/>
    <w:rsid w:val="00D86551"/>
    <w:rsid w:val="00D866E1"/>
    <w:rsid w:val="00D8688C"/>
    <w:rsid w:val="00D869D3"/>
    <w:rsid w:val="00D86A10"/>
    <w:rsid w:val="00D86AD7"/>
    <w:rsid w:val="00D86BCC"/>
    <w:rsid w:val="00D86BE9"/>
    <w:rsid w:val="00D86DAF"/>
    <w:rsid w:val="00D86DD1"/>
    <w:rsid w:val="00D86FC5"/>
    <w:rsid w:val="00D870AD"/>
    <w:rsid w:val="00D870BB"/>
    <w:rsid w:val="00D8716E"/>
    <w:rsid w:val="00D874C4"/>
    <w:rsid w:val="00D876A3"/>
    <w:rsid w:val="00D876ED"/>
    <w:rsid w:val="00D876F8"/>
    <w:rsid w:val="00D8774D"/>
    <w:rsid w:val="00D878FA"/>
    <w:rsid w:val="00D87B13"/>
    <w:rsid w:val="00D87B44"/>
    <w:rsid w:val="00D87FA3"/>
    <w:rsid w:val="00D900AA"/>
    <w:rsid w:val="00D90262"/>
    <w:rsid w:val="00D90327"/>
    <w:rsid w:val="00D90498"/>
    <w:rsid w:val="00D90523"/>
    <w:rsid w:val="00D906A0"/>
    <w:rsid w:val="00D90800"/>
    <w:rsid w:val="00D90929"/>
    <w:rsid w:val="00D909F7"/>
    <w:rsid w:val="00D90C75"/>
    <w:rsid w:val="00D90D4F"/>
    <w:rsid w:val="00D90E0B"/>
    <w:rsid w:val="00D90F41"/>
    <w:rsid w:val="00D90FE2"/>
    <w:rsid w:val="00D91024"/>
    <w:rsid w:val="00D91152"/>
    <w:rsid w:val="00D91174"/>
    <w:rsid w:val="00D9134A"/>
    <w:rsid w:val="00D91468"/>
    <w:rsid w:val="00D914CB"/>
    <w:rsid w:val="00D915F5"/>
    <w:rsid w:val="00D91931"/>
    <w:rsid w:val="00D919E1"/>
    <w:rsid w:val="00D91A56"/>
    <w:rsid w:val="00D91ABD"/>
    <w:rsid w:val="00D91BED"/>
    <w:rsid w:val="00D91E21"/>
    <w:rsid w:val="00D91E83"/>
    <w:rsid w:val="00D91E89"/>
    <w:rsid w:val="00D9217C"/>
    <w:rsid w:val="00D9221C"/>
    <w:rsid w:val="00D9230A"/>
    <w:rsid w:val="00D92589"/>
    <w:rsid w:val="00D926CA"/>
    <w:rsid w:val="00D926CE"/>
    <w:rsid w:val="00D92A76"/>
    <w:rsid w:val="00D92AFC"/>
    <w:rsid w:val="00D92B75"/>
    <w:rsid w:val="00D92C27"/>
    <w:rsid w:val="00D92E6C"/>
    <w:rsid w:val="00D92FAF"/>
    <w:rsid w:val="00D92FBF"/>
    <w:rsid w:val="00D931FF"/>
    <w:rsid w:val="00D934A2"/>
    <w:rsid w:val="00D937C9"/>
    <w:rsid w:val="00D93A79"/>
    <w:rsid w:val="00D93B25"/>
    <w:rsid w:val="00D93C31"/>
    <w:rsid w:val="00D93C36"/>
    <w:rsid w:val="00D93E7B"/>
    <w:rsid w:val="00D93EDD"/>
    <w:rsid w:val="00D93FDD"/>
    <w:rsid w:val="00D940B1"/>
    <w:rsid w:val="00D94134"/>
    <w:rsid w:val="00D9452A"/>
    <w:rsid w:val="00D94547"/>
    <w:rsid w:val="00D945F4"/>
    <w:rsid w:val="00D947D6"/>
    <w:rsid w:val="00D948EF"/>
    <w:rsid w:val="00D94999"/>
    <w:rsid w:val="00D9499D"/>
    <w:rsid w:val="00D94E9C"/>
    <w:rsid w:val="00D952EF"/>
    <w:rsid w:val="00D954D6"/>
    <w:rsid w:val="00D955F2"/>
    <w:rsid w:val="00D956D2"/>
    <w:rsid w:val="00D9598E"/>
    <w:rsid w:val="00D95B23"/>
    <w:rsid w:val="00D95B7D"/>
    <w:rsid w:val="00D95E63"/>
    <w:rsid w:val="00D95F78"/>
    <w:rsid w:val="00D95F89"/>
    <w:rsid w:val="00D962CE"/>
    <w:rsid w:val="00D963AE"/>
    <w:rsid w:val="00D964BA"/>
    <w:rsid w:val="00D964F8"/>
    <w:rsid w:val="00D96693"/>
    <w:rsid w:val="00D9690C"/>
    <w:rsid w:val="00D96E8D"/>
    <w:rsid w:val="00D96FC2"/>
    <w:rsid w:val="00D970A2"/>
    <w:rsid w:val="00D970C3"/>
    <w:rsid w:val="00D971D5"/>
    <w:rsid w:val="00D9725F"/>
    <w:rsid w:val="00D97292"/>
    <w:rsid w:val="00D972DF"/>
    <w:rsid w:val="00D97371"/>
    <w:rsid w:val="00D973D3"/>
    <w:rsid w:val="00D97507"/>
    <w:rsid w:val="00D9762B"/>
    <w:rsid w:val="00D976BC"/>
    <w:rsid w:val="00D97707"/>
    <w:rsid w:val="00D9785A"/>
    <w:rsid w:val="00D978F8"/>
    <w:rsid w:val="00D979F8"/>
    <w:rsid w:val="00DA002B"/>
    <w:rsid w:val="00DA006E"/>
    <w:rsid w:val="00DA006F"/>
    <w:rsid w:val="00DA01EE"/>
    <w:rsid w:val="00DA0314"/>
    <w:rsid w:val="00DA03F3"/>
    <w:rsid w:val="00DA06AC"/>
    <w:rsid w:val="00DA0A13"/>
    <w:rsid w:val="00DA0A78"/>
    <w:rsid w:val="00DA0B83"/>
    <w:rsid w:val="00DA0E68"/>
    <w:rsid w:val="00DA0F69"/>
    <w:rsid w:val="00DA0FD5"/>
    <w:rsid w:val="00DA1170"/>
    <w:rsid w:val="00DA1535"/>
    <w:rsid w:val="00DA1725"/>
    <w:rsid w:val="00DA185F"/>
    <w:rsid w:val="00DA18C5"/>
    <w:rsid w:val="00DA1A4D"/>
    <w:rsid w:val="00DA1AF2"/>
    <w:rsid w:val="00DA1BBF"/>
    <w:rsid w:val="00DA1C76"/>
    <w:rsid w:val="00DA1D8B"/>
    <w:rsid w:val="00DA1E5C"/>
    <w:rsid w:val="00DA1F68"/>
    <w:rsid w:val="00DA1FBB"/>
    <w:rsid w:val="00DA1FBD"/>
    <w:rsid w:val="00DA2238"/>
    <w:rsid w:val="00DA22AD"/>
    <w:rsid w:val="00DA23C7"/>
    <w:rsid w:val="00DA241C"/>
    <w:rsid w:val="00DA24E0"/>
    <w:rsid w:val="00DA25D9"/>
    <w:rsid w:val="00DA2726"/>
    <w:rsid w:val="00DA2740"/>
    <w:rsid w:val="00DA281D"/>
    <w:rsid w:val="00DA2847"/>
    <w:rsid w:val="00DA28DC"/>
    <w:rsid w:val="00DA2C78"/>
    <w:rsid w:val="00DA2DE9"/>
    <w:rsid w:val="00DA2EB7"/>
    <w:rsid w:val="00DA2EC3"/>
    <w:rsid w:val="00DA2EDE"/>
    <w:rsid w:val="00DA3113"/>
    <w:rsid w:val="00DA3189"/>
    <w:rsid w:val="00DA322F"/>
    <w:rsid w:val="00DA323E"/>
    <w:rsid w:val="00DA3260"/>
    <w:rsid w:val="00DA3270"/>
    <w:rsid w:val="00DA33BE"/>
    <w:rsid w:val="00DA34B6"/>
    <w:rsid w:val="00DA35DA"/>
    <w:rsid w:val="00DA3A50"/>
    <w:rsid w:val="00DA3E14"/>
    <w:rsid w:val="00DA4168"/>
    <w:rsid w:val="00DA426B"/>
    <w:rsid w:val="00DA4303"/>
    <w:rsid w:val="00DA43FE"/>
    <w:rsid w:val="00DA443E"/>
    <w:rsid w:val="00DA45E8"/>
    <w:rsid w:val="00DA4678"/>
    <w:rsid w:val="00DA4A9C"/>
    <w:rsid w:val="00DA4B8C"/>
    <w:rsid w:val="00DA4B9F"/>
    <w:rsid w:val="00DA4D1A"/>
    <w:rsid w:val="00DA4EB2"/>
    <w:rsid w:val="00DA4EB3"/>
    <w:rsid w:val="00DA5073"/>
    <w:rsid w:val="00DA5113"/>
    <w:rsid w:val="00DA5149"/>
    <w:rsid w:val="00DA51A2"/>
    <w:rsid w:val="00DA5200"/>
    <w:rsid w:val="00DA5367"/>
    <w:rsid w:val="00DA5634"/>
    <w:rsid w:val="00DA574A"/>
    <w:rsid w:val="00DA57DC"/>
    <w:rsid w:val="00DA5810"/>
    <w:rsid w:val="00DA588A"/>
    <w:rsid w:val="00DA595B"/>
    <w:rsid w:val="00DA5AA8"/>
    <w:rsid w:val="00DA5D0D"/>
    <w:rsid w:val="00DA6099"/>
    <w:rsid w:val="00DA62CC"/>
    <w:rsid w:val="00DA63F0"/>
    <w:rsid w:val="00DA644F"/>
    <w:rsid w:val="00DA6457"/>
    <w:rsid w:val="00DA64B5"/>
    <w:rsid w:val="00DA65BE"/>
    <w:rsid w:val="00DA6628"/>
    <w:rsid w:val="00DA675D"/>
    <w:rsid w:val="00DA6815"/>
    <w:rsid w:val="00DA69C4"/>
    <w:rsid w:val="00DA6A21"/>
    <w:rsid w:val="00DA6A6A"/>
    <w:rsid w:val="00DA6AE1"/>
    <w:rsid w:val="00DA6D17"/>
    <w:rsid w:val="00DA6DC8"/>
    <w:rsid w:val="00DA6DFA"/>
    <w:rsid w:val="00DA6F52"/>
    <w:rsid w:val="00DA70A1"/>
    <w:rsid w:val="00DA71E3"/>
    <w:rsid w:val="00DA725F"/>
    <w:rsid w:val="00DA733A"/>
    <w:rsid w:val="00DA75DD"/>
    <w:rsid w:val="00DA7738"/>
    <w:rsid w:val="00DA78B9"/>
    <w:rsid w:val="00DA78ED"/>
    <w:rsid w:val="00DA78F3"/>
    <w:rsid w:val="00DA7A01"/>
    <w:rsid w:val="00DA7BD4"/>
    <w:rsid w:val="00DB0080"/>
    <w:rsid w:val="00DB017B"/>
    <w:rsid w:val="00DB0358"/>
    <w:rsid w:val="00DB03D9"/>
    <w:rsid w:val="00DB03E9"/>
    <w:rsid w:val="00DB0400"/>
    <w:rsid w:val="00DB04FA"/>
    <w:rsid w:val="00DB0513"/>
    <w:rsid w:val="00DB0601"/>
    <w:rsid w:val="00DB0618"/>
    <w:rsid w:val="00DB0741"/>
    <w:rsid w:val="00DB07D3"/>
    <w:rsid w:val="00DB0800"/>
    <w:rsid w:val="00DB0892"/>
    <w:rsid w:val="00DB08BD"/>
    <w:rsid w:val="00DB0C9B"/>
    <w:rsid w:val="00DB0D1C"/>
    <w:rsid w:val="00DB0F21"/>
    <w:rsid w:val="00DB0FC9"/>
    <w:rsid w:val="00DB1061"/>
    <w:rsid w:val="00DB107E"/>
    <w:rsid w:val="00DB10AF"/>
    <w:rsid w:val="00DB1167"/>
    <w:rsid w:val="00DB1275"/>
    <w:rsid w:val="00DB1376"/>
    <w:rsid w:val="00DB144E"/>
    <w:rsid w:val="00DB16EC"/>
    <w:rsid w:val="00DB17BF"/>
    <w:rsid w:val="00DB1921"/>
    <w:rsid w:val="00DB1BD1"/>
    <w:rsid w:val="00DB1C20"/>
    <w:rsid w:val="00DB1E50"/>
    <w:rsid w:val="00DB1EAC"/>
    <w:rsid w:val="00DB1F14"/>
    <w:rsid w:val="00DB1FC7"/>
    <w:rsid w:val="00DB1FCE"/>
    <w:rsid w:val="00DB21A8"/>
    <w:rsid w:val="00DB2684"/>
    <w:rsid w:val="00DB28D6"/>
    <w:rsid w:val="00DB2A7E"/>
    <w:rsid w:val="00DB2BDC"/>
    <w:rsid w:val="00DB2C3D"/>
    <w:rsid w:val="00DB2CA2"/>
    <w:rsid w:val="00DB3027"/>
    <w:rsid w:val="00DB3142"/>
    <w:rsid w:val="00DB3244"/>
    <w:rsid w:val="00DB32C3"/>
    <w:rsid w:val="00DB32E2"/>
    <w:rsid w:val="00DB334F"/>
    <w:rsid w:val="00DB3480"/>
    <w:rsid w:val="00DB3518"/>
    <w:rsid w:val="00DB35FB"/>
    <w:rsid w:val="00DB37C3"/>
    <w:rsid w:val="00DB3828"/>
    <w:rsid w:val="00DB389A"/>
    <w:rsid w:val="00DB3A9D"/>
    <w:rsid w:val="00DB3B7C"/>
    <w:rsid w:val="00DB3C90"/>
    <w:rsid w:val="00DB3D6C"/>
    <w:rsid w:val="00DB3E8D"/>
    <w:rsid w:val="00DB3F50"/>
    <w:rsid w:val="00DB4125"/>
    <w:rsid w:val="00DB42BB"/>
    <w:rsid w:val="00DB4542"/>
    <w:rsid w:val="00DB4778"/>
    <w:rsid w:val="00DB47C1"/>
    <w:rsid w:val="00DB47CD"/>
    <w:rsid w:val="00DB4AE8"/>
    <w:rsid w:val="00DB4B36"/>
    <w:rsid w:val="00DB4B91"/>
    <w:rsid w:val="00DB4C4F"/>
    <w:rsid w:val="00DB4F9E"/>
    <w:rsid w:val="00DB5011"/>
    <w:rsid w:val="00DB514C"/>
    <w:rsid w:val="00DB5168"/>
    <w:rsid w:val="00DB52C3"/>
    <w:rsid w:val="00DB59EB"/>
    <w:rsid w:val="00DB5A2E"/>
    <w:rsid w:val="00DB5C72"/>
    <w:rsid w:val="00DB5D62"/>
    <w:rsid w:val="00DB5E34"/>
    <w:rsid w:val="00DB5E3E"/>
    <w:rsid w:val="00DB5F82"/>
    <w:rsid w:val="00DB5FB5"/>
    <w:rsid w:val="00DB5FEC"/>
    <w:rsid w:val="00DB6070"/>
    <w:rsid w:val="00DB617C"/>
    <w:rsid w:val="00DB6259"/>
    <w:rsid w:val="00DB62FA"/>
    <w:rsid w:val="00DB63DD"/>
    <w:rsid w:val="00DB6592"/>
    <w:rsid w:val="00DB664E"/>
    <w:rsid w:val="00DB674D"/>
    <w:rsid w:val="00DB67B9"/>
    <w:rsid w:val="00DB681E"/>
    <w:rsid w:val="00DB6989"/>
    <w:rsid w:val="00DB6D7D"/>
    <w:rsid w:val="00DB6F0B"/>
    <w:rsid w:val="00DB6F26"/>
    <w:rsid w:val="00DB7120"/>
    <w:rsid w:val="00DB71CA"/>
    <w:rsid w:val="00DB7336"/>
    <w:rsid w:val="00DB74C7"/>
    <w:rsid w:val="00DB764A"/>
    <w:rsid w:val="00DB771A"/>
    <w:rsid w:val="00DB7AD4"/>
    <w:rsid w:val="00DB7EB0"/>
    <w:rsid w:val="00DB9EB0"/>
    <w:rsid w:val="00DC011F"/>
    <w:rsid w:val="00DC01FB"/>
    <w:rsid w:val="00DC04D4"/>
    <w:rsid w:val="00DC06E4"/>
    <w:rsid w:val="00DC0851"/>
    <w:rsid w:val="00DC092A"/>
    <w:rsid w:val="00DC093D"/>
    <w:rsid w:val="00DC0A50"/>
    <w:rsid w:val="00DC0D2E"/>
    <w:rsid w:val="00DC0D95"/>
    <w:rsid w:val="00DC0E95"/>
    <w:rsid w:val="00DC105C"/>
    <w:rsid w:val="00DC127A"/>
    <w:rsid w:val="00DC1283"/>
    <w:rsid w:val="00DC1314"/>
    <w:rsid w:val="00DC13D1"/>
    <w:rsid w:val="00DC1424"/>
    <w:rsid w:val="00DC14C7"/>
    <w:rsid w:val="00DC1715"/>
    <w:rsid w:val="00DC1759"/>
    <w:rsid w:val="00DC176C"/>
    <w:rsid w:val="00DC185A"/>
    <w:rsid w:val="00DC1898"/>
    <w:rsid w:val="00DC18C0"/>
    <w:rsid w:val="00DC1989"/>
    <w:rsid w:val="00DC198D"/>
    <w:rsid w:val="00DC1C31"/>
    <w:rsid w:val="00DC2038"/>
    <w:rsid w:val="00DC21E4"/>
    <w:rsid w:val="00DC23B1"/>
    <w:rsid w:val="00DC25B8"/>
    <w:rsid w:val="00DC28D9"/>
    <w:rsid w:val="00DC2920"/>
    <w:rsid w:val="00DC2986"/>
    <w:rsid w:val="00DC2F86"/>
    <w:rsid w:val="00DC30C9"/>
    <w:rsid w:val="00DC310E"/>
    <w:rsid w:val="00DC3170"/>
    <w:rsid w:val="00DC3324"/>
    <w:rsid w:val="00DC354D"/>
    <w:rsid w:val="00DC35D8"/>
    <w:rsid w:val="00DC3967"/>
    <w:rsid w:val="00DC3A23"/>
    <w:rsid w:val="00DC3BAD"/>
    <w:rsid w:val="00DC3CA3"/>
    <w:rsid w:val="00DC3F9A"/>
    <w:rsid w:val="00DC416A"/>
    <w:rsid w:val="00DC41BB"/>
    <w:rsid w:val="00DC4508"/>
    <w:rsid w:val="00DC48BA"/>
    <w:rsid w:val="00DC4C3D"/>
    <w:rsid w:val="00DC4C8A"/>
    <w:rsid w:val="00DC4DE7"/>
    <w:rsid w:val="00DC513E"/>
    <w:rsid w:val="00DC519A"/>
    <w:rsid w:val="00DC544E"/>
    <w:rsid w:val="00DC5695"/>
    <w:rsid w:val="00DC56C3"/>
    <w:rsid w:val="00DC596D"/>
    <w:rsid w:val="00DC5A77"/>
    <w:rsid w:val="00DC5C13"/>
    <w:rsid w:val="00DC5CF5"/>
    <w:rsid w:val="00DC5D70"/>
    <w:rsid w:val="00DC5EA0"/>
    <w:rsid w:val="00DC5EB9"/>
    <w:rsid w:val="00DC5F62"/>
    <w:rsid w:val="00DC6028"/>
    <w:rsid w:val="00DC6128"/>
    <w:rsid w:val="00DC6321"/>
    <w:rsid w:val="00DC63DC"/>
    <w:rsid w:val="00DC63F4"/>
    <w:rsid w:val="00DC64BA"/>
    <w:rsid w:val="00DC67B9"/>
    <w:rsid w:val="00DC68F0"/>
    <w:rsid w:val="00DC6E17"/>
    <w:rsid w:val="00DC6E7C"/>
    <w:rsid w:val="00DC6EBC"/>
    <w:rsid w:val="00DC7035"/>
    <w:rsid w:val="00DC716D"/>
    <w:rsid w:val="00DC71CC"/>
    <w:rsid w:val="00DC7287"/>
    <w:rsid w:val="00DC73B2"/>
    <w:rsid w:val="00DC752E"/>
    <w:rsid w:val="00DC777D"/>
    <w:rsid w:val="00DC7947"/>
    <w:rsid w:val="00DC7A6D"/>
    <w:rsid w:val="00DC7AD8"/>
    <w:rsid w:val="00DC7CB2"/>
    <w:rsid w:val="00DC7DD0"/>
    <w:rsid w:val="00DC7E4F"/>
    <w:rsid w:val="00DC7F1D"/>
    <w:rsid w:val="00DC7F48"/>
    <w:rsid w:val="00DC7F85"/>
    <w:rsid w:val="00DC7F91"/>
    <w:rsid w:val="00DC7FC0"/>
    <w:rsid w:val="00DD00AB"/>
    <w:rsid w:val="00DD00E3"/>
    <w:rsid w:val="00DD044E"/>
    <w:rsid w:val="00DD0456"/>
    <w:rsid w:val="00DD0541"/>
    <w:rsid w:val="00DD058E"/>
    <w:rsid w:val="00DD0610"/>
    <w:rsid w:val="00DD061B"/>
    <w:rsid w:val="00DD0702"/>
    <w:rsid w:val="00DD0946"/>
    <w:rsid w:val="00DD09A1"/>
    <w:rsid w:val="00DD0A75"/>
    <w:rsid w:val="00DD0D6B"/>
    <w:rsid w:val="00DD0F35"/>
    <w:rsid w:val="00DD0F49"/>
    <w:rsid w:val="00DD1125"/>
    <w:rsid w:val="00DD1230"/>
    <w:rsid w:val="00DD125D"/>
    <w:rsid w:val="00DD143A"/>
    <w:rsid w:val="00DD14A8"/>
    <w:rsid w:val="00DD15C6"/>
    <w:rsid w:val="00DD16D0"/>
    <w:rsid w:val="00DD1794"/>
    <w:rsid w:val="00DD17D0"/>
    <w:rsid w:val="00DD18E2"/>
    <w:rsid w:val="00DD1A8C"/>
    <w:rsid w:val="00DD1BD5"/>
    <w:rsid w:val="00DD1C4B"/>
    <w:rsid w:val="00DD1CEF"/>
    <w:rsid w:val="00DD1E63"/>
    <w:rsid w:val="00DD1ED8"/>
    <w:rsid w:val="00DD21A9"/>
    <w:rsid w:val="00DD22F2"/>
    <w:rsid w:val="00DD22F9"/>
    <w:rsid w:val="00DD2352"/>
    <w:rsid w:val="00DD2702"/>
    <w:rsid w:val="00DD28B8"/>
    <w:rsid w:val="00DD2921"/>
    <w:rsid w:val="00DD2A3F"/>
    <w:rsid w:val="00DD2D6F"/>
    <w:rsid w:val="00DD2EE9"/>
    <w:rsid w:val="00DD2F0E"/>
    <w:rsid w:val="00DD3021"/>
    <w:rsid w:val="00DD30C8"/>
    <w:rsid w:val="00DD32A8"/>
    <w:rsid w:val="00DD32BD"/>
    <w:rsid w:val="00DD36E9"/>
    <w:rsid w:val="00DD36F3"/>
    <w:rsid w:val="00DD3787"/>
    <w:rsid w:val="00DD37BE"/>
    <w:rsid w:val="00DD3ACC"/>
    <w:rsid w:val="00DD3B44"/>
    <w:rsid w:val="00DD3BB3"/>
    <w:rsid w:val="00DD3CA5"/>
    <w:rsid w:val="00DD3D11"/>
    <w:rsid w:val="00DD3ED7"/>
    <w:rsid w:val="00DD406C"/>
    <w:rsid w:val="00DD41F0"/>
    <w:rsid w:val="00DD4280"/>
    <w:rsid w:val="00DD4392"/>
    <w:rsid w:val="00DD4416"/>
    <w:rsid w:val="00DD4568"/>
    <w:rsid w:val="00DD45A8"/>
    <w:rsid w:val="00DD460F"/>
    <w:rsid w:val="00DD4654"/>
    <w:rsid w:val="00DD466F"/>
    <w:rsid w:val="00DD4AD9"/>
    <w:rsid w:val="00DD4C45"/>
    <w:rsid w:val="00DD4CCB"/>
    <w:rsid w:val="00DD4D7E"/>
    <w:rsid w:val="00DD4DA5"/>
    <w:rsid w:val="00DD4DD6"/>
    <w:rsid w:val="00DD4FE4"/>
    <w:rsid w:val="00DD4FFF"/>
    <w:rsid w:val="00DD50C7"/>
    <w:rsid w:val="00DD5159"/>
    <w:rsid w:val="00DD51A6"/>
    <w:rsid w:val="00DD51FC"/>
    <w:rsid w:val="00DD5449"/>
    <w:rsid w:val="00DD5800"/>
    <w:rsid w:val="00DD5953"/>
    <w:rsid w:val="00DD5A22"/>
    <w:rsid w:val="00DD5C19"/>
    <w:rsid w:val="00DD5C1C"/>
    <w:rsid w:val="00DD5C68"/>
    <w:rsid w:val="00DD5C6D"/>
    <w:rsid w:val="00DD5CBC"/>
    <w:rsid w:val="00DD5CC8"/>
    <w:rsid w:val="00DD5D07"/>
    <w:rsid w:val="00DD5D81"/>
    <w:rsid w:val="00DD5E1E"/>
    <w:rsid w:val="00DD5E28"/>
    <w:rsid w:val="00DD5E87"/>
    <w:rsid w:val="00DD6113"/>
    <w:rsid w:val="00DD628B"/>
    <w:rsid w:val="00DD62E4"/>
    <w:rsid w:val="00DD630D"/>
    <w:rsid w:val="00DD64BB"/>
    <w:rsid w:val="00DD669B"/>
    <w:rsid w:val="00DD695F"/>
    <w:rsid w:val="00DD6A82"/>
    <w:rsid w:val="00DD6A9A"/>
    <w:rsid w:val="00DD6C61"/>
    <w:rsid w:val="00DD6D90"/>
    <w:rsid w:val="00DD6F4C"/>
    <w:rsid w:val="00DD6FF5"/>
    <w:rsid w:val="00DD71CD"/>
    <w:rsid w:val="00DD7240"/>
    <w:rsid w:val="00DD7485"/>
    <w:rsid w:val="00DD74C8"/>
    <w:rsid w:val="00DD7518"/>
    <w:rsid w:val="00DD75AF"/>
    <w:rsid w:val="00DD75B1"/>
    <w:rsid w:val="00DD7635"/>
    <w:rsid w:val="00DD78A4"/>
    <w:rsid w:val="00DD7AB0"/>
    <w:rsid w:val="00DD7B88"/>
    <w:rsid w:val="00DD7BB7"/>
    <w:rsid w:val="00DD7C68"/>
    <w:rsid w:val="00DD7C70"/>
    <w:rsid w:val="00DD7C79"/>
    <w:rsid w:val="00DD7D62"/>
    <w:rsid w:val="00DD7EBD"/>
    <w:rsid w:val="00DD7ED6"/>
    <w:rsid w:val="00DE0047"/>
    <w:rsid w:val="00DE0272"/>
    <w:rsid w:val="00DE034F"/>
    <w:rsid w:val="00DE03B3"/>
    <w:rsid w:val="00DE03FB"/>
    <w:rsid w:val="00DE040D"/>
    <w:rsid w:val="00DE0592"/>
    <w:rsid w:val="00DE05AE"/>
    <w:rsid w:val="00DE05BB"/>
    <w:rsid w:val="00DE05FB"/>
    <w:rsid w:val="00DE0794"/>
    <w:rsid w:val="00DE0AE5"/>
    <w:rsid w:val="00DE0BE9"/>
    <w:rsid w:val="00DE0C1B"/>
    <w:rsid w:val="00DE0D6E"/>
    <w:rsid w:val="00DE0E1C"/>
    <w:rsid w:val="00DE0EC3"/>
    <w:rsid w:val="00DE0FFE"/>
    <w:rsid w:val="00DE11E4"/>
    <w:rsid w:val="00DE11FC"/>
    <w:rsid w:val="00DE14DC"/>
    <w:rsid w:val="00DE1669"/>
    <w:rsid w:val="00DE19AA"/>
    <w:rsid w:val="00DE1D0B"/>
    <w:rsid w:val="00DE1FB7"/>
    <w:rsid w:val="00DE1FCF"/>
    <w:rsid w:val="00DE20CC"/>
    <w:rsid w:val="00DE21FD"/>
    <w:rsid w:val="00DE2417"/>
    <w:rsid w:val="00DE2518"/>
    <w:rsid w:val="00DE25A9"/>
    <w:rsid w:val="00DE2742"/>
    <w:rsid w:val="00DE278C"/>
    <w:rsid w:val="00DE2B97"/>
    <w:rsid w:val="00DE2C00"/>
    <w:rsid w:val="00DE2EAB"/>
    <w:rsid w:val="00DE3131"/>
    <w:rsid w:val="00DE31DA"/>
    <w:rsid w:val="00DE31E9"/>
    <w:rsid w:val="00DE3360"/>
    <w:rsid w:val="00DE34A0"/>
    <w:rsid w:val="00DE3543"/>
    <w:rsid w:val="00DE3778"/>
    <w:rsid w:val="00DE39E8"/>
    <w:rsid w:val="00DE3D46"/>
    <w:rsid w:val="00DE3D4F"/>
    <w:rsid w:val="00DE3EEF"/>
    <w:rsid w:val="00DE3F4B"/>
    <w:rsid w:val="00DE425A"/>
    <w:rsid w:val="00DE4267"/>
    <w:rsid w:val="00DE4336"/>
    <w:rsid w:val="00DE44F8"/>
    <w:rsid w:val="00DE450A"/>
    <w:rsid w:val="00DE47EF"/>
    <w:rsid w:val="00DE4BAD"/>
    <w:rsid w:val="00DE4C1D"/>
    <w:rsid w:val="00DE4F45"/>
    <w:rsid w:val="00DE5161"/>
    <w:rsid w:val="00DE5227"/>
    <w:rsid w:val="00DE52E8"/>
    <w:rsid w:val="00DE56DF"/>
    <w:rsid w:val="00DE5871"/>
    <w:rsid w:val="00DE59FB"/>
    <w:rsid w:val="00DE5B4A"/>
    <w:rsid w:val="00DE5B92"/>
    <w:rsid w:val="00DE5BBE"/>
    <w:rsid w:val="00DE5C8E"/>
    <w:rsid w:val="00DE5DCA"/>
    <w:rsid w:val="00DE5DE0"/>
    <w:rsid w:val="00DE5DF7"/>
    <w:rsid w:val="00DE62B7"/>
    <w:rsid w:val="00DE62DB"/>
    <w:rsid w:val="00DE6483"/>
    <w:rsid w:val="00DE64F1"/>
    <w:rsid w:val="00DE66F8"/>
    <w:rsid w:val="00DE69A1"/>
    <w:rsid w:val="00DE6B08"/>
    <w:rsid w:val="00DE6C26"/>
    <w:rsid w:val="00DE6D1D"/>
    <w:rsid w:val="00DE6E4C"/>
    <w:rsid w:val="00DE6F47"/>
    <w:rsid w:val="00DE71F3"/>
    <w:rsid w:val="00DE7241"/>
    <w:rsid w:val="00DE72A1"/>
    <w:rsid w:val="00DE73FF"/>
    <w:rsid w:val="00DE7455"/>
    <w:rsid w:val="00DE74DA"/>
    <w:rsid w:val="00DE7550"/>
    <w:rsid w:val="00DE761C"/>
    <w:rsid w:val="00DE7830"/>
    <w:rsid w:val="00DE789D"/>
    <w:rsid w:val="00DE7A75"/>
    <w:rsid w:val="00DE7BEF"/>
    <w:rsid w:val="00DE7C56"/>
    <w:rsid w:val="00DE7D94"/>
    <w:rsid w:val="00DE7E31"/>
    <w:rsid w:val="00DE7F58"/>
    <w:rsid w:val="00DE7F8C"/>
    <w:rsid w:val="00DF019F"/>
    <w:rsid w:val="00DF01C6"/>
    <w:rsid w:val="00DF02BE"/>
    <w:rsid w:val="00DF0652"/>
    <w:rsid w:val="00DF0677"/>
    <w:rsid w:val="00DF0768"/>
    <w:rsid w:val="00DF0B41"/>
    <w:rsid w:val="00DF0B4B"/>
    <w:rsid w:val="00DF0C2E"/>
    <w:rsid w:val="00DF0CBF"/>
    <w:rsid w:val="00DF0D6E"/>
    <w:rsid w:val="00DF0D7C"/>
    <w:rsid w:val="00DF0DD0"/>
    <w:rsid w:val="00DF0E59"/>
    <w:rsid w:val="00DF0E6C"/>
    <w:rsid w:val="00DF0EBB"/>
    <w:rsid w:val="00DF0FCA"/>
    <w:rsid w:val="00DF11B3"/>
    <w:rsid w:val="00DF1465"/>
    <w:rsid w:val="00DF16DB"/>
    <w:rsid w:val="00DF180A"/>
    <w:rsid w:val="00DF184E"/>
    <w:rsid w:val="00DF1B62"/>
    <w:rsid w:val="00DF1B80"/>
    <w:rsid w:val="00DF1BEC"/>
    <w:rsid w:val="00DF1CE9"/>
    <w:rsid w:val="00DF1D0E"/>
    <w:rsid w:val="00DF1D56"/>
    <w:rsid w:val="00DF1E03"/>
    <w:rsid w:val="00DF1F64"/>
    <w:rsid w:val="00DF1F7C"/>
    <w:rsid w:val="00DF20E1"/>
    <w:rsid w:val="00DF217C"/>
    <w:rsid w:val="00DF2558"/>
    <w:rsid w:val="00DF2561"/>
    <w:rsid w:val="00DF2782"/>
    <w:rsid w:val="00DF2843"/>
    <w:rsid w:val="00DF287C"/>
    <w:rsid w:val="00DF28F7"/>
    <w:rsid w:val="00DF29BD"/>
    <w:rsid w:val="00DF2B15"/>
    <w:rsid w:val="00DF2DB0"/>
    <w:rsid w:val="00DF2DB4"/>
    <w:rsid w:val="00DF32F6"/>
    <w:rsid w:val="00DF349F"/>
    <w:rsid w:val="00DF3536"/>
    <w:rsid w:val="00DF35E2"/>
    <w:rsid w:val="00DF3839"/>
    <w:rsid w:val="00DF38A5"/>
    <w:rsid w:val="00DF3971"/>
    <w:rsid w:val="00DF39A8"/>
    <w:rsid w:val="00DF3A43"/>
    <w:rsid w:val="00DF3B77"/>
    <w:rsid w:val="00DF3C58"/>
    <w:rsid w:val="00DF3CF5"/>
    <w:rsid w:val="00DF3CF9"/>
    <w:rsid w:val="00DF3E86"/>
    <w:rsid w:val="00DF3F3B"/>
    <w:rsid w:val="00DF408D"/>
    <w:rsid w:val="00DF40CF"/>
    <w:rsid w:val="00DF41B1"/>
    <w:rsid w:val="00DF4231"/>
    <w:rsid w:val="00DF428A"/>
    <w:rsid w:val="00DF42DF"/>
    <w:rsid w:val="00DF43BF"/>
    <w:rsid w:val="00DF44F0"/>
    <w:rsid w:val="00DF4505"/>
    <w:rsid w:val="00DF45A0"/>
    <w:rsid w:val="00DF45AC"/>
    <w:rsid w:val="00DF479A"/>
    <w:rsid w:val="00DF4A12"/>
    <w:rsid w:val="00DF4BC4"/>
    <w:rsid w:val="00DF4BC9"/>
    <w:rsid w:val="00DF4BE9"/>
    <w:rsid w:val="00DF4F80"/>
    <w:rsid w:val="00DF505F"/>
    <w:rsid w:val="00DF50B4"/>
    <w:rsid w:val="00DF52D6"/>
    <w:rsid w:val="00DF56B0"/>
    <w:rsid w:val="00DF5841"/>
    <w:rsid w:val="00DF5882"/>
    <w:rsid w:val="00DF58EC"/>
    <w:rsid w:val="00DF5A85"/>
    <w:rsid w:val="00DF5B5A"/>
    <w:rsid w:val="00DF5C9A"/>
    <w:rsid w:val="00DF5D47"/>
    <w:rsid w:val="00DF5D7D"/>
    <w:rsid w:val="00DF5D87"/>
    <w:rsid w:val="00DF5E0B"/>
    <w:rsid w:val="00DF5EDB"/>
    <w:rsid w:val="00DF6058"/>
    <w:rsid w:val="00DF610C"/>
    <w:rsid w:val="00DF611B"/>
    <w:rsid w:val="00DF62A2"/>
    <w:rsid w:val="00DF64C9"/>
    <w:rsid w:val="00DF65F1"/>
    <w:rsid w:val="00DF68D2"/>
    <w:rsid w:val="00DF6AC8"/>
    <w:rsid w:val="00DF6B55"/>
    <w:rsid w:val="00DF6B5B"/>
    <w:rsid w:val="00DF6B72"/>
    <w:rsid w:val="00DF6BF2"/>
    <w:rsid w:val="00DF6CE6"/>
    <w:rsid w:val="00DF6DDD"/>
    <w:rsid w:val="00DF6EF4"/>
    <w:rsid w:val="00DF6F38"/>
    <w:rsid w:val="00DF7004"/>
    <w:rsid w:val="00DF730B"/>
    <w:rsid w:val="00DF7679"/>
    <w:rsid w:val="00DF7C8B"/>
    <w:rsid w:val="00DF7CC6"/>
    <w:rsid w:val="00DF7CF8"/>
    <w:rsid w:val="00DF7E0F"/>
    <w:rsid w:val="00E00243"/>
    <w:rsid w:val="00E00244"/>
    <w:rsid w:val="00E00312"/>
    <w:rsid w:val="00E004CA"/>
    <w:rsid w:val="00E0055A"/>
    <w:rsid w:val="00E00D0A"/>
    <w:rsid w:val="00E00D56"/>
    <w:rsid w:val="00E00DEF"/>
    <w:rsid w:val="00E00DFA"/>
    <w:rsid w:val="00E00E47"/>
    <w:rsid w:val="00E00EFB"/>
    <w:rsid w:val="00E0110D"/>
    <w:rsid w:val="00E011D7"/>
    <w:rsid w:val="00E011D8"/>
    <w:rsid w:val="00E01330"/>
    <w:rsid w:val="00E01337"/>
    <w:rsid w:val="00E01728"/>
    <w:rsid w:val="00E01786"/>
    <w:rsid w:val="00E018C7"/>
    <w:rsid w:val="00E019F7"/>
    <w:rsid w:val="00E01B4B"/>
    <w:rsid w:val="00E01C0B"/>
    <w:rsid w:val="00E01C99"/>
    <w:rsid w:val="00E01D6D"/>
    <w:rsid w:val="00E01F33"/>
    <w:rsid w:val="00E01FA2"/>
    <w:rsid w:val="00E02234"/>
    <w:rsid w:val="00E022FA"/>
    <w:rsid w:val="00E02326"/>
    <w:rsid w:val="00E02497"/>
    <w:rsid w:val="00E024F0"/>
    <w:rsid w:val="00E02661"/>
    <w:rsid w:val="00E026E5"/>
    <w:rsid w:val="00E029E9"/>
    <w:rsid w:val="00E029FC"/>
    <w:rsid w:val="00E02BCD"/>
    <w:rsid w:val="00E02C0F"/>
    <w:rsid w:val="00E02C77"/>
    <w:rsid w:val="00E02CE6"/>
    <w:rsid w:val="00E02F8B"/>
    <w:rsid w:val="00E030CC"/>
    <w:rsid w:val="00E03328"/>
    <w:rsid w:val="00E0343E"/>
    <w:rsid w:val="00E0349C"/>
    <w:rsid w:val="00E0351E"/>
    <w:rsid w:val="00E0356B"/>
    <w:rsid w:val="00E035B3"/>
    <w:rsid w:val="00E035FD"/>
    <w:rsid w:val="00E037CC"/>
    <w:rsid w:val="00E0383A"/>
    <w:rsid w:val="00E038AA"/>
    <w:rsid w:val="00E038C0"/>
    <w:rsid w:val="00E03A24"/>
    <w:rsid w:val="00E03C17"/>
    <w:rsid w:val="00E03C3F"/>
    <w:rsid w:val="00E03D07"/>
    <w:rsid w:val="00E03E4A"/>
    <w:rsid w:val="00E03E8C"/>
    <w:rsid w:val="00E04000"/>
    <w:rsid w:val="00E04093"/>
    <w:rsid w:val="00E04186"/>
    <w:rsid w:val="00E041E8"/>
    <w:rsid w:val="00E041FB"/>
    <w:rsid w:val="00E0459B"/>
    <w:rsid w:val="00E04669"/>
    <w:rsid w:val="00E04B23"/>
    <w:rsid w:val="00E04C0E"/>
    <w:rsid w:val="00E04E89"/>
    <w:rsid w:val="00E04E8B"/>
    <w:rsid w:val="00E04F69"/>
    <w:rsid w:val="00E05272"/>
    <w:rsid w:val="00E0533D"/>
    <w:rsid w:val="00E0535A"/>
    <w:rsid w:val="00E053F1"/>
    <w:rsid w:val="00E05483"/>
    <w:rsid w:val="00E0574F"/>
    <w:rsid w:val="00E05A28"/>
    <w:rsid w:val="00E05AC5"/>
    <w:rsid w:val="00E05BC1"/>
    <w:rsid w:val="00E05C55"/>
    <w:rsid w:val="00E05EDD"/>
    <w:rsid w:val="00E05FE0"/>
    <w:rsid w:val="00E0605D"/>
    <w:rsid w:val="00E0616A"/>
    <w:rsid w:val="00E062FE"/>
    <w:rsid w:val="00E06319"/>
    <w:rsid w:val="00E06583"/>
    <w:rsid w:val="00E066A8"/>
    <w:rsid w:val="00E066EF"/>
    <w:rsid w:val="00E069AA"/>
    <w:rsid w:val="00E06A03"/>
    <w:rsid w:val="00E06B02"/>
    <w:rsid w:val="00E06BA7"/>
    <w:rsid w:val="00E06CFA"/>
    <w:rsid w:val="00E06FA2"/>
    <w:rsid w:val="00E070C2"/>
    <w:rsid w:val="00E07120"/>
    <w:rsid w:val="00E07150"/>
    <w:rsid w:val="00E0733B"/>
    <w:rsid w:val="00E07407"/>
    <w:rsid w:val="00E07601"/>
    <w:rsid w:val="00E079D4"/>
    <w:rsid w:val="00E07A41"/>
    <w:rsid w:val="00E07BBC"/>
    <w:rsid w:val="00E07C5E"/>
    <w:rsid w:val="00E07C7E"/>
    <w:rsid w:val="00E07E0C"/>
    <w:rsid w:val="00E100BC"/>
    <w:rsid w:val="00E101AF"/>
    <w:rsid w:val="00E10306"/>
    <w:rsid w:val="00E10559"/>
    <w:rsid w:val="00E1062A"/>
    <w:rsid w:val="00E10635"/>
    <w:rsid w:val="00E10670"/>
    <w:rsid w:val="00E1068B"/>
    <w:rsid w:val="00E106BD"/>
    <w:rsid w:val="00E108D1"/>
    <w:rsid w:val="00E10935"/>
    <w:rsid w:val="00E10A0B"/>
    <w:rsid w:val="00E10C3E"/>
    <w:rsid w:val="00E10D1E"/>
    <w:rsid w:val="00E10EC9"/>
    <w:rsid w:val="00E10F1A"/>
    <w:rsid w:val="00E110FA"/>
    <w:rsid w:val="00E11262"/>
    <w:rsid w:val="00E113C6"/>
    <w:rsid w:val="00E11436"/>
    <w:rsid w:val="00E11500"/>
    <w:rsid w:val="00E11530"/>
    <w:rsid w:val="00E1160D"/>
    <w:rsid w:val="00E118C0"/>
    <w:rsid w:val="00E118CE"/>
    <w:rsid w:val="00E118ED"/>
    <w:rsid w:val="00E11A59"/>
    <w:rsid w:val="00E11AF8"/>
    <w:rsid w:val="00E11B55"/>
    <w:rsid w:val="00E11EA3"/>
    <w:rsid w:val="00E11F24"/>
    <w:rsid w:val="00E11FE9"/>
    <w:rsid w:val="00E1207A"/>
    <w:rsid w:val="00E120B6"/>
    <w:rsid w:val="00E12112"/>
    <w:rsid w:val="00E1214A"/>
    <w:rsid w:val="00E12289"/>
    <w:rsid w:val="00E122AF"/>
    <w:rsid w:val="00E12613"/>
    <w:rsid w:val="00E1278D"/>
    <w:rsid w:val="00E12829"/>
    <w:rsid w:val="00E12998"/>
    <w:rsid w:val="00E1299A"/>
    <w:rsid w:val="00E129BB"/>
    <w:rsid w:val="00E129D0"/>
    <w:rsid w:val="00E12B5F"/>
    <w:rsid w:val="00E12C88"/>
    <w:rsid w:val="00E12CED"/>
    <w:rsid w:val="00E12D85"/>
    <w:rsid w:val="00E12EE8"/>
    <w:rsid w:val="00E13005"/>
    <w:rsid w:val="00E13021"/>
    <w:rsid w:val="00E1316E"/>
    <w:rsid w:val="00E132D1"/>
    <w:rsid w:val="00E13328"/>
    <w:rsid w:val="00E133B8"/>
    <w:rsid w:val="00E13415"/>
    <w:rsid w:val="00E13495"/>
    <w:rsid w:val="00E135D8"/>
    <w:rsid w:val="00E13878"/>
    <w:rsid w:val="00E13B8F"/>
    <w:rsid w:val="00E13BE8"/>
    <w:rsid w:val="00E13E2C"/>
    <w:rsid w:val="00E13E3A"/>
    <w:rsid w:val="00E13E90"/>
    <w:rsid w:val="00E14004"/>
    <w:rsid w:val="00E143E9"/>
    <w:rsid w:val="00E145E0"/>
    <w:rsid w:val="00E147DB"/>
    <w:rsid w:val="00E14989"/>
    <w:rsid w:val="00E14B45"/>
    <w:rsid w:val="00E14BFF"/>
    <w:rsid w:val="00E14C4C"/>
    <w:rsid w:val="00E14C8C"/>
    <w:rsid w:val="00E15017"/>
    <w:rsid w:val="00E1526C"/>
    <w:rsid w:val="00E1546E"/>
    <w:rsid w:val="00E154AF"/>
    <w:rsid w:val="00E15623"/>
    <w:rsid w:val="00E15627"/>
    <w:rsid w:val="00E15A13"/>
    <w:rsid w:val="00E15A7B"/>
    <w:rsid w:val="00E15D40"/>
    <w:rsid w:val="00E15DA1"/>
    <w:rsid w:val="00E15F1B"/>
    <w:rsid w:val="00E1607B"/>
    <w:rsid w:val="00E1623B"/>
    <w:rsid w:val="00E162E9"/>
    <w:rsid w:val="00E16353"/>
    <w:rsid w:val="00E163A2"/>
    <w:rsid w:val="00E163E2"/>
    <w:rsid w:val="00E1647D"/>
    <w:rsid w:val="00E1657D"/>
    <w:rsid w:val="00E16628"/>
    <w:rsid w:val="00E16734"/>
    <w:rsid w:val="00E167FA"/>
    <w:rsid w:val="00E16845"/>
    <w:rsid w:val="00E16918"/>
    <w:rsid w:val="00E1692E"/>
    <w:rsid w:val="00E16993"/>
    <w:rsid w:val="00E16A6F"/>
    <w:rsid w:val="00E16B09"/>
    <w:rsid w:val="00E16B58"/>
    <w:rsid w:val="00E16C03"/>
    <w:rsid w:val="00E16D82"/>
    <w:rsid w:val="00E16DAA"/>
    <w:rsid w:val="00E16E9D"/>
    <w:rsid w:val="00E16EB5"/>
    <w:rsid w:val="00E16F22"/>
    <w:rsid w:val="00E170B2"/>
    <w:rsid w:val="00E17135"/>
    <w:rsid w:val="00E17156"/>
    <w:rsid w:val="00E17419"/>
    <w:rsid w:val="00E17523"/>
    <w:rsid w:val="00E1777B"/>
    <w:rsid w:val="00E17851"/>
    <w:rsid w:val="00E17913"/>
    <w:rsid w:val="00E17AC8"/>
    <w:rsid w:val="00E17C0D"/>
    <w:rsid w:val="00E17D73"/>
    <w:rsid w:val="00E17DC1"/>
    <w:rsid w:val="00E17DCD"/>
    <w:rsid w:val="00E17F15"/>
    <w:rsid w:val="00E17F72"/>
    <w:rsid w:val="00E200A8"/>
    <w:rsid w:val="00E20102"/>
    <w:rsid w:val="00E202E6"/>
    <w:rsid w:val="00E202FE"/>
    <w:rsid w:val="00E2043A"/>
    <w:rsid w:val="00E2048A"/>
    <w:rsid w:val="00E20579"/>
    <w:rsid w:val="00E20624"/>
    <w:rsid w:val="00E20793"/>
    <w:rsid w:val="00E20862"/>
    <w:rsid w:val="00E20871"/>
    <w:rsid w:val="00E20A51"/>
    <w:rsid w:val="00E20A75"/>
    <w:rsid w:val="00E20B39"/>
    <w:rsid w:val="00E20C09"/>
    <w:rsid w:val="00E20C85"/>
    <w:rsid w:val="00E20FD4"/>
    <w:rsid w:val="00E20FF7"/>
    <w:rsid w:val="00E21170"/>
    <w:rsid w:val="00E21308"/>
    <w:rsid w:val="00E213A7"/>
    <w:rsid w:val="00E216E4"/>
    <w:rsid w:val="00E2183A"/>
    <w:rsid w:val="00E21A28"/>
    <w:rsid w:val="00E21C1B"/>
    <w:rsid w:val="00E21D4F"/>
    <w:rsid w:val="00E21E55"/>
    <w:rsid w:val="00E21E62"/>
    <w:rsid w:val="00E21E98"/>
    <w:rsid w:val="00E21EB6"/>
    <w:rsid w:val="00E21F2B"/>
    <w:rsid w:val="00E21F57"/>
    <w:rsid w:val="00E22348"/>
    <w:rsid w:val="00E2248C"/>
    <w:rsid w:val="00E224E1"/>
    <w:rsid w:val="00E22731"/>
    <w:rsid w:val="00E22859"/>
    <w:rsid w:val="00E2293C"/>
    <w:rsid w:val="00E22AD7"/>
    <w:rsid w:val="00E22C14"/>
    <w:rsid w:val="00E22C6A"/>
    <w:rsid w:val="00E22C73"/>
    <w:rsid w:val="00E22CA1"/>
    <w:rsid w:val="00E22CC1"/>
    <w:rsid w:val="00E22E92"/>
    <w:rsid w:val="00E23188"/>
    <w:rsid w:val="00E23479"/>
    <w:rsid w:val="00E2353D"/>
    <w:rsid w:val="00E2375F"/>
    <w:rsid w:val="00E23774"/>
    <w:rsid w:val="00E237C6"/>
    <w:rsid w:val="00E2381C"/>
    <w:rsid w:val="00E23829"/>
    <w:rsid w:val="00E2385B"/>
    <w:rsid w:val="00E23B06"/>
    <w:rsid w:val="00E23C63"/>
    <w:rsid w:val="00E23FD2"/>
    <w:rsid w:val="00E2422A"/>
    <w:rsid w:val="00E245C6"/>
    <w:rsid w:val="00E245F2"/>
    <w:rsid w:val="00E24764"/>
    <w:rsid w:val="00E248C2"/>
    <w:rsid w:val="00E24905"/>
    <w:rsid w:val="00E2497F"/>
    <w:rsid w:val="00E24D0B"/>
    <w:rsid w:val="00E24D5B"/>
    <w:rsid w:val="00E25018"/>
    <w:rsid w:val="00E2505F"/>
    <w:rsid w:val="00E253F7"/>
    <w:rsid w:val="00E2541C"/>
    <w:rsid w:val="00E25487"/>
    <w:rsid w:val="00E254C7"/>
    <w:rsid w:val="00E256D7"/>
    <w:rsid w:val="00E25B34"/>
    <w:rsid w:val="00E25DC2"/>
    <w:rsid w:val="00E25E5F"/>
    <w:rsid w:val="00E25E8F"/>
    <w:rsid w:val="00E25EBA"/>
    <w:rsid w:val="00E25EEB"/>
    <w:rsid w:val="00E26036"/>
    <w:rsid w:val="00E26070"/>
    <w:rsid w:val="00E260A3"/>
    <w:rsid w:val="00E260D5"/>
    <w:rsid w:val="00E260F2"/>
    <w:rsid w:val="00E2613C"/>
    <w:rsid w:val="00E262B2"/>
    <w:rsid w:val="00E2631C"/>
    <w:rsid w:val="00E2643D"/>
    <w:rsid w:val="00E2676F"/>
    <w:rsid w:val="00E2689F"/>
    <w:rsid w:val="00E26B09"/>
    <w:rsid w:val="00E26B48"/>
    <w:rsid w:val="00E26E33"/>
    <w:rsid w:val="00E26F39"/>
    <w:rsid w:val="00E27021"/>
    <w:rsid w:val="00E27239"/>
    <w:rsid w:val="00E2753B"/>
    <w:rsid w:val="00E2759C"/>
    <w:rsid w:val="00E275BF"/>
    <w:rsid w:val="00E27E5C"/>
    <w:rsid w:val="00E27EA0"/>
    <w:rsid w:val="00E27EE2"/>
    <w:rsid w:val="00E27F9A"/>
    <w:rsid w:val="00E3001F"/>
    <w:rsid w:val="00E3030F"/>
    <w:rsid w:val="00E30395"/>
    <w:rsid w:val="00E304F9"/>
    <w:rsid w:val="00E3051F"/>
    <w:rsid w:val="00E3058F"/>
    <w:rsid w:val="00E30647"/>
    <w:rsid w:val="00E30723"/>
    <w:rsid w:val="00E3090A"/>
    <w:rsid w:val="00E30B1B"/>
    <w:rsid w:val="00E30C93"/>
    <w:rsid w:val="00E30CCE"/>
    <w:rsid w:val="00E30D13"/>
    <w:rsid w:val="00E30D40"/>
    <w:rsid w:val="00E30D9E"/>
    <w:rsid w:val="00E30EFC"/>
    <w:rsid w:val="00E310FC"/>
    <w:rsid w:val="00E31329"/>
    <w:rsid w:val="00E31570"/>
    <w:rsid w:val="00E31578"/>
    <w:rsid w:val="00E3161E"/>
    <w:rsid w:val="00E3196F"/>
    <w:rsid w:val="00E31C34"/>
    <w:rsid w:val="00E31CE0"/>
    <w:rsid w:val="00E31D7F"/>
    <w:rsid w:val="00E31E1D"/>
    <w:rsid w:val="00E31ECD"/>
    <w:rsid w:val="00E31FFC"/>
    <w:rsid w:val="00E3208D"/>
    <w:rsid w:val="00E320BB"/>
    <w:rsid w:val="00E32200"/>
    <w:rsid w:val="00E3221E"/>
    <w:rsid w:val="00E32231"/>
    <w:rsid w:val="00E323DC"/>
    <w:rsid w:val="00E325B6"/>
    <w:rsid w:val="00E329EA"/>
    <w:rsid w:val="00E32C0D"/>
    <w:rsid w:val="00E32CB5"/>
    <w:rsid w:val="00E32D77"/>
    <w:rsid w:val="00E32DC6"/>
    <w:rsid w:val="00E32FFF"/>
    <w:rsid w:val="00E330CE"/>
    <w:rsid w:val="00E330DA"/>
    <w:rsid w:val="00E33173"/>
    <w:rsid w:val="00E333F8"/>
    <w:rsid w:val="00E334A5"/>
    <w:rsid w:val="00E33674"/>
    <w:rsid w:val="00E3384F"/>
    <w:rsid w:val="00E3387D"/>
    <w:rsid w:val="00E33990"/>
    <w:rsid w:val="00E33A52"/>
    <w:rsid w:val="00E33C29"/>
    <w:rsid w:val="00E3412E"/>
    <w:rsid w:val="00E3416A"/>
    <w:rsid w:val="00E342F2"/>
    <w:rsid w:val="00E34388"/>
    <w:rsid w:val="00E34560"/>
    <w:rsid w:val="00E3485D"/>
    <w:rsid w:val="00E34A49"/>
    <w:rsid w:val="00E34CF2"/>
    <w:rsid w:val="00E34DA5"/>
    <w:rsid w:val="00E34DE4"/>
    <w:rsid w:val="00E34DE5"/>
    <w:rsid w:val="00E35277"/>
    <w:rsid w:val="00E35448"/>
    <w:rsid w:val="00E3545A"/>
    <w:rsid w:val="00E3562D"/>
    <w:rsid w:val="00E356AE"/>
    <w:rsid w:val="00E356F5"/>
    <w:rsid w:val="00E35818"/>
    <w:rsid w:val="00E358A7"/>
    <w:rsid w:val="00E358BE"/>
    <w:rsid w:val="00E35918"/>
    <w:rsid w:val="00E35922"/>
    <w:rsid w:val="00E35C0D"/>
    <w:rsid w:val="00E35CF4"/>
    <w:rsid w:val="00E35F63"/>
    <w:rsid w:val="00E3604A"/>
    <w:rsid w:val="00E3604F"/>
    <w:rsid w:val="00E363A7"/>
    <w:rsid w:val="00E36424"/>
    <w:rsid w:val="00E36590"/>
    <w:rsid w:val="00E366BD"/>
    <w:rsid w:val="00E367E3"/>
    <w:rsid w:val="00E36B22"/>
    <w:rsid w:val="00E36B3B"/>
    <w:rsid w:val="00E36CCB"/>
    <w:rsid w:val="00E36EDD"/>
    <w:rsid w:val="00E36EFD"/>
    <w:rsid w:val="00E36EFF"/>
    <w:rsid w:val="00E36FF4"/>
    <w:rsid w:val="00E37256"/>
    <w:rsid w:val="00E372CB"/>
    <w:rsid w:val="00E37371"/>
    <w:rsid w:val="00E37567"/>
    <w:rsid w:val="00E37719"/>
    <w:rsid w:val="00E377BB"/>
    <w:rsid w:val="00E37891"/>
    <w:rsid w:val="00E378F5"/>
    <w:rsid w:val="00E37927"/>
    <w:rsid w:val="00E37C4A"/>
    <w:rsid w:val="00E37F18"/>
    <w:rsid w:val="00E37F5A"/>
    <w:rsid w:val="00E40175"/>
    <w:rsid w:val="00E404A2"/>
    <w:rsid w:val="00E4053D"/>
    <w:rsid w:val="00E405B2"/>
    <w:rsid w:val="00E409BF"/>
    <w:rsid w:val="00E40C07"/>
    <w:rsid w:val="00E40DD8"/>
    <w:rsid w:val="00E410D1"/>
    <w:rsid w:val="00E41162"/>
    <w:rsid w:val="00E411F7"/>
    <w:rsid w:val="00E412B2"/>
    <w:rsid w:val="00E412DA"/>
    <w:rsid w:val="00E418DB"/>
    <w:rsid w:val="00E419AA"/>
    <w:rsid w:val="00E42164"/>
    <w:rsid w:val="00E422F8"/>
    <w:rsid w:val="00E42316"/>
    <w:rsid w:val="00E4239B"/>
    <w:rsid w:val="00E423B3"/>
    <w:rsid w:val="00E4242E"/>
    <w:rsid w:val="00E42461"/>
    <w:rsid w:val="00E425AC"/>
    <w:rsid w:val="00E4275D"/>
    <w:rsid w:val="00E4288B"/>
    <w:rsid w:val="00E42920"/>
    <w:rsid w:val="00E4297E"/>
    <w:rsid w:val="00E429E5"/>
    <w:rsid w:val="00E42A69"/>
    <w:rsid w:val="00E42AD8"/>
    <w:rsid w:val="00E42B3E"/>
    <w:rsid w:val="00E42B7F"/>
    <w:rsid w:val="00E42C05"/>
    <w:rsid w:val="00E42C19"/>
    <w:rsid w:val="00E42D9F"/>
    <w:rsid w:val="00E42E1F"/>
    <w:rsid w:val="00E42F58"/>
    <w:rsid w:val="00E431AC"/>
    <w:rsid w:val="00E43203"/>
    <w:rsid w:val="00E4381C"/>
    <w:rsid w:val="00E43894"/>
    <w:rsid w:val="00E438D9"/>
    <w:rsid w:val="00E43906"/>
    <w:rsid w:val="00E4399A"/>
    <w:rsid w:val="00E439A0"/>
    <w:rsid w:val="00E43A4D"/>
    <w:rsid w:val="00E43B09"/>
    <w:rsid w:val="00E43C20"/>
    <w:rsid w:val="00E43C36"/>
    <w:rsid w:val="00E43C42"/>
    <w:rsid w:val="00E43CB0"/>
    <w:rsid w:val="00E43D3C"/>
    <w:rsid w:val="00E43D69"/>
    <w:rsid w:val="00E441B9"/>
    <w:rsid w:val="00E445DC"/>
    <w:rsid w:val="00E445FC"/>
    <w:rsid w:val="00E44761"/>
    <w:rsid w:val="00E44835"/>
    <w:rsid w:val="00E448A8"/>
    <w:rsid w:val="00E44CAF"/>
    <w:rsid w:val="00E44EF3"/>
    <w:rsid w:val="00E4508A"/>
    <w:rsid w:val="00E45099"/>
    <w:rsid w:val="00E4516C"/>
    <w:rsid w:val="00E451C6"/>
    <w:rsid w:val="00E451FC"/>
    <w:rsid w:val="00E45271"/>
    <w:rsid w:val="00E4527F"/>
    <w:rsid w:val="00E452FD"/>
    <w:rsid w:val="00E453FD"/>
    <w:rsid w:val="00E4548E"/>
    <w:rsid w:val="00E454B0"/>
    <w:rsid w:val="00E45559"/>
    <w:rsid w:val="00E45592"/>
    <w:rsid w:val="00E456A3"/>
    <w:rsid w:val="00E456C0"/>
    <w:rsid w:val="00E45760"/>
    <w:rsid w:val="00E458AF"/>
    <w:rsid w:val="00E458BD"/>
    <w:rsid w:val="00E459BF"/>
    <w:rsid w:val="00E45EA0"/>
    <w:rsid w:val="00E45FD4"/>
    <w:rsid w:val="00E4609A"/>
    <w:rsid w:val="00E462E5"/>
    <w:rsid w:val="00E46350"/>
    <w:rsid w:val="00E46716"/>
    <w:rsid w:val="00E4674F"/>
    <w:rsid w:val="00E467B4"/>
    <w:rsid w:val="00E4684F"/>
    <w:rsid w:val="00E46B99"/>
    <w:rsid w:val="00E46BE1"/>
    <w:rsid w:val="00E46CF9"/>
    <w:rsid w:val="00E46D49"/>
    <w:rsid w:val="00E46E15"/>
    <w:rsid w:val="00E46EDA"/>
    <w:rsid w:val="00E46F51"/>
    <w:rsid w:val="00E471DC"/>
    <w:rsid w:val="00E47C02"/>
    <w:rsid w:val="00E47C0B"/>
    <w:rsid w:val="00E47DE3"/>
    <w:rsid w:val="00E50310"/>
    <w:rsid w:val="00E5041D"/>
    <w:rsid w:val="00E5051B"/>
    <w:rsid w:val="00E5055D"/>
    <w:rsid w:val="00E5056F"/>
    <w:rsid w:val="00E50678"/>
    <w:rsid w:val="00E506EC"/>
    <w:rsid w:val="00E50717"/>
    <w:rsid w:val="00E50795"/>
    <w:rsid w:val="00E507DB"/>
    <w:rsid w:val="00E5080D"/>
    <w:rsid w:val="00E50838"/>
    <w:rsid w:val="00E50877"/>
    <w:rsid w:val="00E508EF"/>
    <w:rsid w:val="00E50927"/>
    <w:rsid w:val="00E50ABE"/>
    <w:rsid w:val="00E50B42"/>
    <w:rsid w:val="00E50C36"/>
    <w:rsid w:val="00E50EF5"/>
    <w:rsid w:val="00E50FC2"/>
    <w:rsid w:val="00E510AD"/>
    <w:rsid w:val="00E51135"/>
    <w:rsid w:val="00E51256"/>
    <w:rsid w:val="00E513B8"/>
    <w:rsid w:val="00E51489"/>
    <w:rsid w:val="00E51544"/>
    <w:rsid w:val="00E5191B"/>
    <w:rsid w:val="00E51955"/>
    <w:rsid w:val="00E51AC3"/>
    <w:rsid w:val="00E51B11"/>
    <w:rsid w:val="00E51F35"/>
    <w:rsid w:val="00E52154"/>
    <w:rsid w:val="00E52454"/>
    <w:rsid w:val="00E525DA"/>
    <w:rsid w:val="00E52809"/>
    <w:rsid w:val="00E52983"/>
    <w:rsid w:val="00E52AD9"/>
    <w:rsid w:val="00E52AEC"/>
    <w:rsid w:val="00E52AF7"/>
    <w:rsid w:val="00E52B3D"/>
    <w:rsid w:val="00E52D05"/>
    <w:rsid w:val="00E52D8E"/>
    <w:rsid w:val="00E52FD5"/>
    <w:rsid w:val="00E531B8"/>
    <w:rsid w:val="00E531FC"/>
    <w:rsid w:val="00E53247"/>
    <w:rsid w:val="00E53309"/>
    <w:rsid w:val="00E536CB"/>
    <w:rsid w:val="00E5376E"/>
    <w:rsid w:val="00E53A05"/>
    <w:rsid w:val="00E53A7E"/>
    <w:rsid w:val="00E53B64"/>
    <w:rsid w:val="00E53F45"/>
    <w:rsid w:val="00E53F8B"/>
    <w:rsid w:val="00E541FB"/>
    <w:rsid w:val="00E542C1"/>
    <w:rsid w:val="00E5430B"/>
    <w:rsid w:val="00E54342"/>
    <w:rsid w:val="00E543A6"/>
    <w:rsid w:val="00E54424"/>
    <w:rsid w:val="00E5454A"/>
    <w:rsid w:val="00E5482B"/>
    <w:rsid w:val="00E5498B"/>
    <w:rsid w:val="00E54A95"/>
    <w:rsid w:val="00E54BE8"/>
    <w:rsid w:val="00E54C0B"/>
    <w:rsid w:val="00E54D2D"/>
    <w:rsid w:val="00E54F36"/>
    <w:rsid w:val="00E54FF5"/>
    <w:rsid w:val="00E550A0"/>
    <w:rsid w:val="00E550B7"/>
    <w:rsid w:val="00E551BC"/>
    <w:rsid w:val="00E55335"/>
    <w:rsid w:val="00E5534B"/>
    <w:rsid w:val="00E555A3"/>
    <w:rsid w:val="00E55A9B"/>
    <w:rsid w:val="00E55B32"/>
    <w:rsid w:val="00E55B95"/>
    <w:rsid w:val="00E55D0B"/>
    <w:rsid w:val="00E55E83"/>
    <w:rsid w:val="00E55ED0"/>
    <w:rsid w:val="00E5620A"/>
    <w:rsid w:val="00E562CC"/>
    <w:rsid w:val="00E5672D"/>
    <w:rsid w:val="00E5698D"/>
    <w:rsid w:val="00E56A5D"/>
    <w:rsid w:val="00E56A99"/>
    <w:rsid w:val="00E56AD2"/>
    <w:rsid w:val="00E56DF0"/>
    <w:rsid w:val="00E56E25"/>
    <w:rsid w:val="00E56E56"/>
    <w:rsid w:val="00E56F6F"/>
    <w:rsid w:val="00E571CC"/>
    <w:rsid w:val="00E572EC"/>
    <w:rsid w:val="00E573CC"/>
    <w:rsid w:val="00E573F4"/>
    <w:rsid w:val="00E57457"/>
    <w:rsid w:val="00E576BC"/>
    <w:rsid w:val="00E576DE"/>
    <w:rsid w:val="00E57943"/>
    <w:rsid w:val="00E579EE"/>
    <w:rsid w:val="00E57A13"/>
    <w:rsid w:val="00E57B78"/>
    <w:rsid w:val="00E57C5F"/>
    <w:rsid w:val="00E57DB3"/>
    <w:rsid w:val="00E57F10"/>
    <w:rsid w:val="00E60141"/>
    <w:rsid w:val="00E60296"/>
    <w:rsid w:val="00E60559"/>
    <w:rsid w:val="00E60627"/>
    <w:rsid w:val="00E60841"/>
    <w:rsid w:val="00E608B2"/>
    <w:rsid w:val="00E60B57"/>
    <w:rsid w:val="00E60CD5"/>
    <w:rsid w:val="00E60E95"/>
    <w:rsid w:val="00E60EA6"/>
    <w:rsid w:val="00E61162"/>
    <w:rsid w:val="00E6117E"/>
    <w:rsid w:val="00E612C7"/>
    <w:rsid w:val="00E612D3"/>
    <w:rsid w:val="00E61375"/>
    <w:rsid w:val="00E61466"/>
    <w:rsid w:val="00E614AF"/>
    <w:rsid w:val="00E61578"/>
    <w:rsid w:val="00E61681"/>
    <w:rsid w:val="00E61964"/>
    <w:rsid w:val="00E61A43"/>
    <w:rsid w:val="00E61B0C"/>
    <w:rsid w:val="00E620AA"/>
    <w:rsid w:val="00E62275"/>
    <w:rsid w:val="00E622E3"/>
    <w:rsid w:val="00E6235D"/>
    <w:rsid w:val="00E62411"/>
    <w:rsid w:val="00E62537"/>
    <w:rsid w:val="00E6268E"/>
    <w:rsid w:val="00E627C9"/>
    <w:rsid w:val="00E62845"/>
    <w:rsid w:val="00E6293E"/>
    <w:rsid w:val="00E62A14"/>
    <w:rsid w:val="00E62FDD"/>
    <w:rsid w:val="00E63061"/>
    <w:rsid w:val="00E63192"/>
    <w:rsid w:val="00E631B1"/>
    <w:rsid w:val="00E63281"/>
    <w:rsid w:val="00E632A0"/>
    <w:rsid w:val="00E632E9"/>
    <w:rsid w:val="00E63377"/>
    <w:rsid w:val="00E6361F"/>
    <w:rsid w:val="00E636DA"/>
    <w:rsid w:val="00E6382E"/>
    <w:rsid w:val="00E6391D"/>
    <w:rsid w:val="00E63C2D"/>
    <w:rsid w:val="00E64027"/>
    <w:rsid w:val="00E640AB"/>
    <w:rsid w:val="00E64198"/>
    <w:rsid w:val="00E64369"/>
    <w:rsid w:val="00E64370"/>
    <w:rsid w:val="00E64564"/>
    <w:rsid w:val="00E645A8"/>
    <w:rsid w:val="00E64919"/>
    <w:rsid w:val="00E64AB8"/>
    <w:rsid w:val="00E64B9E"/>
    <w:rsid w:val="00E64C7F"/>
    <w:rsid w:val="00E64DB9"/>
    <w:rsid w:val="00E64E25"/>
    <w:rsid w:val="00E64E50"/>
    <w:rsid w:val="00E64F80"/>
    <w:rsid w:val="00E6514D"/>
    <w:rsid w:val="00E651C8"/>
    <w:rsid w:val="00E65302"/>
    <w:rsid w:val="00E653B5"/>
    <w:rsid w:val="00E65648"/>
    <w:rsid w:val="00E6566C"/>
    <w:rsid w:val="00E65696"/>
    <w:rsid w:val="00E65A84"/>
    <w:rsid w:val="00E65A9D"/>
    <w:rsid w:val="00E65EB6"/>
    <w:rsid w:val="00E6624A"/>
    <w:rsid w:val="00E6630A"/>
    <w:rsid w:val="00E6651D"/>
    <w:rsid w:val="00E66644"/>
    <w:rsid w:val="00E66651"/>
    <w:rsid w:val="00E6672C"/>
    <w:rsid w:val="00E66731"/>
    <w:rsid w:val="00E66ACC"/>
    <w:rsid w:val="00E66BB0"/>
    <w:rsid w:val="00E66C4C"/>
    <w:rsid w:val="00E66C51"/>
    <w:rsid w:val="00E66D4F"/>
    <w:rsid w:val="00E66F25"/>
    <w:rsid w:val="00E66F4D"/>
    <w:rsid w:val="00E66F75"/>
    <w:rsid w:val="00E67018"/>
    <w:rsid w:val="00E670EA"/>
    <w:rsid w:val="00E673EA"/>
    <w:rsid w:val="00E6751C"/>
    <w:rsid w:val="00E67897"/>
    <w:rsid w:val="00E679CE"/>
    <w:rsid w:val="00E679EC"/>
    <w:rsid w:val="00E67A2F"/>
    <w:rsid w:val="00E67B4F"/>
    <w:rsid w:val="00E67B8B"/>
    <w:rsid w:val="00E67C5A"/>
    <w:rsid w:val="00E67C86"/>
    <w:rsid w:val="00E67DD6"/>
    <w:rsid w:val="00E67DF6"/>
    <w:rsid w:val="00E67F2F"/>
    <w:rsid w:val="00E70066"/>
    <w:rsid w:val="00E701F5"/>
    <w:rsid w:val="00E70241"/>
    <w:rsid w:val="00E702EB"/>
    <w:rsid w:val="00E70501"/>
    <w:rsid w:val="00E70559"/>
    <w:rsid w:val="00E705AD"/>
    <w:rsid w:val="00E7087F"/>
    <w:rsid w:val="00E70AEE"/>
    <w:rsid w:val="00E70C25"/>
    <w:rsid w:val="00E70D10"/>
    <w:rsid w:val="00E70E4C"/>
    <w:rsid w:val="00E70F88"/>
    <w:rsid w:val="00E71170"/>
    <w:rsid w:val="00E71198"/>
    <w:rsid w:val="00E71300"/>
    <w:rsid w:val="00E71485"/>
    <w:rsid w:val="00E715A0"/>
    <w:rsid w:val="00E71657"/>
    <w:rsid w:val="00E716FA"/>
    <w:rsid w:val="00E71786"/>
    <w:rsid w:val="00E71868"/>
    <w:rsid w:val="00E718A9"/>
    <w:rsid w:val="00E718EF"/>
    <w:rsid w:val="00E719A3"/>
    <w:rsid w:val="00E71C3F"/>
    <w:rsid w:val="00E71D46"/>
    <w:rsid w:val="00E71D54"/>
    <w:rsid w:val="00E71DAC"/>
    <w:rsid w:val="00E71EA9"/>
    <w:rsid w:val="00E7200B"/>
    <w:rsid w:val="00E72055"/>
    <w:rsid w:val="00E72148"/>
    <w:rsid w:val="00E72177"/>
    <w:rsid w:val="00E72218"/>
    <w:rsid w:val="00E7244B"/>
    <w:rsid w:val="00E72467"/>
    <w:rsid w:val="00E72485"/>
    <w:rsid w:val="00E72568"/>
    <w:rsid w:val="00E72581"/>
    <w:rsid w:val="00E72668"/>
    <w:rsid w:val="00E7269C"/>
    <w:rsid w:val="00E726BF"/>
    <w:rsid w:val="00E72797"/>
    <w:rsid w:val="00E728F1"/>
    <w:rsid w:val="00E7295D"/>
    <w:rsid w:val="00E7297B"/>
    <w:rsid w:val="00E729D8"/>
    <w:rsid w:val="00E72C39"/>
    <w:rsid w:val="00E72D55"/>
    <w:rsid w:val="00E72DD8"/>
    <w:rsid w:val="00E72E60"/>
    <w:rsid w:val="00E72F1A"/>
    <w:rsid w:val="00E72F6A"/>
    <w:rsid w:val="00E7300A"/>
    <w:rsid w:val="00E730A8"/>
    <w:rsid w:val="00E732A7"/>
    <w:rsid w:val="00E732CE"/>
    <w:rsid w:val="00E735DB"/>
    <w:rsid w:val="00E735DC"/>
    <w:rsid w:val="00E736C6"/>
    <w:rsid w:val="00E73768"/>
    <w:rsid w:val="00E737CD"/>
    <w:rsid w:val="00E7389F"/>
    <w:rsid w:val="00E73C25"/>
    <w:rsid w:val="00E73D36"/>
    <w:rsid w:val="00E73D8F"/>
    <w:rsid w:val="00E740E6"/>
    <w:rsid w:val="00E74118"/>
    <w:rsid w:val="00E74262"/>
    <w:rsid w:val="00E74322"/>
    <w:rsid w:val="00E743D6"/>
    <w:rsid w:val="00E7442B"/>
    <w:rsid w:val="00E747A8"/>
    <w:rsid w:val="00E7486B"/>
    <w:rsid w:val="00E74881"/>
    <w:rsid w:val="00E74BAE"/>
    <w:rsid w:val="00E74D27"/>
    <w:rsid w:val="00E74D49"/>
    <w:rsid w:val="00E74D61"/>
    <w:rsid w:val="00E74F2F"/>
    <w:rsid w:val="00E7508A"/>
    <w:rsid w:val="00E751DB"/>
    <w:rsid w:val="00E75519"/>
    <w:rsid w:val="00E755D4"/>
    <w:rsid w:val="00E7578E"/>
    <w:rsid w:val="00E7586D"/>
    <w:rsid w:val="00E758BD"/>
    <w:rsid w:val="00E75B5C"/>
    <w:rsid w:val="00E75CE9"/>
    <w:rsid w:val="00E75CFE"/>
    <w:rsid w:val="00E75D76"/>
    <w:rsid w:val="00E75DF2"/>
    <w:rsid w:val="00E75E52"/>
    <w:rsid w:val="00E75ECF"/>
    <w:rsid w:val="00E75F1F"/>
    <w:rsid w:val="00E76077"/>
    <w:rsid w:val="00E762F1"/>
    <w:rsid w:val="00E76327"/>
    <w:rsid w:val="00E7653E"/>
    <w:rsid w:val="00E7659A"/>
    <w:rsid w:val="00E7661D"/>
    <w:rsid w:val="00E766BE"/>
    <w:rsid w:val="00E76749"/>
    <w:rsid w:val="00E767D8"/>
    <w:rsid w:val="00E767FB"/>
    <w:rsid w:val="00E7683F"/>
    <w:rsid w:val="00E76970"/>
    <w:rsid w:val="00E76EA5"/>
    <w:rsid w:val="00E77445"/>
    <w:rsid w:val="00E7750F"/>
    <w:rsid w:val="00E7759E"/>
    <w:rsid w:val="00E77607"/>
    <w:rsid w:val="00E778CE"/>
    <w:rsid w:val="00E77B9B"/>
    <w:rsid w:val="00E77C59"/>
    <w:rsid w:val="00E77C66"/>
    <w:rsid w:val="00E77C8C"/>
    <w:rsid w:val="00E77DAD"/>
    <w:rsid w:val="00E77DC2"/>
    <w:rsid w:val="00E77E4D"/>
    <w:rsid w:val="00E80266"/>
    <w:rsid w:val="00E802E4"/>
    <w:rsid w:val="00E806CD"/>
    <w:rsid w:val="00E80803"/>
    <w:rsid w:val="00E808B7"/>
    <w:rsid w:val="00E809B1"/>
    <w:rsid w:val="00E80A17"/>
    <w:rsid w:val="00E80B40"/>
    <w:rsid w:val="00E80B6B"/>
    <w:rsid w:val="00E80BD2"/>
    <w:rsid w:val="00E80BE1"/>
    <w:rsid w:val="00E80D4A"/>
    <w:rsid w:val="00E80D64"/>
    <w:rsid w:val="00E8106F"/>
    <w:rsid w:val="00E81438"/>
    <w:rsid w:val="00E8160D"/>
    <w:rsid w:val="00E8188F"/>
    <w:rsid w:val="00E818B6"/>
    <w:rsid w:val="00E81904"/>
    <w:rsid w:val="00E8195B"/>
    <w:rsid w:val="00E8197F"/>
    <w:rsid w:val="00E819B1"/>
    <w:rsid w:val="00E81A1F"/>
    <w:rsid w:val="00E81AAA"/>
    <w:rsid w:val="00E81B1E"/>
    <w:rsid w:val="00E81B5B"/>
    <w:rsid w:val="00E81B99"/>
    <w:rsid w:val="00E81C07"/>
    <w:rsid w:val="00E81C83"/>
    <w:rsid w:val="00E81CC5"/>
    <w:rsid w:val="00E81D32"/>
    <w:rsid w:val="00E81EFD"/>
    <w:rsid w:val="00E81F1E"/>
    <w:rsid w:val="00E8202E"/>
    <w:rsid w:val="00E8205E"/>
    <w:rsid w:val="00E82220"/>
    <w:rsid w:val="00E8227B"/>
    <w:rsid w:val="00E82293"/>
    <w:rsid w:val="00E82409"/>
    <w:rsid w:val="00E8244F"/>
    <w:rsid w:val="00E825E1"/>
    <w:rsid w:val="00E8276A"/>
    <w:rsid w:val="00E828CF"/>
    <w:rsid w:val="00E82BA5"/>
    <w:rsid w:val="00E82D95"/>
    <w:rsid w:val="00E82E32"/>
    <w:rsid w:val="00E82E80"/>
    <w:rsid w:val="00E82FC1"/>
    <w:rsid w:val="00E83079"/>
    <w:rsid w:val="00E8320A"/>
    <w:rsid w:val="00E83475"/>
    <w:rsid w:val="00E83517"/>
    <w:rsid w:val="00E83524"/>
    <w:rsid w:val="00E835FD"/>
    <w:rsid w:val="00E836EA"/>
    <w:rsid w:val="00E8376D"/>
    <w:rsid w:val="00E83803"/>
    <w:rsid w:val="00E83A44"/>
    <w:rsid w:val="00E83A70"/>
    <w:rsid w:val="00E83C44"/>
    <w:rsid w:val="00E83CD7"/>
    <w:rsid w:val="00E83DDE"/>
    <w:rsid w:val="00E83F44"/>
    <w:rsid w:val="00E83F55"/>
    <w:rsid w:val="00E83FE9"/>
    <w:rsid w:val="00E840FB"/>
    <w:rsid w:val="00E8426D"/>
    <w:rsid w:val="00E84442"/>
    <w:rsid w:val="00E84651"/>
    <w:rsid w:val="00E8466B"/>
    <w:rsid w:val="00E8479D"/>
    <w:rsid w:val="00E8482C"/>
    <w:rsid w:val="00E84966"/>
    <w:rsid w:val="00E84A2B"/>
    <w:rsid w:val="00E84C05"/>
    <w:rsid w:val="00E84D99"/>
    <w:rsid w:val="00E84E05"/>
    <w:rsid w:val="00E84E70"/>
    <w:rsid w:val="00E84F75"/>
    <w:rsid w:val="00E850A3"/>
    <w:rsid w:val="00E852B3"/>
    <w:rsid w:val="00E85347"/>
    <w:rsid w:val="00E8545D"/>
    <w:rsid w:val="00E857C2"/>
    <w:rsid w:val="00E857D7"/>
    <w:rsid w:val="00E857DC"/>
    <w:rsid w:val="00E85CD2"/>
    <w:rsid w:val="00E85DF8"/>
    <w:rsid w:val="00E85E55"/>
    <w:rsid w:val="00E85EB3"/>
    <w:rsid w:val="00E85F2C"/>
    <w:rsid w:val="00E85F3F"/>
    <w:rsid w:val="00E85F55"/>
    <w:rsid w:val="00E86034"/>
    <w:rsid w:val="00E861D9"/>
    <w:rsid w:val="00E861E2"/>
    <w:rsid w:val="00E8636C"/>
    <w:rsid w:val="00E863A7"/>
    <w:rsid w:val="00E86447"/>
    <w:rsid w:val="00E865DB"/>
    <w:rsid w:val="00E866FE"/>
    <w:rsid w:val="00E867B8"/>
    <w:rsid w:val="00E8686C"/>
    <w:rsid w:val="00E87087"/>
    <w:rsid w:val="00E87175"/>
    <w:rsid w:val="00E871B2"/>
    <w:rsid w:val="00E873CF"/>
    <w:rsid w:val="00E873F7"/>
    <w:rsid w:val="00E87453"/>
    <w:rsid w:val="00E87659"/>
    <w:rsid w:val="00E87823"/>
    <w:rsid w:val="00E8794E"/>
    <w:rsid w:val="00E87A21"/>
    <w:rsid w:val="00E87BD1"/>
    <w:rsid w:val="00E87D3E"/>
    <w:rsid w:val="00E87E3E"/>
    <w:rsid w:val="00E900DE"/>
    <w:rsid w:val="00E901C0"/>
    <w:rsid w:val="00E90518"/>
    <w:rsid w:val="00E90633"/>
    <w:rsid w:val="00E90709"/>
    <w:rsid w:val="00E9071A"/>
    <w:rsid w:val="00E90855"/>
    <w:rsid w:val="00E909D7"/>
    <w:rsid w:val="00E90D8C"/>
    <w:rsid w:val="00E90FB8"/>
    <w:rsid w:val="00E90FC6"/>
    <w:rsid w:val="00E9144A"/>
    <w:rsid w:val="00E9155F"/>
    <w:rsid w:val="00E91603"/>
    <w:rsid w:val="00E91638"/>
    <w:rsid w:val="00E91652"/>
    <w:rsid w:val="00E9165F"/>
    <w:rsid w:val="00E91695"/>
    <w:rsid w:val="00E916BC"/>
    <w:rsid w:val="00E9181A"/>
    <w:rsid w:val="00E91BDF"/>
    <w:rsid w:val="00E91D42"/>
    <w:rsid w:val="00E91E81"/>
    <w:rsid w:val="00E91F28"/>
    <w:rsid w:val="00E91FE7"/>
    <w:rsid w:val="00E9210A"/>
    <w:rsid w:val="00E92281"/>
    <w:rsid w:val="00E92567"/>
    <w:rsid w:val="00E9268A"/>
    <w:rsid w:val="00E92778"/>
    <w:rsid w:val="00E92796"/>
    <w:rsid w:val="00E928F5"/>
    <w:rsid w:val="00E929F7"/>
    <w:rsid w:val="00E92A0A"/>
    <w:rsid w:val="00E92DF0"/>
    <w:rsid w:val="00E92E80"/>
    <w:rsid w:val="00E92F56"/>
    <w:rsid w:val="00E930CC"/>
    <w:rsid w:val="00E930E2"/>
    <w:rsid w:val="00E9310F"/>
    <w:rsid w:val="00E9315D"/>
    <w:rsid w:val="00E93399"/>
    <w:rsid w:val="00E9345E"/>
    <w:rsid w:val="00E9348F"/>
    <w:rsid w:val="00E93540"/>
    <w:rsid w:val="00E937DD"/>
    <w:rsid w:val="00E93902"/>
    <w:rsid w:val="00E93A34"/>
    <w:rsid w:val="00E93A5C"/>
    <w:rsid w:val="00E93C6C"/>
    <w:rsid w:val="00E93D3C"/>
    <w:rsid w:val="00E93DF8"/>
    <w:rsid w:val="00E9404E"/>
    <w:rsid w:val="00E941DD"/>
    <w:rsid w:val="00E94280"/>
    <w:rsid w:val="00E944E7"/>
    <w:rsid w:val="00E9469B"/>
    <w:rsid w:val="00E946AF"/>
    <w:rsid w:val="00E947AD"/>
    <w:rsid w:val="00E94A01"/>
    <w:rsid w:val="00E94CD6"/>
    <w:rsid w:val="00E94DFB"/>
    <w:rsid w:val="00E94F9E"/>
    <w:rsid w:val="00E94FDA"/>
    <w:rsid w:val="00E95049"/>
    <w:rsid w:val="00E952D8"/>
    <w:rsid w:val="00E953F3"/>
    <w:rsid w:val="00E953F6"/>
    <w:rsid w:val="00E954CD"/>
    <w:rsid w:val="00E95621"/>
    <w:rsid w:val="00E95724"/>
    <w:rsid w:val="00E957A8"/>
    <w:rsid w:val="00E95847"/>
    <w:rsid w:val="00E95B6D"/>
    <w:rsid w:val="00E95B8D"/>
    <w:rsid w:val="00E95D50"/>
    <w:rsid w:val="00E95E9C"/>
    <w:rsid w:val="00E95F5F"/>
    <w:rsid w:val="00E9628A"/>
    <w:rsid w:val="00E9628C"/>
    <w:rsid w:val="00E962B1"/>
    <w:rsid w:val="00E96A50"/>
    <w:rsid w:val="00E96C71"/>
    <w:rsid w:val="00E96D62"/>
    <w:rsid w:val="00E96D77"/>
    <w:rsid w:val="00E96DFA"/>
    <w:rsid w:val="00E96E72"/>
    <w:rsid w:val="00E96F36"/>
    <w:rsid w:val="00E96F91"/>
    <w:rsid w:val="00E972EA"/>
    <w:rsid w:val="00E97384"/>
    <w:rsid w:val="00E973DA"/>
    <w:rsid w:val="00E9744B"/>
    <w:rsid w:val="00E974E7"/>
    <w:rsid w:val="00E97578"/>
    <w:rsid w:val="00E9763B"/>
    <w:rsid w:val="00E97661"/>
    <w:rsid w:val="00E977E8"/>
    <w:rsid w:val="00E9795E"/>
    <w:rsid w:val="00E97A17"/>
    <w:rsid w:val="00E97A78"/>
    <w:rsid w:val="00E97A8F"/>
    <w:rsid w:val="00E97A9B"/>
    <w:rsid w:val="00E97AF9"/>
    <w:rsid w:val="00E97BA3"/>
    <w:rsid w:val="00E97CA5"/>
    <w:rsid w:val="00E97D05"/>
    <w:rsid w:val="00E97D42"/>
    <w:rsid w:val="00E97D65"/>
    <w:rsid w:val="00E97E71"/>
    <w:rsid w:val="00E97F0B"/>
    <w:rsid w:val="00E999F3"/>
    <w:rsid w:val="00EA0085"/>
    <w:rsid w:val="00EA013F"/>
    <w:rsid w:val="00EA026A"/>
    <w:rsid w:val="00EA0469"/>
    <w:rsid w:val="00EA06E1"/>
    <w:rsid w:val="00EA07DB"/>
    <w:rsid w:val="00EA0B8B"/>
    <w:rsid w:val="00EA0C28"/>
    <w:rsid w:val="00EA0CE3"/>
    <w:rsid w:val="00EA0DF7"/>
    <w:rsid w:val="00EA10B3"/>
    <w:rsid w:val="00EA119A"/>
    <w:rsid w:val="00EA138A"/>
    <w:rsid w:val="00EA13CC"/>
    <w:rsid w:val="00EA1404"/>
    <w:rsid w:val="00EA141E"/>
    <w:rsid w:val="00EA1522"/>
    <w:rsid w:val="00EA1537"/>
    <w:rsid w:val="00EA1554"/>
    <w:rsid w:val="00EA1882"/>
    <w:rsid w:val="00EA18E6"/>
    <w:rsid w:val="00EA1ABE"/>
    <w:rsid w:val="00EA1ADA"/>
    <w:rsid w:val="00EA1B21"/>
    <w:rsid w:val="00EA1BB5"/>
    <w:rsid w:val="00EA1C4A"/>
    <w:rsid w:val="00EA1C86"/>
    <w:rsid w:val="00EA1FFC"/>
    <w:rsid w:val="00EA2018"/>
    <w:rsid w:val="00EA21AF"/>
    <w:rsid w:val="00EA24C2"/>
    <w:rsid w:val="00EA28BC"/>
    <w:rsid w:val="00EA2A3F"/>
    <w:rsid w:val="00EA2BFF"/>
    <w:rsid w:val="00EA2D0E"/>
    <w:rsid w:val="00EA303E"/>
    <w:rsid w:val="00EA31AB"/>
    <w:rsid w:val="00EA33BC"/>
    <w:rsid w:val="00EA34B9"/>
    <w:rsid w:val="00EA34DA"/>
    <w:rsid w:val="00EA34F1"/>
    <w:rsid w:val="00EA35A3"/>
    <w:rsid w:val="00EA3632"/>
    <w:rsid w:val="00EA36C7"/>
    <w:rsid w:val="00EA38CB"/>
    <w:rsid w:val="00EA39B7"/>
    <w:rsid w:val="00EA39BA"/>
    <w:rsid w:val="00EA3BED"/>
    <w:rsid w:val="00EA3E55"/>
    <w:rsid w:val="00EA3EDA"/>
    <w:rsid w:val="00EA3F3A"/>
    <w:rsid w:val="00EA3F49"/>
    <w:rsid w:val="00EA4075"/>
    <w:rsid w:val="00EA40BB"/>
    <w:rsid w:val="00EA4127"/>
    <w:rsid w:val="00EA43A2"/>
    <w:rsid w:val="00EA45D9"/>
    <w:rsid w:val="00EA4646"/>
    <w:rsid w:val="00EA4739"/>
    <w:rsid w:val="00EA4947"/>
    <w:rsid w:val="00EA49EB"/>
    <w:rsid w:val="00EA4B58"/>
    <w:rsid w:val="00EA4C16"/>
    <w:rsid w:val="00EA4E17"/>
    <w:rsid w:val="00EA4E5A"/>
    <w:rsid w:val="00EA4F12"/>
    <w:rsid w:val="00EA52A6"/>
    <w:rsid w:val="00EA52D6"/>
    <w:rsid w:val="00EA52DC"/>
    <w:rsid w:val="00EA52F6"/>
    <w:rsid w:val="00EA5353"/>
    <w:rsid w:val="00EA5360"/>
    <w:rsid w:val="00EA544A"/>
    <w:rsid w:val="00EA546A"/>
    <w:rsid w:val="00EA56ED"/>
    <w:rsid w:val="00EA5708"/>
    <w:rsid w:val="00EA5818"/>
    <w:rsid w:val="00EA596C"/>
    <w:rsid w:val="00EA5BC9"/>
    <w:rsid w:val="00EA5BD6"/>
    <w:rsid w:val="00EA5BD8"/>
    <w:rsid w:val="00EA5FAB"/>
    <w:rsid w:val="00EA6152"/>
    <w:rsid w:val="00EA619B"/>
    <w:rsid w:val="00EA6388"/>
    <w:rsid w:val="00EA63BF"/>
    <w:rsid w:val="00EA641A"/>
    <w:rsid w:val="00EA6490"/>
    <w:rsid w:val="00EA649E"/>
    <w:rsid w:val="00EA6A0A"/>
    <w:rsid w:val="00EA6D0A"/>
    <w:rsid w:val="00EA6E56"/>
    <w:rsid w:val="00EA7034"/>
    <w:rsid w:val="00EA70B3"/>
    <w:rsid w:val="00EA71D9"/>
    <w:rsid w:val="00EA72D4"/>
    <w:rsid w:val="00EA73AF"/>
    <w:rsid w:val="00EA7456"/>
    <w:rsid w:val="00EA77BC"/>
    <w:rsid w:val="00EA796B"/>
    <w:rsid w:val="00EA7A27"/>
    <w:rsid w:val="00EA7C68"/>
    <w:rsid w:val="00EA7D38"/>
    <w:rsid w:val="00EA7F43"/>
    <w:rsid w:val="00EAA2EC"/>
    <w:rsid w:val="00EB0232"/>
    <w:rsid w:val="00EB0382"/>
    <w:rsid w:val="00EB038C"/>
    <w:rsid w:val="00EB0743"/>
    <w:rsid w:val="00EB0883"/>
    <w:rsid w:val="00EB0980"/>
    <w:rsid w:val="00EB0995"/>
    <w:rsid w:val="00EB09B4"/>
    <w:rsid w:val="00EB0A7B"/>
    <w:rsid w:val="00EB0A91"/>
    <w:rsid w:val="00EB0EF4"/>
    <w:rsid w:val="00EB0F4C"/>
    <w:rsid w:val="00EB1018"/>
    <w:rsid w:val="00EB1021"/>
    <w:rsid w:val="00EB1022"/>
    <w:rsid w:val="00EB1081"/>
    <w:rsid w:val="00EB115F"/>
    <w:rsid w:val="00EB119B"/>
    <w:rsid w:val="00EB1205"/>
    <w:rsid w:val="00EB1317"/>
    <w:rsid w:val="00EB1477"/>
    <w:rsid w:val="00EB1611"/>
    <w:rsid w:val="00EB1737"/>
    <w:rsid w:val="00EB17C5"/>
    <w:rsid w:val="00EB1864"/>
    <w:rsid w:val="00EB1B6F"/>
    <w:rsid w:val="00EB1B9C"/>
    <w:rsid w:val="00EB1C60"/>
    <w:rsid w:val="00EB1CDF"/>
    <w:rsid w:val="00EB1CE6"/>
    <w:rsid w:val="00EB1F99"/>
    <w:rsid w:val="00EB2152"/>
    <w:rsid w:val="00EB2239"/>
    <w:rsid w:val="00EB24A6"/>
    <w:rsid w:val="00EB24D9"/>
    <w:rsid w:val="00EB251A"/>
    <w:rsid w:val="00EB2543"/>
    <w:rsid w:val="00EB2554"/>
    <w:rsid w:val="00EB2581"/>
    <w:rsid w:val="00EB263E"/>
    <w:rsid w:val="00EB26E9"/>
    <w:rsid w:val="00EB28E8"/>
    <w:rsid w:val="00EB29A2"/>
    <w:rsid w:val="00EB2C1A"/>
    <w:rsid w:val="00EB2D6F"/>
    <w:rsid w:val="00EB2E54"/>
    <w:rsid w:val="00EB2F2C"/>
    <w:rsid w:val="00EB3125"/>
    <w:rsid w:val="00EB3341"/>
    <w:rsid w:val="00EB337B"/>
    <w:rsid w:val="00EB3423"/>
    <w:rsid w:val="00EB3439"/>
    <w:rsid w:val="00EB349D"/>
    <w:rsid w:val="00EB34AC"/>
    <w:rsid w:val="00EB358D"/>
    <w:rsid w:val="00EB3864"/>
    <w:rsid w:val="00EB3CE7"/>
    <w:rsid w:val="00EB3D01"/>
    <w:rsid w:val="00EB3FD4"/>
    <w:rsid w:val="00EB404F"/>
    <w:rsid w:val="00EB4252"/>
    <w:rsid w:val="00EB443E"/>
    <w:rsid w:val="00EB4515"/>
    <w:rsid w:val="00EB467A"/>
    <w:rsid w:val="00EB478C"/>
    <w:rsid w:val="00EB47CE"/>
    <w:rsid w:val="00EB48DA"/>
    <w:rsid w:val="00EB48FC"/>
    <w:rsid w:val="00EB497F"/>
    <w:rsid w:val="00EB49F0"/>
    <w:rsid w:val="00EB4B8C"/>
    <w:rsid w:val="00EB4C97"/>
    <w:rsid w:val="00EB4DB5"/>
    <w:rsid w:val="00EB4E81"/>
    <w:rsid w:val="00EB4F37"/>
    <w:rsid w:val="00EB4FF2"/>
    <w:rsid w:val="00EB5035"/>
    <w:rsid w:val="00EB5079"/>
    <w:rsid w:val="00EB5220"/>
    <w:rsid w:val="00EB5375"/>
    <w:rsid w:val="00EB5512"/>
    <w:rsid w:val="00EB5531"/>
    <w:rsid w:val="00EB571C"/>
    <w:rsid w:val="00EB58D5"/>
    <w:rsid w:val="00EB591B"/>
    <w:rsid w:val="00EB5ACA"/>
    <w:rsid w:val="00EB5B3A"/>
    <w:rsid w:val="00EB5C6A"/>
    <w:rsid w:val="00EB5D9B"/>
    <w:rsid w:val="00EB5F46"/>
    <w:rsid w:val="00EB5F50"/>
    <w:rsid w:val="00EB6346"/>
    <w:rsid w:val="00EB63F7"/>
    <w:rsid w:val="00EB6434"/>
    <w:rsid w:val="00EB6550"/>
    <w:rsid w:val="00EB66DE"/>
    <w:rsid w:val="00EB67E1"/>
    <w:rsid w:val="00EB6B2F"/>
    <w:rsid w:val="00EB6CB3"/>
    <w:rsid w:val="00EB6EF9"/>
    <w:rsid w:val="00EB71F1"/>
    <w:rsid w:val="00EB7290"/>
    <w:rsid w:val="00EB7323"/>
    <w:rsid w:val="00EB7475"/>
    <w:rsid w:val="00EB74E3"/>
    <w:rsid w:val="00EB7884"/>
    <w:rsid w:val="00EB7906"/>
    <w:rsid w:val="00EB7914"/>
    <w:rsid w:val="00EB7C75"/>
    <w:rsid w:val="00EB7CE7"/>
    <w:rsid w:val="00EB7E8C"/>
    <w:rsid w:val="00EB7FA2"/>
    <w:rsid w:val="00EC000D"/>
    <w:rsid w:val="00EC0268"/>
    <w:rsid w:val="00EC02BC"/>
    <w:rsid w:val="00EC03EE"/>
    <w:rsid w:val="00EC0415"/>
    <w:rsid w:val="00EC0426"/>
    <w:rsid w:val="00EC0588"/>
    <w:rsid w:val="00EC05F1"/>
    <w:rsid w:val="00EC07C2"/>
    <w:rsid w:val="00EC0A20"/>
    <w:rsid w:val="00EC0AB0"/>
    <w:rsid w:val="00EC0B1E"/>
    <w:rsid w:val="00EC0B5A"/>
    <w:rsid w:val="00EC0BC4"/>
    <w:rsid w:val="00EC0BE0"/>
    <w:rsid w:val="00EC0DE8"/>
    <w:rsid w:val="00EC0E05"/>
    <w:rsid w:val="00EC0EC0"/>
    <w:rsid w:val="00EC0F27"/>
    <w:rsid w:val="00EC0FC4"/>
    <w:rsid w:val="00EC1168"/>
    <w:rsid w:val="00EC124F"/>
    <w:rsid w:val="00EC1301"/>
    <w:rsid w:val="00EC176A"/>
    <w:rsid w:val="00EC177F"/>
    <w:rsid w:val="00EC17C0"/>
    <w:rsid w:val="00EC1A95"/>
    <w:rsid w:val="00EC1CD9"/>
    <w:rsid w:val="00EC1EF2"/>
    <w:rsid w:val="00EC20BF"/>
    <w:rsid w:val="00EC2165"/>
    <w:rsid w:val="00EC26F8"/>
    <w:rsid w:val="00EC270F"/>
    <w:rsid w:val="00EC28E4"/>
    <w:rsid w:val="00EC2939"/>
    <w:rsid w:val="00EC295F"/>
    <w:rsid w:val="00EC29EB"/>
    <w:rsid w:val="00EC2AA6"/>
    <w:rsid w:val="00EC2B48"/>
    <w:rsid w:val="00EC2BAD"/>
    <w:rsid w:val="00EC2FEE"/>
    <w:rsid w:val="00EC308A"/>
    <w:rsid w:val="00EC30D1"/>
    <w:rsid w:val="00EC30E4"/>
    <w:rsid w:val="00EC319E"/>
    <w:rsid w:val="00EC31CE"/>
    <w:rsid w:val="00EC32EB"/>
    <w:rsid w:val="00EC3347"/>
    <w:rsid w:val="00EC335F"/>
    <w:rsid w:val="00EC38DA"/>
    <w:rsid w:val="00EC3B75"/>
    <w:rsid w:val="00EC3D5A"/>
    <w:rsid w:val="00EC3FBD"/>
    <w:rsid w:val="00EC3FDA"/>
    <w:rsid w:val="00EC429B"/>
    <w:rsid w:val="00EC4674"/>
    <w:rsid w:val="00EC4693"/>
    <w:rsid w:val="00EC47E2"/>
    <w:rsid w:val="00EC48B5"/>
    <w:rsid w:val="00EC48E0"/>
    <w:rsid w:val="00EC4B71"/>
    <w:rsid w:val="00EC4D23"/>
    <w:rsid w:val="00EC4F07"/>
    <w:rsid w:val="00EC529F"/>
    <w:rsid w:val="00EC52B2"/>
    <w:rsid w:val="00EC5371"/>
    <w:rsid w:val="00EC5461"/>
    <w:rsid w:val="00EC552E"/>
    <w:rsid w:val="00EC55DC"/>
    <w:rsid w:val="00EC56C0"/>
    <w:rsid w:val="00EC5874"/>
    <w:rsid w:val="00EC59F0"/>
    <w:rsid w:val="00EC5AF9"/>
    <w:rsid w:val="00EC6030"/>
    <w:rsid w:val="00EC6094"/>
    <w:rsid w:val="00EC6244"/>
    <w:rsid w:val="00EC631F"/>
    <w:rsid w:val="00EC63EC"/>
    <w:rsid w:val="00EC64AA"/>
    <w:rsid w:val="00EC64B2"/>
    <w:rsid w:val="00EC65D1"/>
    <w:rsid w:val="00EC6689"/>
    <w:rsid w:val="00EC679D"/>
    <w:rsid w:val="00EC6924"/>
    <w:rsid w:val="00EC6AA3"/>
    <w:rsid w:val="00EC6D75"/>
    <w:rsid w:val="00EC6E2B"/>
    <w:rsid w:val="00EC6E72"/>
    <w:rsid w:val="00EC6E73"/>
    <w:rsid w:val="00EC6FAC"/>
    <w:rsid w:val="00EC7076"/>
    <w:rsid w:val="00EC70FC"/>
    <w:rsid w:val="00EC713E"/>
    <w:rsid w:val="00EC716B"/>
    <w:rsid w:val="00EC71EE"/>
    <w:rsid w:val="00EC7348"/>
    <w:rsid w:val="00EC7591"/>
    <w:rsid w:val="00EC772D"/>
    <w:rsid w:val="00EC779F"/>
    <w:rsid w:val="00EC7833"/>
    <w:rsid w:val="00EC7A2E"/>
    <w:rsid w:val="00EC7A53"/>
    <w:rsid w:val="00EC7AC5"/>
    <w:rsid w:val="00EC7AE8"/>
    <w:rsid w:val="00EC7DDD"/>
    <w:rsid w:val="00EC7E73"/>
    <w:rsid w:val="00ED0099"/>
    <w:rsid w:val="00ED00A9"/>
    <w:rsid w:val="00ED018A"/>
    <w:rsid w:val="00ED01E6"/>
    <w:rsid w:val="00ED02BC"/>
    <w:rsid w:val="00ED042D"/>
    <w:rsid w:val="00ED047C"/>
    <w:rsid w:val="00ED06DF"/>
    <w:rsid w:val="00ED080A"/>
    <w:rsid w:val="00ED08CA"/>
    <w:rsid w:val="00ED0988"/>
    <w:rsid w:val="00ED0BB0"/>
    <w:rsid w:val="00ED0C3A"/>
    <w:rsid w:val="00ED0D25"/>
    <w:rsid w:val="00ED0F0E"/>
    <w:rsid w:val="00ED100B"/>
    <w:rsid w:val="00ED102A"/>
    <w:rsid w:val="00ED1081"/>
    <w:rsid w:val="00ED1183"/>
    <w:rsid w:val="00ED11FE"/>
    <w:rsid w:val="00ED1326"/>
    <w:rsid w:val="00ED1415"/>
    <w:rsid w:val="00ED15AE"/>
    <w:rsid w:val="00ED1654"/>
    <w:rsid w:val="00ED1AE7"/>
    <w:rsid w:val="00ED1B2C"/>
    <w:rsid w:val="00ED1B9C"/>
    <w:rsid w:val="00ED1ECC"/>
    <w:rsid w:val="00ED20E9"/>
    <w:rsid w:val="00ED215C"/>
    <w:rsid w:val="00ED21B1"/>
    <w:rsid w:val="00ED230F"/>
    <w:rsid w:val="00ED245F"/>
    <w:rsid w:val="00ED2602"/>
    <w:rsid w:val="00ED26D0"/>
    <w:rsid w:val="00ED2706"/>
    <w:rsid w:val="00ED2755"/>
    <w:rsid w:val="00ED281C"/>
    <w:rsid w:val="00ED285A"/>
    <w:rsid w:val="00ED297F"/>
    <w:rsid w:val="00ED2A84"/>
    <w:rsid w:val="00ED2AA2"/>
    <w:rsid w:val="00ED2BED"/>
    <w:rsid w:val="00ED2FFB"/>
    <w:rsid w:val="00ED305D"/>
    <w:rsid w:val="00ED3097"/>
    <w:rsid w:val="00ED34A8"/>
    <w:rsid w:val="00ED34C7"/>
    <w:rsid w:val="00ED38B1"/>
    <w:rsid w:val="00ED39D2"/>
    <w:rsid w:val="00ED3CF9"/>
    <w:rsid w:val="00ED3D76"/>
    <w:rsid w:val="00ED40F7"/>
    <w:rsid w:val="00ED42D4"/>
    <w:rsid w:val="00ED47AE"/>
    <w:rsid w:val="00ED47AF"/>
    <w:rsid w:val="00ED47C5"/>
    <w:rsid w:val="00ED48AB"/>
    <w:rsid w:val="00ED491B"/>
    <w:rsid w:val="00ED4CDD"/>
    <w:rsid w:val="00ED4D83"/>
    <w:rsid w:val="00ED4FFC"/>
    <w:rsid w:val="00ED5045"/>
    <w:rsid w:val="00ED524A"/>
    <w:rsid w:val="00ED5273"/>
    <w:rsid w:val="00ED5350"/>
    <w:rsid w:val="00ED53D0"/>
    <w:rsid w:val="00ED5466"/>
    <w:rsid w:val="00ED55BF"/>
    <w:rsid w:val="00ED5678"/>
    <w:rsid w:val="00ED56CD"/>
    <w:rsid w:val="00ED58F9"/>
    <w:rsid w:val="00ED5A8E"/>
    <w:rsid w:val="00ED6382"/>
    <w:rsid w:val="00ED63EA"/>
    <w:rsid w:val="00ED65BC"/>
    <w:rsid w:val="00ED6789"/>
    <w:rsid w:val="00ED67FF"/>
    <w:rsid w:val="00ED681A"/>
    <w:rsid w:val="00ED694D"/>
    <w:rsid w:val="00ED69E9"/>
    <w:rsid w:val="00ED6DA7"/>
    <w:rsid w:val="00ED6E96"/>
    <w:rsid w:val="00ED7041"/>
    <w:rsid w:val="00ED72F3"/>
    <w:rsid w:val="00ED74A2"/>
    <w:rsid w:val="00ED759B"/>
    <w:rsid w:val="00ED75E6"/>
    <w:rsid w:val="00ED77A7"/>
    <w:rsid w:val="00ED7A08"/>
    <w:rsid w:val="00ED7BA4"/>
    <w:rsid w:val="00ED7E45"/>
    <w:rsid w:val="00EE0018"/>
    <w:rsid w:val="00EE020F"/>
    <w:rsid w:val="00EE0484"/>
    <w:rsid w:val="00EE06C6"/>
    <w:rsid w:val="00EE084F"/>
    <w:rsid w:val="00EE0A39"/>
    <w:rsid w:val="00EE0BC5"/>
    <w:rsid w:val="00EE0C2B"/>
    <w:rsid w:val="00EE0C95"/>
    <w:rsid w:val="00EE0D4B"/>
    <w:rsid w:val="00EE0E2F"/>
    <w:rsid w:val="00EE0F05"/>
    <w:rsid w:val="00EE0F4B"/>
    <w:rsid w:val="00EE11C4"/>
    <w:rsid w:val="00EE11C7"/>
    <w:rsid w:val="00EE135F"/>
    <w:rsid w:val="00EE139E"/>
    <w:rsid w:val="00EE1452"/>
    <w:rsid w:val="00EE157A"/>
    <w:rsid w:val="00EE1705"/>
    <w:rsid w:val="00EE17D1"/>
    <w:rsid w:val="00EE1809"/>
    <w:rsid w:val="00EE1A55"/>
    <w:rsid w:val="00EE1A6F"/>
    <w:rsid w:val="00EE1AE8"/>
    <w:rsid w:val="00EE1B1A"/>
    <w:rsid w:val="00EE1BA5"/>
    <w:rsid w:val="00EE1DA7"/>
    <w:rsid w:val="00EE1E32"/>
    <w:rsid w:val="00EE1F18"/>
    <w:rsid w:val="00EE215F"/>
    <w:rsid w:val="00EE21AD"/>
    <w:rsid w:val="00EE2328"/>
    <w:rsid w:val="00EE23B4"/>
    <w:rsid w:val="00EE24EE"/>
    <w:rsid w:val="00EE2983"/>
    <w:rsid w:val="00EE29CE"/>
    <w:rsid w:val="00EE2A93"/>
    <w:rsid w:val="00EE2AA4"/>
    <w:rsid w:val="00EE30D9"/>
    <w:rsid w:val="00EE3198"/>
    <w:rsid w:val="00EE3354"/>
    <w:rsid w:val="00EE35A6"/>
    <w:rsid w:val="00EE3668"/>
    <w:rsid w:val="00EE3897"/>
    <w:rsid w:val="00EE38BB"/>
    <w:rsid w:val="00EE3988"/>
    <w:rsid w:val="00EE3A71"/>
    <w:rsid w:val="00EE3BDB"/>
    <w:rsid w:val="00EE3EDB"/>
    <w:rsid w:val="00EE3F55"/>
    <w:rsid w:val="00EE407F"/>
    <w:rsid w:val="00EE40E2"/>
    <w:rsid w:val="00EE43B8"/>
    <w:rsid w:val="00EE45BB"/>
    <w:rsid w:val="00EE472A"/>
    <w:rsid w:val="00EE474E"/>
    <w:rsid w:val="00EE48EE"/>
    <w:rsid w:val="00EE49E1"/>
    <w:rsid w:val="00EE4ABF"/>
    <w:rsid w:val="00EE4B19"/>
    <w:rsid w:val="00EE4D62"/>
    <w:rsid w:val="00EE4D6F"/>
    <w:rsid w:val="00EE4DA8"/>
    <w:rsid w:val="00EE4E4B"/>
    <w:rsid w:val="00EE507C"/>
    <w:rsid w:val="00EE5141"/>
    <w:rsid w:val="00EE5246"/>
    <w:rsid w:val="00EE52AC"/>
    <w:rsid w:val="00EE530F"/>
    <w:rsid w:val="00EE5321"/>
    <w:rsid w:val="00EE53F1"/>
    <w:rsid w:val="00EE5407"/>
    <w:rsid w:val="00EE558B"/>
    <w:rsid w:val="00EE55BA"/>
    <w:rsid w:val="00EE563B"/>
    <w:rsid w:val="00EE56D6"/>
    <w:rsid w:val="00EE57BB"/>
    <w:rsid w:val="00EE57D7"/>
    <w:rsid w:val="00EE597E"/>
    <w:rsid w:val="00EE5A5B"/>
    <w:rsid w:val="00EE5AE4"/>
    <w:rsid w:val="00EE5B70"/>
    <w:rsid w:val="00EE5E6C"/>
    <w:rsid w:val="00EE5EF0"/>
    <w:rsid w:val="00EE5FFA"/>
    <w:rsid w:val="00EE633E"/>
    <w:rsid w:val="00EE656E"/>
    <w:rsid w:val="00EE65BB"/>
    <w:rsid w:val="00EE6BDC"/>
    <w:rsid w:val="00EE6D5C"/>
    <w:rsid w:val="00EE6DF2"/>
    <w:rsid w:val="00EE6E8E"/>
    <w:rsid w:val="00EE6F32"/>
    <w:rsid w:val="00EE7097"/>
    <w:rsid w:val="00EE71DF"/>
    <w:rsid w:val="00EE74EE"/>
    <w:rsid w:val="00EE767B"/>
    <w:rsid w:val="00EE7683"/>
    <w:rsid w:val="00EE79B1"/>
    <w:rsid w:val="00EE7A82"/>
    <w:rsid w:val="00EE7CE0"/>
    <w:rsid w:val="00EE7D68"/>
    <w:rsid w:val="00EE7DAF"/>
    <w:rsid w:val="00EE7E76"/>
    <w:rsid w:val="00EE7E9E"/>
    <w:rsid w:val="00EE7FA1"/>
    <w:rsid w:val="00EEA1CB"/>
    <w:rsid w:val="00EF0241"/>
    <w:rsid w:val="00EF02EF"/>
    <w:rsid w:val="00EF03B5"/>
    <w:rsid w:val="00EF051A"/>
    <w:rsid w:val="00EF0756"/>
    <w:rsid w:val="00EF0B2A"/>
    <w:rsid w:val="00EF0BE3"/>
    <w:rsid w:val="00EF0DB2"/>
    <w:rsid w:val="00EF0DB4"/>
    <w:rsid w:val="00EF0F10"/>
    <w:rsid w:val="00EF110F"/>
    <w:rsid w:val="00EF1309"/>
    <w:rsid w:val="00EF13E3"/>
    <w:rsid w:val="00EF1607"/>
    <w:rsid w:val="00EF17A5"/>
    <w:rsid w:val="00EF17BE"/>
    <w:rsid w:val="00EF1D47"/>
    <w:rsid w:val="00EF1D9C"/>
    <w:rsid w:val="00EF1E95"/>
    <w:rsid w:val="00EF1F8F"/>
    <w:rsid w:val="00EF2010"/>
    <w:rsid w:val="00EF212B"/>
    <w:rsid w:val="00EF21FB"/>
    <w:rsid w:val="00EF223C"/>
    <w:rsid w:val="00EF279D"/>
    <w:rsid w:val="00EF2849"/>
    <w:rsid w:val="00EF2B6C"/>
    <w:rsid w:val="00EF2DD6"/>
    <w:rsid w:val="00EF2E68"/>
    <w:rsid w:val="00EF2FA6"/>
    <w:rsid w:val="00EF3274"/>
    <w:rsid w:val="00EF3320"/>
    <w:rsid w:val="00EF354E"/>
    <w:rsid w:val="00EF3605"/>
    <w:rsid w:val="00EF377F"/>
    <w:rsid w:val="00EF39FD"/>
    <w:rsid w:val="00EF3B8C"/>
    <w:rsid w:val="00EF412F"/>
    <w:rsid w:val="00EF416E"/>
    <w:rsid w:val="00EF4435"/>
    <w:rsid w:val="00EF4545"/>
    <w:rsid w:val="00EF4587"/>
    <w:rsid w:val="00EF45CC"/>
    <w:rsid w:val="00EF4772"/>
    <w:rsid w:val="00EF47DA"/>
    <w:rsid w:val="00EF4950"/>
    <w:rsid w:val="00EF4951"/>
    <w:rsid w:val="00EF4952"/>
    <w:rsid w:val="00EF4ACF"/>
    <w:rsid w:val="00EF4C37"/>
    <w:rsid w:val="00EF4D41"/>
    <w:rsid w:val="00EF4ED9"/>
    <w:rsid w:val="00EF4FE8"/>
    <w:rsid w:val="00EF52F1"/>
    <w:rsid w:val="00EF541C"/>
    <w:rsid w:val="00EF557A"/>
    <w:rsid w:val="00EF5695"/>
    <w:rsid w:val="00EF5784"/>
    <w:rsid w:val="00EF57ED"/>
    <w:rsid w:val="00EF5C7F"/>
    <w:rsid w:val="00EF5D72"/>
    <w:rsid w:val="00EF5DA4"/>
    <w:rsid w:val="00EF5E79"/>
    <w:rsid w:val="00EF5E95"/>
    <w:rsid w:val="00EF6009"/>
    <w:rsid w:val="00EF604C"/>
    <w:rsid w:val="00EF609E"/>
    <w:rsid w:val="00EF60CA"/>
    <w:rsid w:val="00EF61B8"/>
    <w:rsid w:val="00EF63D8"/>
    <w:rsid w:val="00EF64CE"/>
    <w:rsid w:val="00EF6595"/>
    <w:rsid w:val="00EF6652"/>
    <w:rsid w:val="00EF6A1F"/>
    <w:rsid w:val="00EF6B08"/>
    <w:rsid w:val="00EF6B3A"/>
    <w:rsid w:val="00EF6B7F"/>
    <w:rsid w:val="00EF6BA9"/>
    <w:rsid w:val="00EF6BB9"/>
    <w:rsid w:val="00EF6C7F"/>
    <w:rsid w:val="00EF6CF9"/>
    <w:rsid w:val="00EF6E82"/>
    <w:rsid w:val="00EF6EBD"/>
    <w:rsid w:val="00EF70F5"/>
    <w:rsid w:val="00EF7137"/>
    <w:rsid w:val="00EF7193"/>
    <w:rsid w:val="00EF730E"/>
    <w:rsid w:val="00EF74A8"/>
    <w:rsid w:val="00EF7510"/>
    <w:rsid w:val="00EF7648"/>
    <w:rsid w:val="00EF765D"/>
    <w:rsid w:val="00EF7834"/>
    <w:rsid w:val="00EF799F"/>
    <w:rsid w:val="00F001D3"/>
    <w:rsid w:val="00F004DF"/>
    <w:rsid w:val="00F00512"/>
    <w:rsid w:val="00F008E0"/>
    <w:rsid w:val="00F00968"/>
    <w:rsid w:val="00F009E3"/>
    <w:rsid w:val="00F00BC7"/>
    <w:rsid w:val="00F00E5B"/>
    <w:rsid w:val="00F00F91"/>
    <w:rsid w:val="00F0113C"/>
    <w:rsid w:val="00F012B6"/>
    <w:rsid w:val="00F012E5"/>
    <w:rsid w:val="00F013BC"/>
    <w:rsid w:val="00F01612"/>
    <w:rsid w:val="00F0186B"/>
    <w:rsid w:val="00F01874"/>
    <w:rsid w:val="00F0195E"/>
    <w:rsid w:val="00F019DE"/>
    <w:rsid w:val="00F01A25"/>
    <w:rsid w:val="00F01A39"/>
    <w:rsid w:val="00F01A9F"/>
    <w:rsid w:val="00F01C25"/>
    <w:rsid w:val="00F01C6C"/>
    <w:rsid w:val="00F01E2B"/>
    <w:rsid w:val="00F01F0E"/>
    <w:rsid w:val="00F01FBF"/>
    <w:rsid w:val="00F021E6"/>
    <w:rsid w:val="00F0244F"/>
    <w:rsid w:val="00F0269F"/>
    <w:rsid w:val="00F02743"/>
    <w:rsid w:val="00F0278B"/>
    <w:rsid w:val="00F0281E"/>
    <w:rsid w:val="00F02CE5"/>
    <w:rsid w:val="00F02D18"/>
    <w:rsid w:val="00F02DC8"/>
    <w:rsid w:val="00F02E74"/>
    <w:rsid w:val="00F02EBD"/>
    <w:rsid w:val="00F02EC6"/>
    <w:rsid w:val="00F02ED6"/>
    <w:rsid w:val="00F02FF9"/>
    <w:rsid w:val="00F03128"/>
    <w:rsid w:val="00F0322A"/>
    <w:rsid w:val="00F0339B"/>
    <w:rsid w:val="00F033C1"/>
    <w:rsid w:val="00F033C7"/>
    <w:rsid w:val="00F03839"/>
    <w:rsid w:val="00F03880"/>
    <w:rsid w:val="00F03884"/>
    <w:rsid w:val="00F03941"/>
    <w:rsid w:val="00F03A8E"/>
    <w:rsid w:val="00F03B94"/>
    <w:rsid w:val="00F03D55"/>
    <w:rsid w:val="00F03E9A"/>
    <w:rsid w:val="00F03FAF"/>
    <w:rsid w:val="00F04107"/>
    <w:rsid w:val="00F0421B"/>
    <w:rsid w:val="00F04265"/>
    <w:rsid w:val="00F0437B"/>
    <w:rsid w:val="00F044EF"/>
    <w:rsid w:val="00F0453C"/>
    <w:rsid w:val="00F048C7"/>
    <w:rsid w:val="00F04A66"/>
    <w:rsid w:val="00F04D16"/>
    <w:rsid w:val="00F04DB4"/>
    <w:rsid w:val="00F04DC8"/>
    <w:rsid w:val="00F04F53"/>
    <w:rsid w:val="00F05144"/>
    <w:rsid w:val="00F051A3"/>
    <w:rsid w:val="00F05404"/>
    <w:rsid w:val="00F05490"/>
    <w:rsid w:val="00F057E0"/>
    <w:rsid w:val="00F05859"/>
    <w:rsid w:val="00F05A2C"/>
    <w:rsid w:val="00F05A8E"/>
    <w:rsid w:val="00F05AE2"/>
    <w:rsid w:val="00F05B7E"/>
    <w:rsid w:val="00F0604C"/>
    <w:rsid w:val="00F062CD"/>
    <w:rsid w:val="00F0653A"/>
    <w:rsid w:val="00F06683"/>
    <w:rsid w:val="00F06695"/>
    <w:rsid w:val="00F066D3"/>
    <w:rsid w:val="00F06767"/>
    <w:rsid w:val="00F06836"/>
    <w:rsid w:val="00F06C10"/>
    <w:rsid w:val="00F06D41"/>
    <w:rsid w:val="00F070B5"/>
    <w:rsid w:val="00F071AE"/>
    <w:rsid w:val="00F0725F"/>
    <w:rsid w:val="00F0728C"/>
    <w:rsid w:val="00F07487"/>
    <w:rsid w:val="00F074D4"/>
    <w:rsid w:val="00F07545"/>
    <w:rsid w:val="00F0774D"/>
    <w:rsid w:val="00F077D9"/>
    <w:rsid w:val="00F07A0A"/>
    <w:rsid w:val="00F07A88"/>
    <w:rsid w:val="00F07A9B"/>
    <w:rsid w:val="00F07AA7"/>
    <w:rsid w:val="00F07D1C"/>
    <w:rsid w:val="00F07D35"/>
    <w:rsid w:val="00F07DD0"/>
    <w:rsid w:val="00F07E61"/>
    <w:rsid w:val="00F1002A"/>
    <w:rsid w:val="00F1009B"/>
    <w:rsid w:val="00F1029D"/>
    <w:rsid w:val="00F10432"/>
    <w:rsid w:val="00F104E8"/>
    <w:rsid w:val="00F1056E"/>
    <w:rsid w:val="00F108AD"/>
    <w:rsid w:val="00F108C5"/>
    <w:rsid w:val="00F108D7"/>
    <w:rsid w:val="00F10A8D"/>
    <w:rsid w:val="00F10B64"/>
    <w:rsid w:val="00F10C31"/>
    <w:rsid w:val="00F10D29"/>
    <w:rsid w:val="00F10DC2"/>
    <w:rsid w:val="00F11114"/>
    <w:rsid w:val="00F11252"/>
    <w:rsid w:val="00F113A1"/>
    <w:rsid w:val="00F11453"/>
    <w:rsid w:val="00F1166B"/>
    <w:rsid w:val="00F117AE"/>
    <w:rsid w:val="00F117E2"/>
    <w:rsid w:val="00F11945"/>
    <w:rsid w:val="00F11B19"/>
    <w:rsid w:val="00F11D49"/>
    <w:rsid w:val="00F11D9A"/>
    <w:rsid w:val="00F11EB6"/>
    <w:rsid w:val="00F120E0"/>
    <w:rsid w:val="00F12105"/>
    <w:rsid w:val="00F12727"/>
    <w:rsid w:val="00F1272E"/>
    <w:rsid w:val="00F1273F"/>
    <w:rsid w:val="00F12893"/>
    <w:rsid w:val="00F1294E"/>
    <w:rsid w:val="00F12ADA"/>
    <w:rsid w:val="00F12B66"/>
    <w:rsid w:val="00F12BC9"/>
    <w:rsid w:val="00F12CA8"/>
    <w:rsid w:val="00F12CE0"/>
    <w:rsid w:val="00F12F6C"/>
    <w:rsid w:val="00F131DA"/>
    <w:rsid w:val="00F1328A"/>
    <w:rsid w:val="00F135ED"/>
    <w:rsid w:val="00F136D2"/>
    <w:rsid w:val="00F1385E"/>
    <w:rsid w:val="00F13895"/>
    <w:rsid w:val="00F13944"/>
    <w:rsid w:val="00F13A2C"/>
    <w:rsid w:val="00F13A70"/>
    <w:rsid w:val="00F13B15"/>
    <w:rsid w:val="00F13B18"/>
    <w:rsid w:val="00F13DCE"/>
    <w:rsid w:val="00F13E62"/>
    <w:rsid w:val="00F13EA2"/>
    <w:rsid w:val="00F13F3D"/>
    <w:rsid w:val="00F140A3"/>
    <w:rsid w:val="00F1418D"/>
    <w:rsid w:val="00F1431F"/>
    <w:rsid w:val="00F14343"/>
    <w:rsid w:val="00F14529"/>
    <w:rsid w:val="00F14678"/>
    <w:rsid w:val="00F146AA"/>
    <w:rsid w:val="00F14964"/>
    <w:rsid w:val="00F149FE"/>
    <w:rsid w:val="00F14A46"/>
    <w:rsid w:val="00F14CE7"/>
    <w:rsid w:val="00F14D16"/>
    <w:rsid w:val="00F14DE0"/>
    <w:rsid w:val="00F1512E"/>
    <w:rsid w:val="00F15561"/>
    <w:rsid w:val="00F155E8"/>
    <w:rsid w:val="00F15B36"/>
    <w:rsid w:val="00F15BAB"/>
    <w:rsid w:val="00F15C24"/>
    <w:rsid w:val="00F15CF8"/>
    <w:rsid w:val="00F15D76"/>
    <w:rsid w:val="00F15EC8"/>
    <w:rsid w:val="00F15ECA"/>
    <w:rsid w:val="00F162E3"/>
    <w:rsid w:val="00F1630B"/>
    <w:rsid w:val="00F16363"/>
    <w:rsid w:val="00F16402"/>
    <w:rsid w:val="00F16589"/>
    <w:rsid w:val="00F16590"/>
    <w:rsid w:val="00F165C2"/>
    <w:rsid w:val="00F1671A"/>
    <w:rsid w:val="00F16739"/>
    <w:rsid w:val="00F168C6"/>
    <w:rsid w:val="00F168DF"/>
    <w:rsid w:val="00F16CFA"/>
    <w:rsid w:val="00F16DB5"/>
    <w:rsid w:val="00F16DF4"/>
    <w:rsid w:val="00F16F69"/>
    <w:rsid w:val="00F17025"/>
    <w:rsid w:val="00F1713B"/>
    <w:rsid w:val="00F17172"/>
    <w:rsid w:val="00F17416"/>
    <w:rsid w:val="00F17530"/>
    <w:rsid w:val="00F176DC"/>
    <w:rsid w:val="00F176F2"/>
    <w:rsid w:val="00F1790A"/>
    <w:rsid w:val="00F17A22"/>
    <w:rsid w:val="00F17D18"/>
    <w:rsid w:val="00F17EE9"/>
    <w:rsid w:val="00F17F17"/>
    <w:rsid w:val="00F2034F"/>
    <w:rsid w:val="00F205F5"/>
    <w:rsid w:val="00F206F4"/>
    <w:rsid w:val="00F207F9"/>
    <w:rsid w:val="00F2092E"/>
    <w:rsid w:val="00F20933"/>
    <w:rsid w:val="00F20991"/>
    <w:rsid w:val="00F20AC5"/>
    <w:rsid w:val="00F20B5B"/>
    <w:rsid w:val="00F20B86"/>
    <w:rsid w:val="00F20BF4"/>
    <w:rsid w:val="00F20DD9"/>
    <w:rsid w:val="00F20F09"/>
    <w:rsid w:val="00F210BF"/>
    <w:rsid w:val="00F210F5"/>
    <w:rsid w:val="00F21480"/>
    <w:rsid w:val="00F2150E"/>
    <w:rsid w:val="00F2156C"/>
    <w:rsid w:val="00F21592"/>
    <w:rsid w:val="00F21638"/>
    <w:rsid w:val="00F21853"/>
    <w:rsid w:val="00F21957"/>
    <w:rsid w:val="00F21959"/>
    <w:rsid w:val="00F21A95"/>
    <w:rsid w:val="00F21AB8"/>
    <w:rsid w:val="00F21B2B"/>
    <w:rsid w:val="00F21B7B"/>
    <w:rsid w:val="00F21CA7"/>
    <w:rsid w:val="00F21CF7"/>
    <w:rsid w:val="00F21D2D"/>
    <w:rsid w:val="00F21DF3"/>
    <w:rsid w:val="00F21DFD"/>
    <w:rsid w:val="00F21E3A"/>
    <w:rsid w:val="00F21FF2"/>
    <w:rsid w:val="00F220C3"/>
    <w:rsid w:val="00F221CA"/>
    <w:rsid w:val="00F221D6"/>
    <w:rsid w:val="00F22319"/>
    <w:rsid w:val="00F22451"/>
    <w:rsid w:val="00F224B2"/>
    <w:rsid w:val="00F22652"/>
    <w:rsid w:val="00F226BA"/>
    <w:rsid w:val="00F22886"/>
    <w:rsid w:val="00F228AA"/>
    <w:rsid w:val="00F22C5A"/>
    <w:rsid w:val="00F22CAC"/>
    <w:rsid w:val="00F2300E"/>
    <w:rsid w:val="00F23058"/>
    <w:rsid w:val="00F231A5"/>
    <w:rsid w:val="00F23314"/>
    <w:rsid w:val="00F233A4"/>
    <w:rsid w:val="00F237BB"/>
    <w:rsid w:val="00F237FC"/>
    <w:rsid w:val="00F23831"/>
    <w:rsid w:val="00F239F4"/>
    <w:rsid w:val="00F23A07"/>
    <w:rsid w:val="00F23B67"/>
    <w:rsid w:val="00F23CD5"/>
    <w:rsid w:val="00F23EE1"/>
    <w:rsid w:val="00F2403D"/>
    <w:rsid w:val="00F2433E"/>
    <w:rsid w:val="00F2435D"/>
    <w:rsid w:val="00F24748"/>
    <w:rsid w:val="00F24A31"/>
    <w:rsid w:val="00F24BA2"/>
    <w:rsid w:val="00F24C7A"/>
    <w:rsid w:val="00F24D31"/>
    <w:rsid w:val="00F24DF6"/>
    <w:rsid w:val="00F24E45"/>
    <w:rsid w:val="00F24F31"/>
    <w:rsid w:val="00F2513B"/>
    <w:rsid w:val="00F25141"/>
    <w:rsid w:val="00F251E5"/>
    <w:rsid w:val="00F25326"/>
    <w:rsid w:val="00F25414"/>
    <w:rsid w:val="00F2553A"/>
    <w:rsid w:val="00F25764"/>
    <w:rsid w:val="00F2596F"/>
    <w:rsid w:val="00F25AF3"/>
    <w:rsid w:val="00F25DE8"/>
    <w:rsid w:val="00F26208"/>
    <w:rsid w:val="00F263A4"/>
    <w:rsid w:val="00F26514"/>
    <w:rsid w:val="00F265F9"/>
    <w:rsid w:val="00F2663E"/>
    <w:rsid w:val="00F2665D"/>
    <w:rsid w:val="00F2669E"/>
    <w:rsid w:val="00F266CE"/>
    <w:rsid w:val="00F26761"/>
    <w:rsid w:val="00F267DB"/>
    <w:rsid w:val="00F267F3"/>
    <w:rsid w:val="00F26AC6"/>
    <w:rsid w:val="00F26AF4"/>
    <w:rsid w:val="00F26B65"/>
    <w:rsid w:val="00F26B6C"/>
    <w:rsid w:val="00F26C91"/>
    <w:rsid w:val="00F26D49"/>
    <w:rsid w:val="00F26D69"/>
    <w:rsid w:val="00F26DBA"/>
    <w:rsid w:val="00F26DED"/>
    <w:rsid w:val="00F26F9D"/>
    <w:rsid w:val="00F27050"/>
    <w:rsid w:val="00F27753"/>
    <w:rsid w:val="00F27814"/>
    <w:rsid w:val="00F2786F"/>
    <w:rsid w:val="00F279BD"/>
    <w:rsid w:val="00F27A2A"/>
    <w:rsid w:val="00F27ADA"/>
    <w:rsid w:val="00F27BF7"/>
    <w:rsid w:val="00F27D71"/>
    <w:rsid w:val="00F27E88"/>
    <w:rsid w:val="00F27EB4"/>
    <w:rsid w:val="00F27F9E"/>
    <w:rsid w:val="00F3000F"/>
    <w:rsid w:val="00F30030"/>
    <w:rsid w:val="00F300C7"/>
    <w:rsid w:val="00F30321"/>
    <w:rsid w:val="00F30375"/>
    <w:rsid w:val="00F3041D"/>
    <w:rsid w:val="00F30577"/>
    <w:rsid w:val="00F30662"/>
    <w:rsid w:val="00F306F8"/>
    <w:rsid w:val="00F30837"/>
    <w:rsid w:val="00F308DC"/>
    <w:rsid w:val="00F30AC8"/>
    <w:rsid w:val="00F30BBA"/>
    <w:rsid w:val="00F30D87"/>
    <w:rsid w:val="00F31000"/>
    <w:rsid w:val="00F31197"/>
    <w:rsid w:val="00F313C0"/>
    <w:rsid w:val="00F313C1"/>
    <w:rsid w:val="00F31444"/>
    <w:rsid w:val="00F3149E"/>
    <w:rsid w:val="00F3192C"/>
    <w:rsid w:val="00F31992"/>
    <w:rsid w:val="00F319AD"/>
    <w:rsid w:val="00F31A66"/>
    <w:rsid w:val="00F31A6D"/>
    <w:rsid w:val="00F31BB0"/>
    <w:rsid w:val="00F31C16"/>
    <w:rsid w:val="00F31D1F"/>
    <w:rsid w:val="00F31D37"/>
    <w:rsid w:val="00F31E91"/>
    <w:rsid w:val="00F3202D"/>
    <w:rsid w:val="00F32036"/>
    <w:rsid w:val="00F32125"/>
    <w:rsid w:val="00F323B1"/>
    <w:rsid w:val="00F3240B"/>
    <w:rsid w:val="00F324B0"/>
    <w:rsid w:val="00F32691"/>
    <w:rsid w:val="00F32818"/>
    <w:rsid w:val="00F32933"/>
    <w:rsid w:val="00F329B1"/>
    <w:rsid w:val="00F32AE7"/>
    <w:rsid w:val="00F32B70"/>
    <w:rsid w:val="00F32C1D"/>
    <w:rsid w:val="00F32DFF"/>
    <w:rsid w:val="00F32EB3"/>
    <w:rsid w:val="00F33191"/>
    <w:rsid w:val="00F33230"/>
    <w:rsid w:val="00F332A5"/>
    <w:rsid w:val="00F33404"/>
    <w:rsid w:val="00F3343A"/>
    <w:rsid w:val="00F334AC"/>
    <w:rsid w:val="00F334C7"/>
    <w:rsid w:val="00F3368F"/>
    <w:rsid w:val="00F33750"/>
    <w:rsid w:val="00F33754"/>
    <w:rsid w:val="00F339B8"/>
    <w:rsid w:val="00F33D0C"/>
    <w:rsid w:val="00F33E0B"/>
    <w:rsid w:val="00F33ED1"/>
    <w:rsid w:val="00F33F99"/>
    <w:rsid w:val="00F3407D"/>
    <w:rsid w:val="00F341B3"/>
    <w:rsid w:val="00F341B5"/>
    <w:rsid w:val="00F34462"/>
    <w:rsid w:val="00F34478"/>
    <w:rsid w:val="00F344AA"/>
    <w:rsid w:val="00F346AB"/>
    <w:rsid w:val="00F34762"/>
    <w:rsid w:val="00F3476F"/>
    <w:rsid w:val="00F3488C"/>
    <w:rsid w:val="00F348D5"/>
    <w:rsid w:val="00F349C3"/>
    <w:rsid w:val="00F34A4D"/>
    <w:rsid w:val="00F34C35"/>
    <w:rsid w:val="00F353EC"/>
    <w:rsid w:val="00F355CE"/>
    <w:rsid w:val="00F35654"/>
    <w:rsid w:val="00F356A8"/>
    <w:rsid w:val="00F356B4"/>
    <w:rsid w:val="00F3583D"/>
    <w:rsid w:val="00F3584F"/>
    <w:rsid w:val="00F35948"/>
    <w:rsid w:val="00F359E1"/>
    <w:rsid w:val="00F35A98"/>
    <w:rsid w:val="00F35C14"/>
    <w:rsid w:val="00F35CCF"/>
    <w:rsid w:val="00F35DDD"/>
    <w:rsid w:val="00F35E9A"/>
    <w:rsid w:val="00F36104"/>
    <w:rsid w:val="00F36220"/>
    <w:rsid w:val="00F36266"/>
    <w:rsid w:val="00F36444"/>
    <w:rsid w:val="00F3659C"/>
    <w:rsid w:val="00F3665B"/>
    <w:rsid w:val="00F36777"/>
    <w:rsid w:val="00F369C2"/>
    <w:rsid w:val="00F369DB"/>
    <w:rsid w:val="00F36B85"/>
    <w:rsid w:val="00F36E52"/>
    <w:rsid w:val="00F36E5F"/>
    <w:rsid w:val="00F36E89"/>
    <w:rsid w:val="00F36F75"/>
    <w:rsid w:val="00F370FB"/>
    <w:rsid w:val="00F372CE"/>
    <w:rsid w:val="00F37374"/>
    <w:rsid w:val="00F37437"/>
    <w:rsid w:val="00F374F8"/>
    <w:rsid w:val="00F376B9"/>
    <w:rsid w:val="00F37759"/>
    <w:rsid w:val="00F3783E"/>
    <w:rsid w:val="00F37867"/>
    <w:rsid w:val="00F378F2"/>
    <w:rsid w:val="00F379EA"/>
    <w:rsid w:val="00F37A88"/>
    <w:rsid w:val="00F37B53"/>
    <w:rsid w:val="00F37BA8"/>
    <w:rsid w:val="00F37C41"/>
    <w:rsid w:val="00F37D77"/>
    <w:rsid w:val="00F38106"/>
    <w:rsid w:val="00F40145"/>
    <w:rsid w:val="00F4031E"/>
    <w:rsid w:val="00F40451"/>
    <w:rsid w:val="00F404CF"/>
    <w:rsid w:val="00F404DD"/>
    <w:rsid w:val="00F4050C"/>
    <w:rsid w:val="00F4078C"/>
    <w:rsid w:val="00F4078E"/>
    <w:rsid w:val="00F40795"/>
    <w:rsid w:val="00F408BD"/>
    <w:rsid w:val="00F4091E"/>
    <w:rsid w:val="00F409A1"/>
    <w:rsid w:val="00F40A13"/>
    <w:rsid w:val="00F40A67"/>
    <w:rsid w:val="00F40CD3"/>
    <w:rsid w:val="00F40D9B"/>
    <w:rsid w:val="00F40DF3"/>
    <w:rsid w:val="00F40E3D"/>
    <w:rsid w:val="00F41211"/>
    <w:rsid w:val="00F41483"/>
    <w:rsid w:val="00F415A7"/>
    <w:rsid w:val="00F41680"/>
    <w:rsid w:val="00F417DC"/>
    <w:rsid w:val="00F417E4"/>
    <w:rsid w:val="00F41836"/>
    <w:rsid w:val="00F41A11"/>
    <w:rsid w:val="00F41C70"/>
    <w:rsid w:val="00F41DA7"/>
    <w:rsid w:val="00F41EB5"/>
    <w:rsid w:val="00F41EFA"/>
    <w:rsid w:val="00F421CE"/>
    <w:rsid w:val="00F422C9"/>
    <w:rsid w:val="00F4240F"/>
    <w:rsid w:val="00F4251A"/>
    <w:rsid w:val="00F4257C"/>
    <w:rsid w:val="00F426DF"/>
    <w:rsid w:val="00F428AE"/>
    <w:rsid w:val="00F429FA"/>
    <w:rsid w:val="00F42B35"/>
    <w:rsid w:val="00F42B5D"/>
    <w:rsid w:val="00F42CD1"/>
    <w:rsid w:val="00F430F1"/>
    <w:rsid w:val="00F432AF"/>
    <w:rsid w:val="00F432D8"/>
    <w:rsid w:val="00F433F8"/>
    <w:rsid w:val="00F43578"/>
    <w:rsid w:val="00F43588"/>
    <w:rsid w:val="00F43671"/>
    <w:rsid w:val="00F43824"/>
    <w:rsid w:val="00F4394C"/>
    <w:rsid w:val="00F43AB7"/>
    <w:rsid w:val="00F43B9C"/>
    <w:rsid w:val="00F43D60"/>
    <w:rsid w:val="00F43E02"/>
    <w:rsid w:val="00F43FF4"/>
    <w:rsid w:val="00F440F6"/>
    <w:rsid w:val="00F441D4"/>
    <w:rsid w:val="00F445E9"/>
    <w:rsid w:val="00F446C0"/>
    <w:rsid w:val="00F447D6"/>
    <w:rsid w:val="00F449BE"/>
    <w:rsid w:val="00F44A9E"/>
    <w:rsid w:val="00F44B8E"/>
    <w:rsid w:val="00F44D20"/>
    <w:rsid w:val="00F451BF"/>
    <w:rsid w:val="00F45695"/>
    <w:rsid w:val="00F456AB"/>
    <w:rsid w:val="00F456B0"/>
    <w:rsid w:val="00F457CD"/>
    <w:rsid w:val="00F4584F"/>
    <w:rsid w:val="00F459E2"/>
    <w:rsid w:val="00F45A2D"/>
    <w:rsid w:val="00F45CCB"/>
    <w:rsid w:val="00F45EB9"/>
    <w:rsid w:val="00F46342"/>
    <w:rsid w:val="00F46576"/>
    <w:rsid w:val="00F46649"/>
    <w:rsid w:val="00F46792"/>
    <w:rsid w:val="00F4685A"/>
    <w:rsid w:val="00F4686A"/>
    <w:rsid w:val="00F46B28"/>
    <w:rsid w:val="00F46B58"/>
    <w:rsid w:val="00F46B98"/>
    <w:rsid w:val="00F46D36"/>
    <w:rsid w:val="00F46E4A"/>
    <w:rsid w:val="00F46EFC"/>
    <w:rsid w:val="00F46F92"/>
    <w:rsid w:val="00F4710F"/>
    <w:rsid w:val="00F472EE"/>
    <w:rsid w:val="00F475B5"/>
    <w:rsid w:val="00F475BB"/>
    <w:rsid w:val="00F47643"/>
    <w:rsid w:val="00F477C8"/>
    <w:rsid w:val="00F478B0"/>
    <w:rsid w:val="00F478B4"/>
    <w:rsid w:val="00F478BD"/>
    <w:rsid w:val="00F479A3"/>
    <w:rsid w:val="00F479AC"/>
    <w:rsid w:val="00F479E1"/>
    <w:rsid w:val="00F47A18"/>
    <w:rsid w:val="00F47B27"/>
    <w:rsid w:val="00F47B44"/>
    <w:rsid w:val="00F47CA3"/>
    <w:rsid w:val="00F47D12"/>
    <w:rsid w:val="00F47EF8"/>
    <w:rsid w:val="00F47F71"/>
    <w:rsid w:val="00F47FAC"/>
    <w:rsid w:val="00F50095"/>
    <w:rsid w:val="00F502F2"/>
    <w:rsid w:val="00F5035C"/>
    <w:rsid w:val="00F5035D"/>
    <w:rsid w:val="00F5050F"/>
    <w:rsid w:val="00F50511"/>
    <w:rsid w:val="00F5064A"/>
    <w:rsid w:val="00F5093A"/>
    <w:rsid w:val="00F5096E"/>
    <w:rsid w:val="00F50B2E"/>
    <w:rsid w:val="00F50DD1"/>
    <w:rsid w:val="00F50DDC"/>
    <w:rsid w:val="00F50FD7"/>
    <w:rsid w:val="00F51092"/>
    <w:rsid w:val="00F51354"/>
    <w:rsid w:val="00F51360"/>
    <w:rsid w:val="00F516DE"/>
    <w:rsid w:val="00F51785"/>
    <w:rsid w:val="00F5178E"/>
    <w:rsid w:val="00F51800"/>
    <w:rsid w:val="00F51827"/>
    <w:rsid w:val="00F51935"/>
    <w:rsid w:val="00F51986"/>
    <w:rsid w:val="00F519D4"/>
    <w:rsid w:val="00F51AEC"/>
    <w:rsid w:val="00F51C29"/>
    <w:rsid w:val="00F51C45"/>
    <w:rsid w:val="00F51D37"/>
    <w:rsid w:val="00F51F09"/>
    <w:rsid w:val="00F51F3B"/>
    <w:rsid w:val="00F5231B"/>
    <w:rsid w:val="00F5240E"/>
    <w:rsid w:val="00F52570"/>
    <w:rsid w:val="00F5270F"/>
    <w:rsid w:val="00F528D3"/>
    <w:rsid w:val="00F5291E"/>
    <w:rsid w:val="00F529D6"/>
    <w:rsid w:val="00F52A0B"/>
    <w:rsid w:val="00F52CFC"/>
    <w:rsid w:val="00F52EDA"/>
    <w:rsid w:val="00F52F78"/>
    <w:rsid w:val="00F5303A"/>
    <w:rsid w:val="00F53240"/>
    <w:rsid w:val="00F5326B"/>
    <w:rsid w:val="00F533B4"/>
    <w:rsid w:val="00F534D6"/>
    <w:rsid w:val="00F53501"/>
    <w:rsid w:val="00F5379C"/>
    <w:rsid w:val="00F53853"/>
    <w:rsid w:val="00F53BD4"/>
    <w:rsid w:val="00F53C79"/>
    <w:rsid w:val="00F53CB2"/>
    <w:rsid w:val="00F53D3C"/>
    <w:rsid w:val="00F53E15"/>
    <w:rsid w:val="00F53E4A"/>
    <w:rsid w:val="00F53EC5"/>
    <w:rsid w:val="00F53F85"/>
    <w:rsid w:val="00F540C4"/>
    <w:rsid w:val="00F540F0"/>
    <w:rsid w:val="00F54214"/>
    <w:rsid w:val="00F5440D"/>
    <w:rsid w:val="00F544CC"/>
    <w:rsid w:val="00F545DA"/>
    <w:rsid w:val="00F54749"/>
    <w:rsid w:val="00F5489E"/>
    <w:rsid w:val="00F54943"/>
    <w:rsid w:val="00F5494C"/>
    <w:rsid w:val="00F54C26"/>
    <w:rsid w:val="00F54FC2"/>
    <w:rsid w:val="00F55155"/>
    <w:rsid w:val="00F551E7"/>
    <w:rsid w:val="00F552F9"/>
    <w:rsid w:val="00F553B9"/>
    <w:rsid w:val="00F5540E"/>
    <w:rsid w:val="00F554EF"/>
    <w:rsid w:val="00F55537"/>
    <w:rsid w:val="00F5558C"/>
    <w:rsid w:val="00F5561F"/>
    <w:rsid w:val="00F556C0"/>
    <w:rsid w:val="00F557F2"/>
    <w:rsid w:val="00F558F0"/>
    <w:rsid w:val="00F55911"/>
    <w:rsid w:val="00F5597B"/>
    <w:rsid w:val="00F55C52"/>
    <w:rsid w:val="00F55C79"/>
    <w:rsid w:val="00F55CEB"/>
    <w:rsid w:val="00F55E07"/>
    <w:rsid w:val="00F55E66"/>
    <w:rsid w:val="00F55E6A"/>
    <w:rsid w:val="00F55EF3"/>
    <w:rsid w:val="00F55F65"/>
    <w:rsid w:val="00F56020"/>
    <w:rsid w:val="00F56086"/>
    <w:rsid w:val="00F56150"/>
    <w:rsid w:val="00F56181"/>
    <w:rsid w:val="00F5618D"/>
    <w:rsid w:val="00F561EA"/>
    <w:rsid w:val="00F561EB"/>
    <w:rsid w:val="00F562E7"/>
    <w:rsid w:val="00F56384"/>
    <w:rsid w:val="00F563C6"/>
    <w:rsid w:val="00F56643"/>
    <w:rsid w:val="00F56656"/>
    <w:rsid w:val="00F56658"/>
    <w:rsid w:val="00F566AB"/>
    <w:rsid w:val="00F56718"/>
    <w:rsid w:val="00F5671F"/>
    <w:rsid w:val="00F56807"/>
    <w:rsid w:val="00F568F9"/>
    <w:rsid w:val="00F56AF6"/>
    <w:rsid w:val="00F56BB3"/>
    <w:rsid w:val="00F56D32"/>
    <w:rsid w:val="00F56D85"/>
    <w:rsid w:val="00F5702A"/>
    <w:rsid w:val="00F570CE"/>
    <w:rsid w:val="00F571CD"/>
    <w:rsid w:val="00F57384"/>
    <w:rsid w:val="00F5757A"/>
    <w:rsid w:val="00F577CA"/>
    <w:rsid w:val="00F577E2"/>
    <w:rsid w:val="00F57992"/>
    <w:rsid w:val="00F57C23"/>
    <w:rsid w:val="00F57D99"/>
    <w:rsid w:val="00F57E97"/>
    <w:rsid w:val="00F57FFC"/>
    <w:rsid w:val="00F60141"/>
    <w:rsid w:val="00F60159"/>
    <w:rsid w:val="00F60164"/>
    <w:rsid w:val="00F60368"/>
    <w:rsid w:val="00F60461"/>
    <w:rsid w:val="00F604FE"/>
    <w:rsid w:val="00F60583"/>
    <w:rsid w:val="00F60702"/>
    <w:rsid w:val="00F60988"/>
    <w:rsid w:val="00F60A05"/>
    <w:rsid w:val="00F60AD0"/>
    <w:rsid w:val="00F60AEF"/>
    <w:rsid w:val="00F60B4C"/>
    <w:rsid w:val="00F60B57"/>
    <w:rsid w:val="00F60DB2"/>
    <w:rsid w:val="00F60EAB"/>
    <w:rsid w:val="00F60F63"/>
    <w:rsid w:val="00F61012"/>
    <w:rsid w:val="00F61404"/>
    <w:rsid w:val="00F61436"/>
    <w:rsid w:val="00F61467"/>
    <w:rsid w:val="00F614B3"/>
    <w:rsid w:val="00F6155E"/>
    <w:rsid w:val="00F615AF"/>
    <w:rsid w:val="00F61651"/>
    <w:rsid w:val="00F6168E"/>
    <w:rsid w:val="00F61799"/>
    <w:rsid w:val="00F6181B"/>
    <w:rsid w:val="00F61837"/>
    <w:rsid w:val="00F6198E"/>
    <w:rsid w:val="00F61ABC"/>
    <w:rsid w:val="00F61ACC"/>
    <w:rsid w:val="00F61CF3"/>
    <w:rsid w:val="00F61D22"/>
    <w:rsid w:val="00F61DAA"/>
    <w:rsid w:val="00F61E01"/>
    <w:rsid w:val="00F61EBD"/>
    <w:rsid w:val="00F61EF9"/>
    <w:rsid w:val="00F6210C"/>
    <w:rsid w:val="00F62151"/>
    <w:rsid w:val="00F62182"/>
    <w:rsid w:val="00F6218F"/>
    <w:rsid w:val="00F622DC"/>
    <w:rsid w:val="00F623C9"/>
    <w:rsid w:val="00F6242F"/>
    <w:rsid w:val="00F6249D"/>
    <w:rsid w:val="00F626BE"/>
    <w:rsid w:val="00F627AA"/>
    <w:rsid w:val="00F627FC"/>
    <w:rsid w:val="00F628F5"/>
    <w:rsid w:val="00F6292C"/>
    <w:rsid w:val="00F629A0"/>
    <w:rsid w:val="00F629AD"/>
    <w:rsid w:val="00F62B86"/>
    <w:rsid w:val="00F62BB8"/>
    <w:rsid w:val="00F62E61"/>
    <w:rsid w:val="00F62EB2"/>
    <w:rsid w:val="00F63123"/>
    <w:rsid w:val="00F63370"/>
    <w:rsid w:val="00F633E7"/>
    <w:rsid w:val="00F63517"/>
    <w:rsid w:val="00F635E7"/>
    <w:rsid w:val="00F637B7"/>
    <w:rsid w:val="00F637DC"/>
    <w:rsid w:val="00F639EB"/>
    <w:rsid w:val="00F63D04"/>
    <w:rsid w:val="00F63DC6"/>
    <w:rsid w:val="00F63EA6"/>
    <w:rsid w:val="00F63EAB"/>
    <w:rsid w:val="00F643AC"/>
    <w:rsid w:val="00F64547"/>
    <w:rsid w:val="00F6485E"/>
    <w:rsid w:val="00F648A5"/>
    <w:rsid w:val="00F649C0"/>
    <w:rsid w:val="00F64B01"/>
    <w:rsid w:val="00F64E2C"/>
    <w:rsid w:val="00F64E97"/>
    <w:rsid w:val="00F64F9B"/>
    <w:rsid w:val="00F64FC7"/>
    <w:rsid w:val="00F64FD2"/>
    <w:rsid w:val="00F64FD6"/>
    <w:rsid w:val="00F6505F"/>
    <w:rsid w:val="00F6517E"/>
    <w:rsid w:val="00F651C7"/>
    <w:rsid w:val="00F651D5"/>
    <w:rsid w:val="00F6522D"/>
    <w:rsid w:val="00F6522E"/>
    <w:rsid w:val="00F6531E"/>
    <w:rsid w:val="00F6553A"/>
    <w:rsid w:val="00F65683"/>
    <w:rsid w:val="00F657E0"/>
    <w:rsid w:val="00F65ADC"/>
    <w:rsid w:val="00F65B9A"/>
    <w:rsid w:val="00F65CB6"/>
    <w:rsid w:val="00F65E84"/>
    <w:rsid w:val="00F65EC7"/>
    <w:rsid w:val="00F65FA9"/>
    <w:rsid w:val="00F6619F"/>
    <w:rsid w:val="00F662C0"/>
    <w:rsid w:val="00F665A9"/>
    <w:rsid w:val="00F66675"/>
    <w:rsid w:val="00F66703"/>
    <w:rsid w:val="00F667AA"/>
    <w:rsid w:val="00F667C3"/>
    <w:rsid w:val="00F66B62"/>
    <w:rsid w:val="00F66B69"/>
    <w:rsid w:val="00F66C51"/>
    <w:rsid w:val="00F66D9F"/>
    <w:rsid w:val="00F66E76"/>
    <w:rsid w:val="00F66FA1"/>
    <w:rsid w:val="00F67086"/>
    <w:rsid w:val="00F670D3"/>
    <w:rsid w:val="00F670F9"/>
    <w:rsid w:val="00F67115"/>
    <w:rsid w:val="00F67407"/>
    <w:rsid w:val="00F675D4"/>
    <w:rsid w:val="00F679DD"/>
    <w:rsid w:val="00F67C83"/>
    <w:rsid w:val="00F67D3F"/>
    <w:rsid w:val="00F67D79"/>
    <w:rsid w:val="00F67E28"/>
    <w:rsid w:val="00F67E2D"/>
    <w:rsid w:val="00F67F2D"/>
    <w:rsid w:val="00F67F50"/>
    <w:rsid w:val="00F67F90"/>
    <w:rsid w:val="00F67FC5"/>
    <w:rsid w:val="00F700AB"/>
    <w:rsid w:val="00F702BB"/>
    <w:rsid w:val="00F7042B"/>
    <w:rsid w:val="00F70553"/>
    <w:rsid w:val="00F706DD"/>
    <w:rsid w:val="00F70788"/>
    <w:rsid w:val="00F70823"/>
    <w:rsid w:val="00F70E48"/>
    <w:rsid w:val="00F70E51"/>
    <w:rsid w:val="00F70EE7"/>
    <w:rsid w:val="00F70EED"/>
    <w:rsid w:val="00F70FF9"/>
    <w:rsid w:val="00F7104E"/>
    <w:rsid w:val="00F71220"/>
    <w:rsid w:val="00F714E9"/>
    <w:rsid w:val="00F714F3"/>
    <w:rsid w:val="00F715BB"/>
    <w:rsid w:val="00F71756"/>
    <w:rsid w:val="00F71AB2"/>
    <w:rsid w:val="00F71B48"/>
    <w:rsid w:val="00F71DA3"/>
    <w:rsid w:val="00F71F09"/>
    <w:rsid w:val="00F7248B"/>
    <w:rsid w:val="00F72503"/>
    <w:rsid w:val="00F72589"/>
    <w:rsid w:val="00F727CF"/>
    <w:rsid w:val="00F727D6"/>
    <w:rsid w:val="00F72885"/>
    <w:rsid w:val="00F728C4"/>
    <w:rsid w:val="00F7296B"/>
    <w:rsid w:val="00F72A83"/>
    <w:rsid w:val="00F72D87"/>
    <w:rsid w:val="00F72E3F"/>
    <w:rsid w:val="00F72EC2"/>
    <w:rsid w:val="00F72FC8"/>
    <w:rsid w:val="00F72FF1"/>
    <w:rsid w:val="00F72FF2"/>
    <w:rsid w:val="00F73002"/>
    <w:rsid w:val="00F73173"/>
    <w:rsid w:val="00F73312"/>
    <w:rsid w:val="00F73416"/>
    <w:rsid w:val="00F7345B"/>
    <w:rsid w:val="00F7375F"/>
    <w:rsid w:val="00F7390F"/>
    <w:rsid w:val="00F73979"/>
    <w:rsid w:val="00F73A21"/>
    <w:rsid w:val="00F73AD6"/>
    <w:rsid w:val="00F73B90"/>
    <w:rsid w:val="00F73BE3"/>
    <w:rsid w:val="00F73C42"/>
    <w:rsid w:val="00F73D8D"/>
    <w:rsid w:val="00F73FE0"/>
    <w:rsid w:val="00F7401C"/>
    <w:rsid w:val="00F7453F"/>
    <w:rsid w:val="00F74589"/>
    <w:rsid w:val="00F74815"/>
    <w:rsid w:val="00F74816"/>
    <w:rsid w:val="00F74C07"/>
    <w:rsid w:val="00F74C5A"/>
    <w:rsid w:val="00F74D89"/>
    <w:rsid w:val="00F74F5C"/>
    <w:rsid w:val="00F74FB4"/>
    <w:rsid w:val="00F75051"/>
    <w:rsid w:val="00F75057"/>
    <w:rsid w:val="00F7505A"/>
    <w:rsid w:val="00F751A8"/>
    <w:rsid w:val="00F7564E"/>
    <w:rsid w:val="00F75678"/>
    <w:rsid w:val="00F7568F"/>
    <w:rsid w:val="00F756D3"/>
    <w:rsid w:val="00F75719"/>
    <w:rsid w:val="00F758BA"/>
    <w:rsid w:val="00F7594A"/>
    <w:rsid w:val="00F75DED"/>
    <w:rsid w:val="00F75F6B"/>
    <w:rsid w:val="00F761D2"/>
    <w:rsid w:val="00F76252"/>
    <w:rsid w:val="00F76267"/>
    <w:rsid w:val="00F762F3"/>
    <w:rsid w:val="00F76328"/>
    <w:rsid w:val="00F76329"/>
    <w:rsid w:val="00F766B4"/>
    <w:rsid w:val="00F7677A"/>
    <w:rsid w:val="00F76AE9"/>
    <w:rsid w:val="00F76AEA"/>
    <w:rsid w:val="00F76BAF"/>
    <w:rsid w:val="00F76C55"/>
    <w:rsid w:val="00F76CDA"/>
    <w:rsid w:val="00F76D87"/>
    <w:rsid w:val="00F76DA1"/>
    <w:rsid w:val="00F76DDA"/>
    <w:rsid w:val="00F76DF8"/>
    <w:rsid w:val="00F76EEF"/>
    <w:rsid w:val="00F77223"/>
    <w:rsid w:val="00F77244"/>
    <w:rsid w:val="00F773B4"/>
    <w:rsid w:val="00F774A7"/>
    <w:rsid w:val="00F778E7"/>
    <w:rsid w:val="00F7793A"/>
    <w:rsid w:val="00F77983"/>
    <w:rsid w:val="00F77A8E"/>
    <w:rsid w:val="00F77AEE"/>
    <w:rsid w:val="00F77CB2"/>
    <w:rsid w:val="00F77EA0"/>
    <w:rsid w:val="00F8015B"/>
    <w:rsid w:val="00F80348"/>
    <w:rsid w:val="00F8077A"/>
    <w:rsid w:val="00F8093B"/>
    <w:rsid w:val="00F809FE"/>
    <w:rsid w:val="00F80A17"/>
    <w:rsid w:val="00F80B4A"/>
    <w:rsid w:val="00F80BA0"/>
    <w:rsid w:val="00F81092"/>
    <w:rsid w:val="00F8116F"/>
    <w:rsid w:val="00F81208"/>
    <w:rsid w:val="00F81336"/>
    <w:rsid w:val="00F8145C"/>
    <w:rsid w:val="00F8152E"/>
    <w:rsid w:val="00F818B7"/>
    <w:rsid w:val="00F81AE5"/>
    <w:rsid w:val="00F81B4A"/>
    <w:rsid w:val="00F81C66"/>
    <w:rsid w:val="00F81DD1"/>
    <w:rsid w:val="00F81E39"/>
    <w:rsid w:val="00F81EAB"/>
    <w:rsid w:val="00F81EAE"/>
    <w:rsid w:val="00F81F3D"/>
    <w:rsid w:val="00F8202E"/>
    <w:rsid w:val="00F821DA"/>
    <w:rsid w:val="00F821E3"/>
    <w:rsid w:val="00F82340"/>
    <w:rsid w:val="00F823A1"/>
    <w:rsid w:val="00F823F6"/>
    <w:rsid w:val="00F82559"/>
    <w:rsid w:val="00F82786"/>
    <w:rsid w:val="00F827B5"/>
    <w:rsid w:val="00F829EF"/>
    <w:rsid w:val="00F82A01"/>
    <w:rsid w:val="00F82ACB"/>
    <w:rsid w:val="00F82B10"/>
    <w:rsid w:val="00F82C0C"/>
    <w:rsid w:val="00F82D22"/>
    <w:rsid w:val="00F82D41"/>
    <w:rsid w:val="00F82D5F"/>
    <w:rsid w:val="00F82E49"/>
    <w:rsid w:val="00F82F46"/>
    <w:rsid w:val="00F83007"/>
    <w:rsid w:val="00F831FC"/>
    <w:rsid w:val="00F83219"/>
    <w:rsid w:val="00F83252"/>
    <w:rsid w:val="00F83279"/>
    <w:rsid w:val="00F832C1"/>
    <w:rsid w:val="00F83445"/>
    <w:rsid w:val="00F836D2"/>
    <w:rsid w:val="00F83799"/>
    <w:rsid w:val="00F837FE"/>
    <w:rsid w:val="00F83878"/>
    <w:rsid w:val="00F83AA2"/>
    <w:rsid w:val="00F83B11"/>
    <w:rsid w:val="00F83D50"/>
    <w:rsid w:val="00F83F76"/>
    <w:rsid w:val="00F83FC6"/>
    <w:rsid w:val="00F83FD6"/>
    <w:rsid w:val="00F8408B"/>
    <w:rsid w:val="00F84258"/>
    <w:rsid w:val="00F842BC"/>
    <w:rsid w:val="00F843A2"/>
    <w:rsid w:val="00F8452E"/>
    <w:rsid w:val="00F8470E"/>
    <w:rsid w:val="00F84A77"/>
    <w:rsid w:val="00F84A7B"/>
    <w:rsid w:val="00F84A7E"/>
    <w:rsid w:val="00F84C2F"/>
    <w:rsid w:val="00F84D08"/>
    <w:rsid w:val="00F84E1E"/>
    <w:rsid w:val="00F84EFB"/>
    <w:rsid w:val="00F85047"/>
    <w:rsid w:val="00F850F9"/>
    <w:rsid w:val="00F85185"/>
    <w:rsid w:val="00F85236"/>
    <w:rsid w:val="00F8536C"/>
    <w:rsid w:val="00F85429"/>
    <w:rsid w:val="00F855B6"/>
    <w:rsid w:val="00F855C0"/>
    <w:rsid w:val="00F856A7"/>
    <w:rsid w:val="00F85709"/>
    <w:rsid w:val="00F85722"/>
    <w:rsid w:val="00F85937"/>
    <w:rsid w:val="00F85A01"/>
    <w:rsid w:val="00F85AC6"/>
    <w:rsid w:val="00F86229"/>
    <w:rsid w:val="00F8633B"/>
    <w:rsid w:val="00F86640"/>
    <w:rsid w:val="00F866E0"/>
    <w:rsid w:val="00F86797"/>
    <w:rsid w:val="00F867E0"/>
    <w:rsid w:val="00F868B0"/>
    <w:rsid w:val="00F868BC"/>
    <w:rsid w:val="00F868BF"/>
    <w:rsid w:val="00F868E9"/>
    <w:rsid w:val="00F86AB2"/>
    <w:rsid w:val="00F86C2B"/>
    <w:rsid w:val="00F86DF1"/>
    <w:rsid w:val="00F871B0"/>
    <w:rsid w:val="00F87365"/>
    <w:rsid w:val="00F87474"/>
    <w:rsid w:val="00F874F1"/>
    <w:rsid w:val="00F87589"/>
    <w:rsid w:val="00F8784D"/>
    <w:rsid w:val="00F87862"/>
    <w:rsid w:val="00F878A4"/>
    <w:rsid w:val="00F87A90"/>
    <w:rsid w:val="00F87ABC"/>
    <w:rsid w:val="00F87BC1"/>
    <w:rsid w:val="00F87D7D"/>
    <w:rsid w:val="00F901E3"/>
    <w:rsid w:val="00F90216"/>
    <w:rsid w:val="00F903C1"/>
    <w:rsid w:val="00F90601"/>
    <w:rsid w:val="00F90653"/>
    <w:rsid w:val="00F9073D"/>
    <w:rsid w:val="00F907E1"/>
    <w:rsid w:val="00F9080A"/>
    <w:rsid w:val="00F90959"/>
    <w:rsid w:val="00F90A01"/>
    <w:rsid w:val="00F90A4D"/>
    <w:rsid w:val="00F90A79"/>
    <w:rsid w:val="00F90A84"/>
    <w:rsid w:val="00F90AA7"/>
    <w:rsid w:val="00F90AB5"/>
    <w:rsid w:val="00F90ACA"/>
    <w:rsid w:val="00F90C62"/>
    <w:rsid w:val="00F90D19"/>
    <w:rsid w:val="00F90E2A"/>
    <w:rsid w:val="00F91148"/>
    <w:rsid w:val="00F9116A"/>
    <w:rsid w:val="00F91538"/>
    <w:rsid w:val="00F916EE"/>
    <w:rsid w:val="00F918A1"/>
    <w:rsid w:val="00F91C0A"/>
    <w:rsid w:val="00F91CB4"/>
    <w:rsid w:val="00F91F68"/>
    <w:rsid w:val="00F92000"/>
    <w:rsid w:val="00F92004"/>
    <w:rsid w:val="00F922C1"/>
    <w:rsid w:val="00F922ED"/>
    <w:rsid w:val="00F92435"/>
    <w:rsid w:val="00F92773"/>
    <w:rsid w:val="00F92790"/>
    <w:rsid w:val="00F9282B"/>
    <w:rsid w:val="00F92932"/>
    <w:rsid w:val="00F92E8B"/>
    <w:rsid w:val="00F92EAE"/>
    <w:rsid w:val="00F92F94"/>
    <w:rsid w:val="00F930B9"/>
    <w:rsid w:val="00F931CC"/>
    <w:rsid w:val="00F932A3"/>
    <w:rsid w:val="00F93612"/>
    <w:rsid w:val="00F9379B"/>
    <w:rsid w:val="00F93874"/>
    <w:rsid w:val="00F938E1"/>
    <w:rsid w:val="00F93913"/>
    <w:rsid w:val="00F93AFE"/>
    <w:rsid w:val="00F93B69"/>
    <w:rsid w:val="00F93BC8"/>
    <w:rsid w:val="00F93C00"/>
    <w:rsid w:val="00F93C6D"/>
    <w:rsid w:val="00F93D29"/>
    <w:rsid w:val="00F93ECC"/>
    <w:rsid w:val="00F9411B"/>
    <w:rsid w:val="00F94174"/>
    <w:rsid w:val="00F9439B"/>
    <w:rsid w:val="00F943D1"/>
    <w:rsid w:val="00F94469"/>
    <w:rsid w:val="00F94474"/>
    <w:rsid w:val="00F9447B"/>
    <w:rsid w:val="00F944FD"/>
    <w:rsid w:val="00F94688"/>
    <w:rsid w:val="00F94879"/>
    <w:rsid w:val="00F949D7"/>
    <w:rsid w:val="00F94A1F"/>
    <w:rsid w:val="00F94A62"/>
    <w:rsid w:val="00F94A8E"/>
    <w:rsid w:val="00F94D0D"/>
    <w:rsid w:val="00F94D4A"/>
    <w:rsid w:val="00F94E74"/>
    <w:rsid w:val="00F94F32"/>
    <w:rsid w:val="00F95022"/>
    <w:rsid w:val="00F9502B"/>
    <w:rsid w:val="00F95040"/>
    <w:rsid w:val="00F95420"/>
    <w:rsid w:val="00F95687"/>
    <w:rsid w:val="00F956F8"/>
    <w:rsid w:val="00F95782"/>
    <w:rsid w:val="00F95943"/>
    <w:rsid w:val="00F95A88"/>
    <w:rsid w:val="00F95B4B"/>
    <w:rsid w:val="00F95BA9"/>
    <w:rsid w:val="00F95C79"/>
    <w:rsid w:val="00F95EB8"/>
    <w:rsid w:val="00F95F17"/>
    <w:rsid w:val="00F95F2A"/>
    <w:rsid w:val="00F95FCD"/>
    <w:rsid w:val="00F96030"/>
    <w:rsid w:val="00F960D5"/>
    <w:rsid w:val="00F960FA"/>
    <w:rsid w:val="00F96241"/>
    <w:rsid w:val="00F96381"/>
    <w:rsid w:val="00F96391"/>
    <w:rsid w:val="00F96814"/>
    <w:rsid w:val="00F968B4"/>
    <w:rsid w:val="00F9699B"/>
    <w:rsid w:val="00F96BB3"/>
    <w:rsid w:val="00F96BEC"/>
    <w:rsid w:val="00F96D76"/>
    <w:rsid w:val="00F96D85"/>
    <w:rsid w:val="00F96F80"/>
    <w:rsid w:val="00F96FD9"/>
    <w:rsid w:val="00F97082"/>
    <w:rsid w:val="00F97102"/>
    <w:rsid w:val="00F9711E"/>
    <w:rsid w:val="00F972F5"/>
    <w:rsid w:val="00F975E5"/>
    <w:rsid w:val="00F976B7"/>
    <w:rsid w:val="00F97813"/>
    <w:rsid w:val="00F97B57"/>
    <w:rsid w:val="00F97C8B"/>
    <w:rsid w:val="00F97E29"/>
    <w:rsid w:val="00F97F9A"/>
    <w:rsid w:val="00FA021E"/>
    <w:rsid w:val="00FA0259"/>
    <w:rsid w:val="00FA0266"/>
    <w:rsid w:val="00FA0274"/>
    <w:rsid w:val="00FA02FD"/>
    <w:rsid w:val="00FA0415"/>
    <w:rsid w:val="00FA0513"/>
    <w:rsid w:val="00FA0594"/>
    <w:rsid w:val="00FA064E"/>
    <w:rsid w:val="00FA06F2"/>
    <w:rsid w:val="00FA0739"/>
    <w:rsid w:val="00FA0927"/>
    <w:rsid w:val="00FA0A0F"/>
    <w:rsid w:val="00FA0A8C"/>
    <w:rsid w:val="00FA0B40"/>
    <w:rsid w:val="00FA0B60"/>
    <w:rsid w:val="00FA0B75"/>
    <w:rsid w:val="00FA0E17"/>
    <w:rsid w:val="00FA0ECC"/>
    <w:rsid w:val="00FA0F0B"/>
    <w:rsid w:val="00FA1065"/>
    <w:rsid w:val="00FA10B9"/>
    <w:rsid w:val="00FA123A"/>
    <w:rsid w:val="00FA1251"/>
    <w:rsid w:val="00FA1252"/>
    <w:rsid w:val="00FA1388"/>
    <w:rsid w:val="00FA17A5"/>
    <w:rsid w:val="00FA19D7"/>
    <w:rsid w:val="00FA1A25"/>
    <w:rsid w:val="00FA1A9C"/>
    <w:rsid w:val="00FA1B03"/>
    <w:rsid w:val="00FA1CE9"/>
    <w:rsid w:val="00FA1D0F"/>
    <w:rsid w:val="00FA1E09"/>
    <w:rsid w:val="00FA1E25"/>
    <w:rsid w:val="00FA224A"/>
    <w:rsid w:val="00FA2420"/>
    <w:rsid w:val="00FA24AC"/>
    <w:rsid w:val="00FA26DB"/>
    <w:rsid w:val="00FA27A5"/>
    <w:rsid w:val="00FA2865"/>
    <w:rsid w:val="00FA298D"/>
    <w:rsid w:val="00FA2A06"/>
    <w:rsid w:val="00FA2A22"/>
    <w:rsid w:val="00FA2A53"/>
    <w:rsid w:val="00FA2B06"/>
    <w:rsid w:val="00FA2C37"/>
    <w:rsid w:val="00FA2E62"/>
    <w:rsid w:val="00FA2E74"/>
    <w:rsid w:val="00FA2F26"/>
    <w:rsid w:val="00FA2FCC"/>
    <w:rsid w:val="00FA315A"/>
    <w:rsid w:val="00FA32E3"/>
    <w:rsid w:val="00FA330B"/>
    <w:rsid w:val="00FA33E7"/>
    <w:rsid w:val="00FA355E"/>
    <w:rsid w:val="00FA3599"/>
    <w:rsid w:val="00FA3690"/>
    <w:rsid w:val="00FA379F"/>
    <w:rsid w:val="00FA381C"/>
    <w:rsid w:val="00FA38DA"/>
    <w:rsid w:val="00FA392B"/>
    <w:rsid w:val="00FA3A48"/>
    <w:rsid w:val="00FA3A5A"/>
    <w:rsid w:val="00FA3A87"/>
    <w:rsid w:val="00FA3A9A"/>
    <w:rsid w:val="00FA3B0F"/>
    <w:rsid w:val="00FA3B52"/>
    <w:rsid w:val="00FA3C1F"/>
    <w:rsid w:val="00FA3CCF"/>
    <w:rsid w:val="00FA4090"/>
    <w:rsid w:val="00FA41C1"/>
    <w:rsid w:val="00FA41DD"/>
    <w:rsid w:val="00FA433F"/>
    <w:rsid w:val="00FA4561"/>
    <w:rsid w:val="00FA49CB"/>
    <w:rsid w:val="00FA4AE1"/>
    <w:rsid w:val="00FA4B8D"/>
    <w:rsid w:val="00FA4D94"/>
    <w:rsid w:val="00FA4F6E"/>
    <w:rsid w:val="00FA4FA5"/>
    <w:rsid w:val="00FA4FD6"/>
    <w:rsid w:val="00FA4FF7"/>
    <w:rsid w:val="00FA5025"/>
    <w:rsid w:val="00FA5134"/>
    <w:rsid w:val="00FA5292"/>
    <w:rsid w:val="00FA5301"/>
    <w:rsid w:val="00FA546A"/>
    <w:rsid w:val="00FA58B8"/>
    <w:rsid w:val="00FA5B55"/>
    <w:rsid w:val="00FA5F54"/>
    <w:rsid w:val="00FA6194"/>
    <w:rsid w:val="00FA63FE"/>
    <w:rsid w:val="00FA652B"/>
    <w:rsid w:val="00FA6592"/>
    <w:rsid w:val="00FA65A2"/>
    <w:rsid w:val="00FA65BF"/>
    <w:rsid w:val="00FA6626"/>
    <w:rsid w:val="00FA6947"/>
    <w:rsid w:val="00FA6A27"/>
    <w:rsid w:val="00FA6A59"/>
    <w:rsid w:val="00FA6A9D"/>
    <w:rsid w:val="00FA6D57"/>
    <w:rsid w:val="00FA6EC1"/>
    <w:rsid w:val="00FA6FBB"/>
    <w:rsid w:val="00FA7104"/>
    <w:rsid w:val="00FA7335"/>
    <w:rsid w:val="00FA7568"/>
    <w:rsid w:val="00FA763F"/>
    <w:rsid w:val="00FA77F3"/>
    <w:rsid w:val="00FA7811"/>
    <w:rsid w:val="00FA7AB6"/>
    <w:rsid w:val="00FA7BCB"/>
    <w:rsid w:val="00FA7E80"/>
    <w:rsid w:val="00FA7E98"/>
    <w:rsid w:val="00FA7EBD"/>
    <w:rsid w:val="00FA7F4B"/>
    <w:rsid w:val="00FB0082"/>
    <w:rsid w:val="00FB0439"/>
    <w:rsid w:val="00FB0442"/>
    <w:rsid w:val="00FB049E"/>
    <w:rsid w:val="00FB056E"/>
    <w:rsid w:val="00FB06BD"/>
    <w:rsid w:val="00FB07E9"/>
    <w:rsid w:val="00FB0817"/>
    <w:rsid w:val="00FB093E"/>
    <w:rsid w:val="00FB0D5D"/>
    <w:rsid w:val="00FB0D73"/>
    <w:rsid w:val="00FB0F07"/>
    <w:rsid w:val="00FB0FB0"/>
    <w:rsid w:val="00FB0FBF"/>
    <w:rsid w:val="00FB1308"/>
    <w:rsid w:val="00FB1327"/>
    <w:rsid w:val="00FB13C4"/>
    <w:rsid w:val="00FB17BA"/>
    <w:rsid w:val="00FB183D"/>
    <w:rsid w:val="00FB1925"/>
    <w:rsid w:val="00FB1A1A"/>
    <w:rsid w:val="00FB1D34"/>
    <w:rsid w:val="00FB20BE"/>
    <w:rsid w:val="00FB2125"/>
    <w:rsid w:val="00FB2369"/>
    <w:rsid w:val="00FB2459"/>
    <w:rsid w:val="00FB2470"/>
    <w:rsid w:val="00FB254C"/>
    <w:rsid w:val="00FB25B5"/>
    <w:rsid w:val="00FB2716"/>
    <w:rsid w:val="00FB2731"/>
    <w:rsid w:val="00FB276F"/>
    <w:rsid w:val="00FB2889"/>
    <w:rsid w:val="00FB2B6A"/>
    <w:rsid w:val="00FB2EFD"/>
    <w:rsid w:val="00FB34A4"/>
    <w:rsid w:val="00FB34AD"/>
    <w:rsid w:val="00FB3618"/>
    <w:rsid w:val="00FB3686"/>
    <w:rsid w:val="00FB368C"/>
    <w:rsid w:val="00FB36E3"/>
    <w:rsid w:val="00FB372B"/>
    <w:rsid w:val="00FB37CB"/>
    <w:rsid w:val="00FB3855"/>
    <w:rsid w:val="00FB3935"/>
    <w:rsid w:val="00FB3979"/>
    <w:rsid w:val="00FB398A"/>
    <w:rsid w:val="00FB3DF5"/>
    <w:rsid w:val="00FB3E02"/>
    <w:rsid w:val="00FB3F56"/>
    <w:rsid w:val="00FB4061"/>
    <w:rsid w:val="00FB4439"/>
    <w:rsid w:val="00FB4457"/>
    <w:rsid w:val="00FB4719"/>
    <w:rsid w:val="00FB4787"/>
    <w:rsid w:val="00FB479C"/>
    <w:rsid w:val="00FB47EE"/>
    <w:rsid w:val="00FB48EF"/>
    <w:rsid w:val="00FB493F"/>
    <w:rsid w:val="00FB497C"/>
    <w:rsid w:val="00FB4B50"/>
    <w:rsid w:val="00FB4C6A"/>
    <w:rsid w:val="00FB4E20"/>
    <w:rsid w:val="00FB4EFE"/>
    <w:rsid w:val="00FB4F6B"/>
    <w:rsid w:val="00FB4FDA"/>
    <w:rsid w:val="00FB5018"/>
    <w:rsid w:val="00FB502B"/>
    <w:rsid w:val="00FB515E"/>
    <w:rsid w:val="00FB5321"/>
    <w:rsid w:val="00FB53A7"/>
    <w:rsid w:val="00FB5408"/>
    <w:rsid w:val="00FB5482"/>
    <w:rsid w:val="00FB54DD"/>
    <w:rsid w:val="00FB5602"/>
    <w:rsid w:val="00FB5611"/>
    <w:rsid w:val="00FB5613"/>
    <w:rsid w:val="00FB56FF"/>
    <w:rsid w:val="00FB58C0"/>
    <w:rsid w:val="00FB5A97"/>
    <w:rsid w:val="00FB5B22"/>
    <w:rsid w:val="00FB5B7C"/>
    <w:rsid w:val="00FB5C99"/>
    <w:rsid w:val="00FB5CD8"/>
    <w:rsid w:val="00FB5F00"/>
    <w:rsid w:val="00FB5F30"/>
    <w:rsid w:val="00FB5F34"/>
    <w:rsid w:val="00FB5F4C"/>
    <w:rsid w:val="00FB6042"/>
    <w:rsid w:val="00FB6224"/>
    <w:rsid w:val="00FB63FD"/>
    <w:rsid w:val="00FB6486"/>
    <w:rsid w:val="00FB6564"/>
    <w:rsid w:val="00FB66D9"/>
    <w:rsid w:val="00FB6898"/>
    <w:rsid w:val="00FB6C53"/>
    <w:rsid w:val="00FB6D31"/>
    <w:rsid w:val="00FB6EAD"/>
    <w:rsid w:val="00FB72D3"/>
    <w:rsid w:val="00FB742C"/>
    <w:rsid w:val="00FB748A"/>
    <w:rsid w:val="00FB76E7"/>
    <w:rsid w:val="00FB77A0"/>
    <w:rsid w:val="00FB77C4"/>
    <w:rsid w:val="00FB7B45"/>
    <w:rsid w:val="00FB7D8C"/>
    <w:rsid w:val="00FB7F4A"/>
    <w:rsid w:val="00FB7FDC"/>
    <w:rsid w:val="00FC0298"/>
    <w:rsid w:val="00FC02C6"/>
    <w:rsid w:val="00FC032F"/>
    <w:rsid w:val="00FC053A"/>
    <w:rsid w:val="00FC05E8"/>
    <w:rsid w:val="00FC0794"/>
    <w:rsid w:val="00FC08AD"/>
    <w:rsid w:val="00FC09A6"/>
    <w:rsid w:val="00FC09BC"/>
    <w:rsid w:val="00FC0B8F"/>
    <w:rsid w:val="00FC0BE4"/>
    <w:rsid w:val="00FC0DC9"/>
    <w:rsid w:val="00FC0DD4"/>
    <w:rsid w:val="00FC0E4D"/>
    <w:rsid w:val="00FC1088"/>
    <w:rsid w:val="00FC1321"/>
    <w:rsid w:val="00FC1480"/>
    <w:rsid w:val="00FC18AD"/>
    <w:rsid w:val="00FC18BD"/>
    <w:rsid w:val="00FC19C4"/>
    <w:rsid w:val="00FC1A64"/>
    <w:rsid w:val="00FC1D7B"/>
    <w:rsid w:val="00FC1FCD"/>
    <w:rsid w:val="00FC227E"/>
    <w:rsid w:val="00FC233B"/>
    <w:rsid w:val="00FC23C3"/>
    <w:rsid w:val="00FC2442"/>
    <w:rsid w:val="00FC2465"/>
    <w:rsid w:val="00FC2525"/>
    <w:rsid w:val="00FC25DE"/>
    <w:rsid w:val="00FC265E"/>
    <w:rsid w:val="00FC26CA"/>
    <w:rsid w:val="00FC28D3"/>
    <w:rsid w:val="00FC291A"/>
    <w:rsid w:val="00FC296E"/>
    <w:rsid w:val="00FC2B3A"/>
    <w:rsid w:val="00FC2CA7"/>
    <w:rsid w:val="00FC2EAF"/>
    <w:rsid w:val="00FC2FE9"/>
    <w:rsid w:val="00FC3225"/>
    <w:rsid w:val="00FC3239"/>
    <w:rsid w:val="00FC370C"/>
    <w:rsid w:val="00FC37DD"/>
    <w:rsid w:val="00FC38AD"/>
    <w:rsid w:val="00FC3936"/>
    <w:rsid w:val="00FC3B00"/>
    <w:rsid w:val="00FC3C07"/>
    <w:rsid w:val="00FC3D58"/>
    <w:rsid w:val="00FC3D66"/>
    <w:rsid w:val="00FC3DDA"/>
    <w:rsid w:val="00FC40DC"/>
    <w:rsid w:val="00FC4176"/>
    <w:rsid w:val="00FC419A"/>
    <w:rsid w:val="00FC42B9"/>
    <w:rsid w:val="00FC45C6"/>
    <w:rsid w:val="00FC46BE"/>
    <w:rsid w:val="00FC46F4"/>
    <w:rsid w:val="00FC4703"/>
    <w:rsid w:val="00FC473D"/>
    <w:rsid w:val="00FC4D95"/>
    <w:rsid w:val="00FC4E54"/>
    <w:rsid w:val="00FC5349"/>
    <w:rsid w:val="00FC53D2"/>
    <w:rsid w:val="00FC5485"/>
    <w:rsid w:val="00FC5AED"/>
    <w:rsid w:val="00FC5B1D"/>
    <w:rsid w:val="00FC5C30"/>
    <w:rsid w:val="00FC5DBA"/>
    <w:rsid w:val="00FC5F72"/>
    <w:rsid w:val="00FC60F8"/>
    <w:rsid w:val="00FC6215"/>
    <w:rsid w:val="00FC62A6"/>
    <w:rsid w:val="00FC630B"/>
    <w:rsid w:val="00FC630C"/>
    <w:rsid w:val="00FC650F"/>
    <w:rsid w:val="00FC668C"/>
    <w:rsid w:val="00FC69BD"/>
    <w:rsid w:val="00FC69D4"/>
    <w:rsid w:val="00FC6A73"/>
    <w:rsid w:val="00FC6A8A"/>
    <w:rsid w:val="00FC6CD0"/>
    <w:rsid w:val="00FC6E6B"/>
    <w:rsid w:val="00FC6E7E"/>
    <w:rsid w:val="00FC6EE1"/>
    <w:rsid w:val="00FC6FCA"/>
    <w:rsid w:val="00FC7161"/>
    <w:rsid w:val="00FC757F"/>
    <w:rsid w:val="00FC7581"/>
    <w:rsid w:val="00FC7610"/>
    <w:rsid w:val="00FC7913"/>
    <w:rsid w:val="00FC797A"/>
    <w:rsid w:val="00FC7A40"/>
    <w:rsid w:val="00FC7A60"/>
    <w:rsid w:val="00FC7BA0"/>
    <w:rsid w:val="00FC7BDD"/>
    <w:rsid w:val="00FC7CCE"/>
    <w:rsid w:val="00FC7E3C"/>
    <w:rsid w:val="00FC7E47"/>
    <w:rsid w:val="00FC7E6B"/>
    <w:rsid w:val="00FC7FB4"/>
    <w:rsid w:val="00FD0018"/>
    <w:rsid w:val="00FD0052"/>
    <w:rsid w:val="00FD0214"/>
    <w:rsid w:val="00FD0375"/>
    <w:rsid w:val="00FD037B"/>
    <w:rsid w:val="00FD0454"/>
    <w:rsid w:val="00FD05BA"/>
    <w:rsid w:val="00FD05E4"/>
    <w:rsid w:val="00FD061C"/>
    <w:rsid w:val="00FD06C5"/>
    <w:rsid w:val="00FD07B9"/>
    <w:rsid w:val="00FD0815"/>
    <w:rsid w:val="00FD0858"/>
    <w:rsid w:val="00FD0A8D"/>
    <w:rsid w:val="00FD0B47"/>
    <w:rsid w:val="00FD0B59"/>
    <w:rsid w:val="00FD0C43"/>
    <w:rsid w:val="00FD0C6F"/>
    <w:rsid w:val="00FD0E07"/>
    <w:rsid w:val="00FD0E34"/>
    <w:rsid w:val="00FD0E71"/>
    <w:rsid w:val="00FD0F7B"/>
    <w:rsid w:val="00FD1031"/>
    <w:rsid w:val="00FD125E"/>
    <w:rsid w:val="00FD13B5"/>
    <w:rsid w:val="00FD152E"/>
    <w:rsid w:val="00FD155F"/>
    <w:rsid w:val="00FD1682"/>
    <w:rsid w:val="00FD1794"/>
    <w:rsid w:val="00FD1929"/>
    <w:rsid w:val="00FD1AB6"/>
    <w:rsid w:val="00FD1BD7"/>
    <w:rsid w:val="00FD1DE9"/>
    <w:rsid w:val="00FD20F3"/>
    <w:rsid w:val="00FD2110"/>
    <w:rsid w:val="00FD213D"/>
    <w:rsid w:val="00FD21FA"/>
    <w:rsid w:val="00FD257A"/>
    <w:rsid w:val="00FD2829"/>
    <w:rsid w:val="00FD2855"/>
    <w:rsid w:val="00FD2881"/>
    <w:rsid w:val="00FD2954"/>
    <w:rsid w:val="00FD2A56"/>
    <w:rsid w:val="00FD2AEA"/>
    <w:rsid w:val="00FD2D65"/>
    <w:rsid w:val="00FD2DBF"/>
    <w:rsid w:val="00FD2E33"/>
    <w:rsid w:val="00FD2F19"/>
    <w:rsid w:val="00FD3066"/>
    <w:rsid w:val="00FD3227"/>
    <w:rsid w:val="00FD326B"/>
    <w:rsid w:val="00FD33E1"/>
    <w:rsid w:val="00FD349B"/>
    <w:rsid w:val="00FD356C"/>
    <w:rsid w:val="00FD35A7"/>
    <w:rsid w:val="00FD36F2"/>
    <w:rsid w:val="00FD37B5"/>
    <w:rsid w:val="00FD38BF"/>
    <w:rsid w:val="00FD3A39"/>
    <w:rsid w:val="00FD3AA6"/>
    <w:rsid w:val="00FD3C04"/>
    <w:rsid w:val="00FD3CFC"/>
    <w:rsid w:val="00FD3D28"/>
    <w:rsid w:val="00FD41C5"/>
    <w:rsid w:val="00FD4272"/>
    <w:rsid w:val="00FD4316"/>
    <w:rsid w:val="00FD4465"/>
    <w:rsid w:val="00FD457E"/>
    <w:rsid w:val="00FD4691"/>
    <w:rsid w:val="00FD484D"/>
    <w:rsid w:val="00FD4866"/>
    <w:rsid w:val="00FD487C"/>
    <w:rsid w:val="00FD4E73"/>
    <w:rsid w:val="00FD4F73"/>
    <w:rsid w:val="00FD5084"/>
    <w:rsid w:val="00FD534A"/>
    <w:rsid w:val="00FD534D"/>
    <w:rsid w:val="00FD537D"/>
    <w:rsid w:val="00FD564D"/>
    <w:rsid w:val="00FD5664"/>
    <w:rsid w:val="00FD5970"/>
    <w:rsid w:val="00FD5A52"/>
    <w:rsid w:val="00FD5B0A"/>
    <w:rsid w:val="00FD5C91"/>
    <w:rsid w:val="00FD5DE7"/>
    <w:rsid w:val="00FD5E9B"/>
    <w:rsid w:val="00FD6099"/>
    <w:rsid w:val="00FD6244"/>
    <w:rsid w:val="00FD65E6"/>
    <w:rsid w:val="00FD65EA"/>
    <w:rsid w:val="00FD6B8A"/>
    <w:rsid w:val="00FD6D94"/>
    <w:rsid w:val="00FD6E67"/>
    <w:rsid w:val="00FD6F95"/>
    <w:rsid w:val="00FD7023"/>
    <w:rsid w:val="00FD7378"/>
    <w:rsid w:val="00FD73EE"/>
    <w:rsid w:val="00FD7BC6"/>
    <w:rsid w:val="00FD7BFF"/>
    <w:rsid w:val="00FD7C0F"/>
    <w:rsid w:val="00FD7C46"/>
    <w:rsid w:val="00FD7CDA"/>
    <w:rsid w:val="00FD7D15"/>
    <w:rsid w:val="00FD7E7E"/>
    <w:rsid w:val="00FD7ECB"/>
    <w:rsid w:val="00FD7F61"/>
    <w:rsid w:val="00FD7F88"/>
    <w:rsid w:val="00FD7FA1"/>
    <w:rsid w:val="00FE0081"/>
    <w:rsid w:val="00FE0143"/>
    <w:rsid w:val="00FE0213"/>
    <w:rsid w:val="00FE02DA"/>
    <w:rsid w:val="00FE04BB"/>
    <w:rsid w:val="00FE04ED"/>
    <w:rsid w:val="00FE087B"/>
    <w:rsid w:val="00FE0885"/>
    <w:rsid w:val="00FE08A9"/>
    <w:rsid w:val="00FE0937"/>
    <w:rsid w:val="00FE0986"/>
    <w:rsid w:val="00FE0A45"/>
    <w:rsid w:val="00FE0C3A"/>
    <w:rsid w:val="00FE0E54"/>
    <w:rsid w:val="00FE0F2E"/>
    <w:rsid w:val="00FE122E"/>
    <w:rsid w:val="00FE12FC"/>
    <w:rsid w:val="00FE14EB"/>
    <w:rsid w:val="00FE1620"/>
    <w:rsid w:val="00FE1749"/>
    <w:rsid w:val="00FE18D8"/>
    <w:rsid w:val="00FE19B0"/>
    <w:rsid w:val="00FE1A4B"/>
    <w:rsid w:val="00FE1A4C"/>
    <w:rsid w:val="00FE1B3E"/>
    <w:rsid w:val="00FE1E09"/>
    <w:rsid w:val="00FE1F4E"/>
    <w:rsid w:val="00FE2035"/>
    <w:rsid w:val="00FE227F"/>
    <w:rsid w:val="00FE23E4"/>
    <w:rsid w:val="00FE2449"/>
    <w:rsid w:val="00FE24AA"/>
    <w:rsid w:val="00FE2631"/>
    <w:rsid w:val="00FE271F"/>
    <w:rsid w:val="00FE2759"/>
    <w:rsid w:val="00FE2760"/>
    <w:rsid w:val="00FE27BD"/>
    <w:rsid w:val="00FE281B"/>
    <w:rsid w:val="00FE2A28"/>
    <w:rsid w:val="00FE2A65"/>
    <w:rsid w:val="00FE2C90"/>
    <w:rsid w:val="00FE2E20"/>
    <w:rsid w:val="00FE2F87"/>
    <w:rsid w:val="00FE2F91"/>
    <w:rsid w:val="00FE3020"/>
    <w:rsid w:val="00FE3204"/>
    <w:rsid w:val="00FE323E"/>
    <w:rsid w:val="00FE3319"/>
    <w:rsid w:val="00FE345F"/>
    <w:rsid w:val="00FE34A2"/>
    <w:rsid w:val="00FE34CB"/>
    <w:rsid w:val="00FE3626"/>
    <w:rsid w:val="00FE366D"/>
    <w:rsid w:val="00FE37CE"/>
    <w:rsid w:val="00FE39E7"/>
    <w:rsid w:val="00FE3C0C"/>
    <w:rsid w:val="00FE3D8B"/>
    <w:rsid w:val="00FE40A7"/>
    <w:rsid w:val="00FE4206"/>
    <w:rsid w:val="00FE42C0"/>
    <w:rsid w:val="00FE4522"/>
    <w:rsid w:val="00FE4588"/>
    <w:rsid w:val="00FE4633"/>
    <w:rsid w:val="00FE48E8"/>
    <w:rsid w:val="00FE4941"/>
    <w:rsid w:val="00FE4965"/>
    <w:rsid w:val="00FE497D"/>
    <w:rsid w:val="00FE4CF2"/>
    <w:rsid w:val="00FE4D7A"/>
    <w:rsid w:val="00FE4ED3"/>
    <w:rsid w:val="00FE4F74"/>
    <w:rsid w:val="00FE5021"/>
    <w:rsid w:val="00FE5073"/>
    <w:rsid w:val="00FE5115"/>
    <w:rsid w:val="00FE54BB"/>
    <w:rsid w:val="00FE555B"/>
    <w:rsid w:val="00FE55E0"/>
    <w:rsid w:val="00FE5B1C"/>
    <w:rsid w:val="00FE5B44"/>
    <w:rsid w:val="00FE5B78"/>
    <w:rsid w:val="00FE5BC8"/>
    <w:rsid w:val="00FE5C4B"/>
    <w:rsid w:val="00FE5E26"/>
    <w:rsid w:val="00FE5E5A"/>
    <w:rsid w:val="00FE5EB6"/>
    <w:rsid w:val="00FE5F07"/>
    <w:rsid w:val="00FE5FD3"/>
    <w:rsid w:val="00FE5FE5"/>
    <w:rsid w:val="00FE6080"/>
    <w:rsid w:val="00FE6293"/>
    <w:rsid w:val="00FE633C"/>
    <w:rsid w:val="00FE6396"/>
    <w:rsid w:val="00FE657B"/>
    <w:rsid w:val="00FE669F"/>
    <w:rsid w:val="00FE66B0"/>
    <w:rsid w:val="00FE6763"/>
    <w:rsid w:val="00FE684C"/>
    <w:rsid w:val="00FE68A1"/>
    <w:rsid w:val="00FE6A5E"/>
    <w:rsid w:val="00FE6A74"/>
    <w:rsid w:val="00FE6B65"/>
    <w:rsid w:val="00FE6BFF"/>
    <w:rsid w:val="00FE6CFB"/>
    <w:rsid w:val="00FE6DE6"/>
    <w:rsid w:val="00FE73FA"/>
    <w:rsid w:val="00FE7422"/>
    <w:rsid w:val="00FE76A4"/>
    <w:rsid w:val="00FE77B0"/>
    <w:rsid w:val="00FE786F"/>
    <w:rsid w:val="00FE78EA"/>
    <w:rsid w:val="00FE7A3B"/>
    <w:rsid w:val="00FE7CB9"/>
    <w:rsid w:val="00FE7D5F"/>
    <w:rsid w:val="00FE7D99"/>
    <w:rsid w:val="00FE7DB6"/>
    <w:rsid w:val="00FE7F0F"/>
    <w:rsid w:val="00FEF5B8"/>
    <w:rsid w:val="00FF035D"/>
    <w:rsid w:val="00FF0489"/>
    <w:rsid w:val="00FF05FF"/>
    <w:rsid w:val="00FF0694"/>
    <w:rsid w:val="00FF08D3"/>
    <w:rsid w:val="00FF0911"/>
    <w:rsid w:val="00FF0B2F"/>
    <w:rsid w:val="00FF0B61"/>
    <w:rsid w:val="00FF0C60"/>
    <w:rsid w:val="00FF0DB6"/>
    <w:rsid w:val="00FF0E2F"/>
    <w:rsid w:val="00FF0E84"/>
    <w:rsid w:val="00FF0EA0"/>
    <w:rsid w:val="00FF12F7"/>
    <w:rsid w:val="00FF16FB"/>
    <w:rsid w:val="00FF178D"/>
    <w:rsid w:val="00FF1876"/>
    <w:rsid w:val="00FF1885"/>
    <w:rsid w:val="00FF1932"/>
    <w:rsid w:val="00FF197D"/>
    <w:rsid w:val="00FF1B3B"/>
    <w:rsid w:val="00FF1F1F"/>
    <w:rsid w:val="00FF1FAD"/>
    <w:rsid w:val="00FF201E"/>
    <w:rsid w:val="00FF2062"/>
    <w:rsid w:val="00FF214F"/>
    <w:rsid w:val="00FF2326"/>
    <w:rsid w:val="00FF24DA"/>
    <w:rsid w:val="00FF2668"/>
    <w:rsid w:val="00FF2869"/>
    <w:rsid w:val="00FF2894"/>
    <w:rsid w:val="00FF296B"/>
    <w:rsid w:val="00FF2B78"/>
    <w:rsid w:val="00FF2D85"/>
    <w:rsid w:val="00FF2E6F"/>
    <w:rsid w:val="00FF2FAC"/>
    <w:rsid w:val="00FF2FB9"/>
    <w:rsid w:val="00FF2FD5"/>
    <w:rsid w:val="00FF2FE2"/>
    <w:rsid w:val="00FF300C"/>
    <w:rsid w:val="00FF3118"/>
    <w:rsid w:val="00FF31BF"/>
    <w:rsid w:val="00FF324C"/>
    <w:rsid w:val="00FF3369"/>
    <w:rsid w:val="00FF33D7"/>
    <w:rsid w:val="00FF352A"/>
    <w:rsid w:val="00FF3556"/>
    <w:rsid w:val="00FF35C0"/>
    <w:rsid w:val="00FF36B0"/>
    <w:rsid w:val="00FF3766"/>
    <w:rsid w:val="00FF37D1"/>
    <w:rsid w:val="00FF3838"/>
    <w:rsid w:val="00FF38A6"/>
    <w:rsid w:val="00FF392A"/>
    <w:rsid w:val="00FF396C"/>
    <w:rsid w:val="00FF3C37"/>
    <w:rsid w:val="00FF3C9F"/>
    <w:rsid w:val="00FF3D50"/>
    <w:rsid w:val="00FF3DEB"/>
    <w:rsid w:val="00FF3DFD"/>
    <w:rsid w:val="00FF3E2A"/>
    <w:rsid w:val="00FF3E84"/>
    <w:rsid w:val="00FF45F6"/>
    <w:rsid w:val="00FF48C2"/>
    <w:rsid w:val="00FF4AF2"/>
    <w:rsid w:val="00FF4AFE"/>
    <w:rsid w:val="00FF4C69"/>
    <w:rsid w:val="00FF4D57"/>
    <w:rsid w:val="00FF4E28"/>
    <w:rsid w:val="00FF4E48"/>
    <w:rsid w:val="00FF4F09"/>
    <w:rsid w:val="00FF4FC6"/>
    <w:rsid w:val="00FF52DF"/>
    <w:rsid w:val="00FF52F0"/>
    <w:rsid w:val="00FF536A"/>
    <w:rsid w:val="00FF5436"/>
    <w:rsid w:val="00FF553A"/>
    <w:rsid w:val="00FF56DE"/>
    <w:rsid w:val="00FF57FF"/>
    <w:rsid w:val="00FF5956"/>
    <w:rsid w:val="00FF5A05"/>
    <w:rsid w:val="00FF5A21"/>
    <w:rsid w:val="00FF5AB2"/>
    <w:rsid w:val="00FF5C7D"/>
    <w:rsid w:val="00FF5D15"/>
    <w:rsid w:val="00FF5E09"/>
    <w:rsid w:val="00FF61AE"/>
    <w:rsid w:val="00FF627F"/>
    <w:rsid w:val="00FF6428"/>
    <w:rsid w:val="00FF64CF"/>
    <w:rsid w:val="00FF64D7"/>
    <w:rsid w:val="00FF64EA"/>
    <w:rsid w:val="00FF675A"/>
    <w:rsid w:val="00FF677C"/>
    <w:rsid w:val="00FF678E"/>
    <w:rsid w:val="00FF67F8"/>
    <w:rsid w:val="00FF6D44"/>
    <w:rsid w:val="00FF6E52"/>
    <w:rsid w:val="00FF6F63"/>
    <w:rsid w:val="00FF709E"/>
    <w:rsid w:val="00FF7139"/>
    <w:rsid w:val="00FF7331"/>
    <w:rsid w:val="00FF73AB"/>
    <w:rsid w:val="00FF743D"/>
    <w:rsid w:val="00FF75E2"/>
    <w:rsid w:val="00FF76AC"/>
    <w:rsid w:val="00FF776B"/>
    <w:rsid w:val="00FF7C01"/>
    <w:rsid w:val="00FF7E1E"/>
    <w:rsid w:val="00FF7F72"/>
    <w:rsid w:val="00FF7FD2"/>
    <w:rsid w:val="00FFBD03"/>
    <w:rsid w:val="010CA2D6"/>
    <w:rsid w:val="010E1DA2"/>
    <w:rsid w:val="010F81BB"/>
    <w:rsid w:val="0111E18B"/>
    <w:rsid w:val="01153778"/>
    <w:rsid w:val="01161804"/>
    <w:rsid w:val="011692E8"/>
    <w:rsid w:val="0116E135"/>
    <w:rsid w:val="0120F7FA"/>
    <w:rsid w:val="01235EA3"/>
    <w:rsid w:val="013299A1"/>
    <w:rsid w:val="013504B9"/>
    <w:rsid w:val="013A1015"/>
    <w:rsid w:val="013A2B8A"/>
    <w:rsid w:val="013A4F61"/>
    <w:rsid w:val="013EB86E"/>
    <w:rsid w:val="01437743"/>
    <w:rsid w:val="0144A2B5"/>
    <w:rsid w:val="014547B6"/>
    <w:rsid w:val="01475568"/>
    <w:rsid w:val="0149EB3A"/>
    <w:rsid w:val="014EE567"/>
    <w:rsid w:val="01512619"/>
    <w:rsid w:val="015AFB37"/>
    <w:rsid w:val="015B7AE9"/>
    <w:rsid w:val="0160C650"/>
    <w:rsid w:val="0160D907"/>
    <w:rsid w:val="01670903"/>
    <w:rsid w:val="016AF95B"/>
    <w:rsid w:val="016FDBBD"/>
    <w:rsid w:val="01782F10"/>
    <w:rsid w:val="017A5233"/>
    <w:rsid w:val="017CAABE"/>
    <w:rsid w:val="01801ABE"/>
    <w:rsid w:val="018488C4"/>
    <w:rsid w:val="018A6FD7"/>
    <w:rsid w:val="018B3772"/>
    <w:rsid w:val="018B86E9"/>
    <w:rsid w:val="018D47EC"/>
    <w:rsid w:val="01903612"/>
    <w:rsid w:val="019326D9"/>
    <w:rsid w:val="01951924"/>
    <w:rsid w:val="0197254A"/>
    <w:rsid w:val="019A2587"/>
    <w:rsid w:val="01A0406D"/>
    <w:rsid w:val="01A07B4F"/>
    <w:rsid w:val="01A52308"/>
    <w:rsid w:val="01AC59B9"/>
    <w:rsid w:val="01AEBDBD"/>
    <w:rsid w:val="01AFABE9"/>
    <w:rsid w:val="01AFEF26"/>
    <w:rsid w:val="01B089F1"/>
    <w:rsid w:val="01B4166C"/>
    <w:rsid w:val="01B90F82"/>
    <w:rsid w:val="01BBD0B6"/>
    <w:rsid w:val="01BD758F"/>
    <w:rsid w:val="01BF5C9B"/>
    <w:rsid w:val="01C2E8F1"/>
    <w:rsid w:val="01C4AC47"/>
    <w:rsid w:val="01C4B688"/>
    <w:rsid w:val="01C6CC6A"/>
    <w:rsid w:val="01C96A0E"/>
    <w:rsid w:val="01CAF190"/>
    <w:rsid w:val="01CC7C80"/>
    <w:rsid w:val="01CD5BBA"/>
    <w:rsid w:val="01CF8D67"/>
    <w:rsid w:val="01D07B7D"/>
    <w:rsid w:val="01D3630E"/>
    <w:rsid w:val="01E76B3F"/>
    <w:rsid w:val="01E78094"/>
    <w:rsid w:val="01ED5BDB"/>
    <w:rsid w:val="01ED88F4"/>
    <w:rsid w:val="01F2A894"/>
    <w:rsid w:val="01F4B989"/>
    <w:rsid w:val="01F81D9B"/>
    <w:rsid w:val="01FFEB99"/>
    <w:rsid w:val="0201476C"/>
    <w:rsid w:val="02090420"/>
    <w:rsid w:val="020FA4CD"/>
    <w:rsid w:val="020FDCFD"/>
    <w:rsid w:val="0212F6E1"/>
    <w:rsid w:val="0218E6BC"/>
    <w:rsid w:val="021A4184"/>
    <w:rsid w:val="021C56D0"/>
    <w:rsid w:val="0229689B"/>
    <w:rsid w:val="022A7059"/>
    <w:rsid w:val="022F969E"/>
    <w:rsid w:val="0231B964"/>
    <w:rsid w:val="02338DEB"/>
    <w:rsid w:val="02352DE0"/>
    <w:rsid w:val="02388F1D"/>
    <w:rsid w:val="024141DC"/>
    <w:rsid w:val="024252CD"/>
    <w:rsid w:val="0243F099"/>
    <w:rsid w:val="02447C2D"/>
    <w:rsid w:val="0245AE02"/>
    <w:rsid w:val="0245DCDB"/>
    <w:rsid w:val="024780BF"/>
    <w:rsid w:val="02489873"/>
    <w:rsid w:val="0248E0B6"/>
    <w:rsid w:val="02497608"/>
    <w:rsid w:val="024F28B2"/>
    <w:rsid w:val="024FBC7B"/>
    <w:rsid w:val="0254CB83"/>
    <w:rsid w:val="025631C1"/>
    <w:rsid w:val="0256818B"/>
    <w:rsid w:val="025BD258"/>
    <w:rsid w:val="025D2EB6"/>
    <w:rsid w:val="025E4951"/>
    <w:rsid w:val="0261211B"/>
    <w:rsid w:val="0261CB78"/>
    <w:rsid w:val="026217E4"/>
    <w:rsid w:val="026290CE"/>
    <w:rsid w:val="0262E49D"/>
    <w:rsid w:val="02630D08"/>
    <w:rsid w:val="02651F7D"/>
    <w:rsid w:val="02654503"/>
    <w:rsid w:val="0268EEED"/>
    <w:rsid w:val="026BE7D3"/>
    <w:rsid w:val="026EDC3F"/>
    <w:rsid w:val="0270D542"/>
    <w:rsid w:val="02731914"/>
    <w:rsid w:val="0278C4EC"/>
    <w:rsid w:val="027CFF5D"/>
    <w:rsid w:val="02819935"/>
    <w:rsid w:val="028B7754"/>
    <w:rsid w:val="02905838"/>
    <w:rsid w:val="0293FD99"/>
    <w:rsid w:val="0299A814"/>
    <w:rsid w:val="029EB258"/>
    <w:rsid w:val="02A3B8D6"/>
    <w:rsid w:val="02AE74C4"/>
    <w:rsid w:val="02B25B2C"/>
    <w:rsid w:val="02B36BB2"/>
    <w:rsid w:val="02B42CCE"/>
    <w:rsid w:val="02B88268"/>
    <w:rsid w:val="02B986DE"/>
    <w:rsid w:val="02BA99E3"/>
    <w:rsid w:val="02BD3874"/>
    <w:rsid w:val="02BD5C0F"/>
    <w:rsid w:val="02BF4220"/>
    <w:rsid w:val="02C4DE00"/>
    <w:rsid w:val="02C4EAD7"/>
    <w:rsid w:val="02CAD7C5"/>
    <w:rsid w:val="02CD8ACA"/>
    <w:rsid w:val="02CDF365"/>
    <w:rsid w:val="02CE534A"/>
    <w:rsid w:val="02D0AE26"/>
    <w:rsid w:val="02D0BD0C"/>
    <w:rsid w:val="02D502D8"/>
    <w:rsid w:val="02DE1C33"/>
    <w:rsid w:val="02E10329"/>
    <w:rsid w:val="02E38BD8"/>
    <w:rsid w:val="02E53F41"/>
    <w:rsid w:val="02E5A36D"/>
    <w:rsid w:val="02E5F6F1"/>
    <w:rsid w:val="02E81C73"/>
    <w:rsid w:val="02ED6063"/>
    <w:rsid w:val="02ED7A7C"/>
    <w:rsid w:val="02F1B25C"/>
    <w:rsid w:val="02F27A6E"/>
    <w:rsid w:val="02F3557C"/>
    <w:rsid w:val="02F5EF76"/>
    <w:rsid w:val="02FD4D70"/>
    <w:rsid w:val="03014E04"/>
    <w:rsid w:val="030179CD"/>
    <w:rsid w:val="03031168"/>
    <w:rsid w:val="0307A87D"/>
    <w:rsid w:val="030DC2E3"/>
    <w:rsid w:val="030DDA91"/>
    <w:rsid w:val="031058B7"/>
    <w:rsid w:val="0310A347"/>
    <w:rsid w:val="031229B7"/>
    <w:rsid w:val="03170818"/>
    <w:rsid w:val="031BEE90"/>
    <w:rsid w:val="031D3D06"/>
    <w:rsid w:val="031ECD51"/>
    <w:rsid w:val="031FDB0E"/>
    <w:rsid w:val="0322F95F"/>
    <w:rsid w:val="03274AE8"/>
    <w:rsid w:val="032DA338"/>
    <w:rsid w:val="032F9CE8"/>
    <w:rsid w:val="0333D935"/>
    <w:rsid w:val="033774C3"/>
    <w:rsid w:val="0339C7BE"/>
    <w:rsid w:val="033B6C38"/>
    <w:rsid w:val="033B7B48"/>
    <w:rsid w:val="03431459"/>
    <w:rsid w:val="0347FE90"/>
    <w:rsid w:val="034F79A3"/>
    <w:rsid w:val="0351127B"/>
    <w:rsid w:val="0353F65A"/>
    <w:rsid w:val="03555650"/>
    <w:rsid w:val="0356B03E"/>
    <w:rsid w:val="035AB59D"/>
    <w:rsid w:val="03602F68"/>
    <w:rsid w:val="03607E3C"/>
    <w:rsid w:val="0363DD0D"/>
    <w:rsid w:val="03640374"/>
    <w:rsid w:val="0368B6EC"/>
    <w:rsid w:val="036AC87D"/>
    <w:rsid w:val="036CBEA5"/>
    <w:rsid w:val="036E7029"/>
    <w:rsid w:val="0371C23E"/>
    <w:rsid w:val="0372072D"/>
    <w:rsid w:val="037391F1"/>
    <w:rsid w:val="03819E09"/>
    <w:rsid w:val="038342E6"/>
    <w:rsid w:val="038451B2"/>
    <w:rsid w:val="038903B3"/>
    <w:rsid w:val="038919E7"/>
    <w:rsid w:val="0389D7C1"/>
    <w:rsid w:val="038A534C"/>
    <w:rsid w:val="038D01EA"/>
    <w:rsid w:val="039288A2"/>
    <w:rsid w:val="03929EC0"/>
    <w:rsid w:val="0393847C"/>
    <w:rsid w:val="0394169F"/>
    <w:rsid w:val="0397B50E"/>
    <w:rsid w:val="039BE6B3"/>
    <w:rsid w:val="039DBA57"/>
    <w:rsid w:val="039FF783"/>
    <w:rsid w:val="03A229B1"/>
    <w:rsid w:val="03A5284A"/>
    <w:rsid w:val="03B1FA34"/>
    <w:rsid w:val="03B6259C"/>
    <w:rsid w:val="03B9BBFE"/>
    <w:rsid w:val="03BA168A"/>
    <w:rsid w:val="03BB4080"/>
    <w:rsid w:val="03BE2901"/>
    <w:rsid w:val="03BF0711"/>
    <w:rsid w:val="03C2546B"/>
    <w:rsid w:val="03C3DF19"/>
    <w:rsid w:val="03C98385"/>
    <w:rsid w:val="03C985AB"/>
    <w:rsid w:val="03CB7AB7"/>
    <w:rsid w:val="03CF35BC"/>
    <w:rsid w:val="03DBA236"/>
    <w:rsid w:val="03DD5A53"/>
    <w:rsid w:val="03E69D81"/>
    <w:rsid w:val="03EB20C6"/>
    <w:rsid w:val="03F50048"/>
    <w:rsid w:val="03F6743C"/>
    <w:rsid w:val="03FAACA8"/>
    <w:rsid w:val="03FDE40F"/>
    <w:rsid w:val="0400B646"/>
    <w:rsid w:val="0406349C"/>
    <w:rsid w:val="0407B120"/>
    <w:rsid w:val="040A755A"/>
    <w:rsid w:val="041039FC"/>
    <w:rsid w:val="0410554D"/>
    <w:rsid w:val="041563AF"/>
    <w:rsid w:val="04176590"/>
    <w:rsid w:val="04183778"/>
    <w:rsid w:val="041A3C55"/>
    <w:rsid w:val="041F2FAA"/>
    <w:rsid w:val="041FA779"/>
    <w:rsid w:val="0423EC52"/>
    <w:rsid w:val="0424EFC2"/>
    <w:rsid w:val="0426A123"/>
    <w:rsid w:val="04303E7E"/>
    <w:rsid w:val="0433D341"/>
    <w:rsid w:val="0435B398"/>
    <w:rsid w:val="0439DAB4"/>
    <w:rsid w:val="043AE106"/>
    <w:rsid w:val="043B30A1"/>
    <w:rsid w:val="043FFB2B"/>
    <w:rsid w:val="044929B5"/>
    <w:rsid w:val="044A4CA5"/>
    <w:rsid w:val="044ACA29"/>
    <w:rsid w:val="044C6A08"/>
    <w:rsid w:val="044DB991"/>
    <w:rsid w:val="044DB9A4"/>
    <w:rsid w:val="044ECD51"/>
    <w:rsid w:val="044FB216"/>
    <w:rsid w:val="045558F4"/>
    <w:rsid w:val="04588C2B"/>
    <w:rsid w:val="04592CED"/>
    <w:rsid w:val="045E6999"/>
    <w:rsid w:val="045E7169"/>
    <w:rsid w:val="045EF127"/>
    <w:rsid w:val="0460CF3E"/>
    <w:rsid w:val="0460F066"/>
    <w:rsid w:val="0463DA87"/>
    <w:rsid w:val="04645C03"/>
    <w:rsid w:val="0466A012"/>
    <w:rsid w:val="0466FA56"/>
    <w:rsid w:val="0468B617"/>
    <w:rsid w:val="046C09E1"/>
    <w:rsid w:val="046D99BA"/>
    <w:rsid w:val="046FB78F"/>
    <w:rsid w:val="0474A9EF"/>
    <w:rsid w:val="04780B58"/>
    <w:rsid w:val="04783B13"/>
    <w:rsid w:val="047A2205"/>
    <w:rsid w:val="047B6CB7"/>
    <w:rsid w:val="047BCBCD"/>
    <w:rsid w:val="047DD7FB"/>
    <w:rsid w:val="048067F6"/>
    <w:rsid w:val="0484708C"/>
    <w:rsid w:val="04956E97"/>
    <w:rsid w:val="049677CF"/>
    <w:rsid w:val="049A4CD8"/>
    <w:rsid w:val="049BAA31"/>
    <w:rsid w:val="049C24AC"/>
    <w:rsid w:val="04A3ECF3"/>
    <w:rsid w:val="04A5E2EC"/>
    <w:rsid w:val="04A697AA"/>
    <w:rsid w:val="04AB72F5"/>
    <w:rsid w:val="04AC3389"/>
    <w:rsid w:val="04AF064F"/>
    <w:rsid w:val="04AF27AF"/>
    <w:rsid w:val="04B44E39"/>
    <w:rsid w:val="04B6DF78"/>
    <w:rsid w:val="04B6FB97"/>
    <w:rsid w:val="04BBEC0F"/>
    <w:rsid w:val="04BE63CA"/>
    <w:rsid w:val="04C0A8DC"/>
    <w:rsid w:val="04CB0BB2"/>
    <w:rsid w:val="04CD5C28"/>
    <w:rsid w:val="04CDA14E"/>
    <w:rsid w:val="04D13C70"/>
    <w:rsid w:val="04D1DB2E"/>
    <w:rsid w:val="04D29E32"/>
    <w:rsid w:val="04D8CD21"/>
    <w:rsid w:val="04E40708"/>
    <w:rsid w:val="04E4B333"/>
    <w:rsid w:val="04E8547D"/>
    <w:rsid w:val="04E86CD7"/>
    <w:rsid w:val="04EABB53"/>
    <w:rsid w:val="04EBE352"/>
    <w:rsid w:val="04ECF1C9"/>
    <w:rsid w:val="04F5AF6D"/>
    <w:rsid w:val="04F8E3EC"/>
    <w:rsid w:val="04FE06B2"/>
    <w:rsid w:val="04FEC6C0"/>
    <w:rsid w:val="04FFC453"/>
    <w:rsid w:val="05008F93"/>
    <w:rsid w:val="050159B5"/>
    <w:rsid w:val="050A2FE5"/>
    <w:rsid w:val="050E3041"/>
    <w:rsid w:val="050F4215"/>
    <w:rsid w:val="050F4799"/>
    <w:rsid w:val="05119C98"/>
    <w:rsid w:val="0512BA01"/>
    <w:rsid w:val="05143706"/>
    <w:rsid w:val="05154776"/>
    <w:rsid w:val="05158ADF"/>
    <w:rsid w:val="05169826"/>
    <w:rsid w:val="0516D323"/>
    <w:rsid w:val="05243A1B"/>
    <w:rsid w:val="05279E61"/>
    <w:rsid w:val="0528C3B9"/>
    <w:rsid w:val="052AABC3"/>
    <w:rsid w:val="052B19AA"/>
    <w:rsid w:val="0530E7D8"/>
    <w:rsid w:val="0531C6A1"/>
    <w:rsid w:val="05327222"/>
    <w:rsid w:val="0535F602"/>
    <w:rsid w:val="05409E8C"/>
    <w:rsid w:val="0543D11A"/>
    <w:rsid w:val="05481E47"/>
    <w:rsid w:val="0548C619"/>
    <w:rsid w:val="0548F11F"/>
    <w:rsid w:val="054E467C"/>
    <w:rsid w:val="054F2867"/>
    <w:rsid w:val="0550851B"/>
    <w:rsid w:val="05508F14"/>
    <w:rsid w:val="0550C65B"/>
    <w:rsid w:val="05561A81"/>
    <w:rsid w:val="0559E512"/>
    <w:rsid w:val="0560A3DD"/>
    <w:rsid w:val="0560E43A"/>
    <w:rsid w:val="05630118"/>
    <w:rsid w:val="05634E0C"/>
    <w:rsid w:val="05655258"/>
    <w:rsid w:val="0570F479"/>
    <w:rsid w:val="0573A047"/>
    <w:rsid w:val="05794AB4"/>
    <w:rsid w:val="057BEB3F"/>
    <w:rsid w:val="058219CA"/>
    <w:rsid w:val="05857D57"/>
    <w:rsid w:val="0587FEF2"/>
    <w:rsid w:val="058A8CE9"/>
    <w:rsid w:val="05972E15"/>
    <w:rsid w:val="05974D83"/>
    <w:rsid w:val="059D6EB3"/>
    <w:rsid w:val="059E3357"/>
    <w:rsid w:val="059FA3B4"/>
    <w:rsid w:val="05A76619"/>
    <w:rsid w:val="05AC1F85"/>
    <w:rsid w:val="05ADA6D6"/>
    <w:rsid w:val="05B0BD8D"/>
    <w:rsid w:val="05B8849B"/>
    <w:rsid w:val="05BB84FC"/>
    <w:rsid w:val="05BEE17E"/>
    <w:rsid w:val="05BEFB61"/>
    <w:rsid w:val="05C39932"/>
    <w:rsid w:val="05C4514A"/>
    <w:rsid w:val="05C5C06F"/>
    <w:rsid w:val="05C6ED86"/>
    <w:rsid w:val="05CB39FC"/>
    <w:rsid w:val="05D2CFA3"/>
    <w:rsid w:val="05D90294"/>
    <w:rsid w:val="05DB0674"/>
    <w:rsid w:val="05DD91DC"/>
    <w:rsid w:val="05E1C603"/>
    <w:rsid w:val="05EC480A"/>
    <w:rsid w:val="05EC9698"/>
    <w:rsid w:val="05F64D2A"/>
    <w:rsid w:val="05F7D7A9"/>
    <w:rsid w:val="05FA0D34"/>
    <w:rsid w:val="05FBF096"/>
    <w:rsid w:val="06031CA7"/>
    <w:rsid w:val="06037497"/>
    <w:rsid w:val="06077A5F"/>
    <w:rsid w:val="06091264"/>
    <w:rsid w:val="060A16E0"/>
    <w:rsid w:val="060D8FDF"/>
    <w:rsid w:val="06109034"/>
    <w:rsid w:val="061269FA"/>
    <w:rsid w:val="0613A2D1"/>
    <w:rsid w:val="0613E82B"/>
    <w:rsid w:val="061487C5"/>
    <w:rsid w:val="0616DE10"/>
    <w:rsid w:val="0616F44F"/>
    <w:rsid w:val="061E7B54"/>
    <w:rsid w:val="0624BBC0"/>
    <w:rsid w:val="062676F5"/>
    <w:rsid w:val="0626DD27"/>
    <w:rsid w:val="062AA494"/>
    <w:rsid w:val="06337543"/>
    <w:rsid w:val="063384A8"/>
    <w:rsid w:val="063AE39C"/>
    <w:rsid w:val="063C3F0C"/>
    <w:rsid w:val="063E38A6"/>
    <w:rsid w:val="06467CF5"/>
    <w:rsid w:val="0649C2C6"/>
    <w:rsid w:val="064EDC72"/>
    <w:rsid w:val="064F1C24"/>
    <w:rsid w:val="0655ABEF"/>
    <w:rsid w:val="065A6D5B"/>
    <w:rsid w:val="065A82B0"/>
    <w:rsid w:val="065AEA3C"/>
    <w:rsid w:val="065BDCDE"/>
    <w:rsid w:val="066C26A5"/>
    <w:rsid w:val="066F42D9"/>
    <w:rsid w:val="066FCC53"/>
    <w:rsid w:val="06703A4D"/>
    <w:rsid w:val="06708AF8"/>
    <w:rsid w:val="06738141"/>
    <w:rsid w:val="0675836E"/>
    <w:rsid w:val="06763EF5"/>
    <w:rsid w:val="067847AD"/>
    <w:rsid w:val="067AF681"/>
    <w:rsid w:val="067CCFC8"/>
    <w:rsid w:val="067DC6A6"/>
    <w:rsid w:val="067FA61A"/>
    <w:rsid w:val="0680BF70"/>
    <w:rsid w:val="0687B7DF"/>
    <w:rsid w:val="0691D51F"/>
    <w:rsid w:val="069EE706"/>
    <w:rsid w:val="06A0E7D0"/>
    <w:rsid w:val="06A4C9CC"/>
    <w:rsid w:val="06B55592"/>
    <w:rsid w:val="06BC3050"/>
    <w:rsid w:val="06BD04E9"/>
    <w:rsid w:val="06C3C934"/>
    <w:rsid w:val="06C62BC6"/>
    <w:rsid w:val="06C957F8"/>
    <w:rsid w:val="06D19424"/>
    <w:rsid w:val="06D4FE0A"/>
    <w:rsid w:val="06DABE26"/>
    <w:rsid w:val="06DCD295"/>
    <w:rsid w:val="06E039BD"/>
    <w:rsid w:val="06E6A270"/>
    <w:rsid w:val="06EBD841"/>
    <w:rsid w:val="06EE1A2E"/>
    <w:rsid w:val="06EF7D75"/>
    <w:rsid w:val="06F07D3C"/>
    <w:rsid w:val="06F2F62C"/>
    <w:rsid w:val="06F41A7D"/>
    <w:rsid w:val="06F73A72"/>
    <w:rsid w:val="06FC92D9"/>
    <w:rsid w:val="06FFAA80"/>
    <w:rsid w:val="0701B877"/>
    <w:rsid w:val="07031355"/>
    <w:rsid w:val="07032E85"/>
    <w:rsid w:val="070628B9"/>
    <w:rsid w:val="070A49E3"/>
    <w:rsid w:val="070B098F"/>
    <w:rsid w:val="0716EFD9"/>
    <w:rsid w:val="071DF1B7"/>
    <w:rsid w:val="071E2F61"/>
    <w:rsid w:val="071F6ABC"/>
    <w:rsid w:val="07224D41"/>
    <w:rsid w:val="0722E85E"/>
    <w:rsid w:val="07289265"/>
    <w:rsid w:val="072B7D75"/>
    <w:rsid w:val="072B884E"/>
    <w:rsid w:val="072DEF97"/>
    <w:rsid w:val="072E7D48"/>
    <w:rsid w:val="072F3495"/>
    <w:rsid w:val="072F4746"/>
    <w:rsid w:val="073799CB"/>
    <w:rsid w:val="073A4E5B"/>
    <w:rsid w:val="073B595E"/>
    <w:rsid w:val="073BCB3D"/>
    <w:rsid w:val="073C8D16"/>
    <w:rsid w:val="073CFF6F"/>
    <w:rsid w:val="07404BDF"/>
    <w:rsid w:val="07431FAE"/>
    <w:rsid w:val="07457B75"/>
    <w:rsid w:val="07495F45"/>
    <w:rsid w:val="074D0D85"/>
    <w:rsid w:val="074FCA9B"/>
    <w:rsid w:val="0757987E"/>
    <w:rsid w:val="075CF4B8"/>
    <w:rsid w:val="0761D9F1"/>
    <w:rsid w:val="0767888A"/>
    <w:rsid w:val="076A42C7"/>
    <w:rsid w:val="076CF024"/>
    <w:rsid w:val="076D504B"/>
    <w:rsid w:val="077180A2"/>
    <w:rsid w:val="0772609A"/>
    <w:rsid w:val="07732ABB"/>
    <w:rsid w:val="077950A2"/>
    <w:rsid w:val="077AE6C5"/>
    <w:rsid w:val="077CD83D"/>
    <w:rsid w:val="0780C876"/>
    <w:rsid w:val="0783D143"/>
    <w:rsid w:val="07844F96"/>
    <w:rsid w:val="0785282E"/>
    <w:rsid w:val="0788EA1B"/>
    <w:rsid w:val="078A609A"/>
    <w:rsid w:val="078CE231"/>
    <w:rsid w:val="078E69C7"/>
    <w:rsid w:val="0794EBFC"/>
    <w:rsid w:val="0797FE18"/>
    <w:rsid w:val="079E16F5"/>
    <w:rsid w:val="07A0147E"/>
    <w:rsid w:val="07A22AD1"/>
    <w:rsid w:val="07A7FF8D"/>
    <w:rsid w:val="07AAB079"/>
    <w:rsid w:val="07AF74E6"/>
    <w:rsid w:val="07B041A7"/>
    <w:rsid w:val="07B5207B"/>
    <w:rsid w:val="07B59C79"/>
    <w:rsid w:val="07BAF4C7"/>
    <w:rsid w:val="07BE6255"/>
    <w:rsid w:val="07C19A9B"/>
    <w:rsid w:val="07C4A40E"/>
    <w:rsid w:val="07C585BF"/>
    <w:rsid w:val="07C6D469"/>
    <w:rsid w:val="07C93511"/>
    <w:rsid w:val="07D24371"/>
    <w:rsid w:val="07D95749"/>
    <w:rsid w:val="07DEFE17"/>
    <w:rsid w:val="07E2F58E"/>
    <w:rsid w:val="07E4E5F9"/>
    <w:rsid w:val="07EB3AD2"/>
    <w:rsid w:val="07ED2CA0"/>
    <w:rsid w:val="07EF218A"/>
    <w:rsid w:val="07EF46F3"/>
    <w:rsid w:val="07FA687D"/>
    <w:rsid w:val="07FA77A7"/>
    <w:rsid w:val="07FBA198"/>
    <w:rsid w:val="0801C214"/>
    <w:rsid w:val="08022C5D"/>
    <w:rsid w:val="0803B38E"/>
    <w:rsid w:val="08061D45"/>
    <w:rsid w:val="08062CE1"/>
    <w:rsid w:val="080A6973"/>
    <w:rsid w:val="080F5A0A"/>
    <w:rsid w:val="080FE698"/>
    <w:rsid w:val="0810C778"/>
    <w:rsid w:val="08128616"/>
    <w:rsid w:val="0819A598"/>
    <w:rsid w:val="081C2BD9"/>
    <w:rsid w:val="08286185"/>
    <w:rsid w:val="0829C8ED"/>
    <w:rsid w:val="082E8BA0"/>
    <w:rsid w:val="0830B39C"/>
    <w:rsid w:val="083250B3"/>
    <w:rsid w:val="0833446B"/>
    <w:rsid w:val="0838582F"/>
    <w:rsid w:val="0841F040"/>
    <w:rsid w:val="08443B47"/>
    <w:rsid w:val="084DE823"/>
    <w:rsid w:val="084E5B4A"/>
    <w:rsid w:val="084F5017"/>
    <w:rsid w:val="0856CD30"/>
    <w:rsid w:val="08585342"/>
    <w:rsid w:val="085E87A6"/>
    <w:rsid w:val="0860FC6B"/>
    <w:rsid w:val="0863AAAE"/>
    <w:rsid w:val="086786DF"/>
    <w:rsid w:val="086A36FD"/>
    <w:rsid w:val="0874F383"/>
    <w:rsid w:val="087A6899"/>
    <w:rsid w:val="087F15B2"/>
    <w:rsid w:val="08807BD9"/>
    <w:rsid w:val="0884A083"/>
    <w:rsid w:val="089C32F7"/>
    <w:rsid w:val="089EE047"/>
    <w:rsid w:val="089F1F32"/>
    <w:rsid w:val="08A14547"/>
    <w:rsid w:val="08AD5926"/>
    <w:rsid w:val="08AD786A"/>
    <w:rsid w:val="08AD90F8"/>
    <w:rsid w:val="08BA9B01"/>
    <w:rsid w:val="08BC2C85"/>
    <w:rsid w:val="08BE3400"/>
    <w:rsid w:val="08C0A0B5"/>
    <w:rsid w:val="08C2FBC2"/>
    <w:rsid w:val="08C34CE5"/>
    <w:rsid w:val="08C36428"/>
    <w:rsid w:val="08CAF9FA"/>
    <w:rsid w:val="08CBEC11"/>
    <w:rsid w:val="08CC9983"/>
    <w:rsid w:val="08CD0D1C"/>
    <w:rsid w:val="08CD4053"/>
    <w:rsid w:val="08CDBFF2"/>
    <w:rsid w:val="08CEC144"/>
    <w:rsid w:val="08D22394"/>
    <w:rsid w:val="08D3C65D"/>
    <w:rsid w:val="08D45940"/>
    <w:rsid w:val="08D5F74C"/>
    <w:rsid w:val="08DFA384"/>
    <w:rsid w:val="08F68AB4"/>
    <w:rsid w:val="08F97FC9"/>
    <w:rsid w:val="08F9830A"/>
    <w:rsid w:val="08FA2868"/>
    <w:rsid w:val="08FAFDB9"/>
    <w:rsid w:val="08FC1FA5"/>
    <w:rsid w:val="08FD6C3A"/>
    <w:rsid w:val="090202D2"/>
    <w:rsid w:val="09053679"/>
    <w:rsid w:val="090873CE"/>
    <w:rsid w:val="090D0F2F"/>
    <w:rsid w:val="0910E29D"/>
    <w:rsid w:val="091B15EE"/>
    <w:rsid w:val="091BA369"/>
    <w:rsid w:val="091C8ABC"/>
    <w:rsid w:val="091DDEA6"/>
    <w:rsid w:val="0920A483"/>
    <w:rsid w:val="09218D62"/>
    <w:rsid w:val="092324F2"/>
    <w:rsid w:val="09269351"/>
    <w:rsid w:val="09350926"/>
    <w:rsid w:val="093BBF07"/>
    <w:rsid w:val="093BE8D4"/>
    <w:rsid w:val="0943F184"/>
    <w:rsid w:val="0945BD50"/>
    <w:rsid w:val="094A4920"/>
    <w:rsid w:val="094BEA9B"/>
    <w:rsid w:val="094E656C"/>
    <w:rsid w:val="09536189"/>
    <w:rsid w:val="0955C18D"/>
    <w:rsid w:val="0959FF39"/>
    <w:rsid w:val="095BB0EE"/>
    <w:rsid w:val="095CADE4"/>
    <w:rsid w:val="095CFB62"/>
    <w:rsid w:val="095EE646"/>
    <w:rsid w:val="09622B28"/>
    <w:rsid w:val="09629F4B"/>
    <w:rsid w:val="0962B796"/>
    <w:rsid w:val="096474B7"/>
    <w:rsid w:val="096AF999"/>
    <w:rsid w:val="096FD336"/>
    <w:rsid w:val="0970234D"/>
    <w:rsid w:val="0972B13E"/>
    <w:rsid w:val="0972C0D1"/>
    <w:rsid w:val="0974814D"/>
    <w:rsid w:val="0974A6A3"/>
    <w:rsid w:val="09792D25"/>
    <w:rsid w:val="0979758E"/>
    <w:rsid w:val="0979A417"/>
    <w:rsid w:val="097B06CD"/>
    <w:rsid w:val="097C279F"/>
    <w:rsid w:val="097D74CA"/>
    <w:rsid w:val="097F3F87"/>
    <w:rsid w:val="097FD91D"/>
    <w:rsid w:val="098653C4"/>
    <w:rsid w:val="098CA0D9"/>
    <w:rsid w:val="0990291C"/>
    <w:rsid w:val="09927C5A"/>
    <w:rsid w:val="09968F63"/>
    <w:rsid w:val="09990C03"/>
    <w:rsid w:val="0999ED64"/>
    <w:rsid w:val="099CC97A"/>
    <w:rsid w:val="099D6147"/>
    <w:rsid w:val="099E1267"/>
    <w:rsid w:val="09A08D8C"/>
    <w:rsid w:val="09A3C88D"/>
    <w:rsid w:val="09A4B552"/>
    <w:rsid w:val="09AA0922"/>
    <w:rsid w:val="09AACAB8"/>
    <w:rsid w:val="09ABFBE0"/>
    <w:rsid w:val="09AF9051"/>
    <w:rsid w:val="09B24290"/>
    <w:rsid w:val="09B4971E"/>
    <w:rsid w:val="09B813C4"/>
    <w:rsid w:val="09C0D379"/>
    <w:rsid w:val="09C49744"/>
    <w:rsid w:val="09C5551B"/>
    <w:rsid w:val="09C5EABB"/>
    <w:rsid w:val="09C79E4A"/>
    <w:rsid w:val="09C873A5"/>
    <w:rsid w:val="09C8C9EC"/>
    <w:rsid w:val="09CE82B5"/>
    <w:rsid w:val="09D19C75"/>
    <w:rsid w:val="09D4ECB1"/>
    <w:rsid w:val="09D81C70"/>
    <w:rsid w:val="09DB2021"/>
    <w:rsid w:val="09DB813B"/>
    <w:rsid w:val="09E20822"/>
    <w:rsid w:val="09E2FFAB"/>
    <w:rsid w:val="09E51A76"/>
    <w:rsid w:val="09E6817C"/>
    <w:rsid w:val="09E6B5D3"/>
    <w:rsid w:val="09EBAF46"/>
    <w:rsid w:val="09EE1BD7"/>
    <w:rsid w:val="09EE3643"/>
    <w:rsid w:val="09EE9F40"/>
    <w:rsid w:val="09F05574"/>
    <w:rsid w:val="09F45F3A"/>
    <w:rsid w:val="09F50F1F"/>
    <w:rsid w:val="09FAA189"/>
    <w:rsid w:val="09FDF8DB"/>
    <w:rsid w:val="09FDFC9B"/>
    <w:rsid w:val="0A00CD3A"/>
    <w:rsid w:val="0A0274B8"/>
    <w:rsid w:val="0A02A20E"/>
    <w:rsid w:val="0A069AD8"/>
    <w:rsid w:val="0A09BAC9"/>
    <w:rsid w:val="0A0DB56D"/>
    <w:rsid w:val="0A183BD4"/>
    <w:rsid w:val="0A1CE604"/>
    <w:rsid w:val="0A1CEDC7"/>
    <w:rsid w:val="0A1D652D"/>
    <w:rsid w:val="0A1DB278"/>
    <w:rsid w:val="0A1FECAA"/>
    <w:rsid w:val="0A211C16"/>
    <w:rsid w:val="0A2445F2"/>
    <w:rsid w:val="0A25C91B"/>
    <w:rsid w:val="0A2A5730"/>
    <w:rsid w:val="0A2CE69B"/>
    <w:rsid w:val="0A2F73E6"/>
    <w:rsid w:val="0A30D769"/>
    <w:rsid w:val="0A342B13"/>
    <w:rsid w:val="0A360DF6"/>
    <w:rsid w:val="0A3B1104"/>
    <w:rsid w:val="0A49A36C"/>
    <w:rsid w:val="0A49BE37"/>
    <w:rsid w:val="0A57506C"/>
    <w:rsid w:val="0A5A39FC"/>
    <w:rsid w:val="0A5C474D"/>
    <w:rsid w:val="0A6280E6"/>
    <w:rsid w:val="0A6287B5"/>
    <w:rsid w:val="0A675523"/>
    <w:rsid w:val="0A687B9F"/>
    <w:rsid w:val="0A6944B2"/>
    <w:rsid w:val="0A6953B0"/>
    <w:rsid w:val="0A6A925D"/>
    <w:rsid w:val="0A6B1997"/>
    <w:rsid w:val="0A6BE69E"/>
    <w:rsid w:val="0A6D5A8E"/>
    <w:rsid w:val="0A71ED9A"/>
    <w:rsid w:val="0A74E0C7"/>
    <w:rsid w:val="0A7616F0"/>
    <w:rsid w:val="0A8077F1"/>
    <w:rsid w:val="0A88232A"/>
    <w:rsid w:val="0A891933"/>
    <w:rsid w:val="0A897510"/>
    <w:rsid w:val="0A8A50BE"/>
    <w:rsid w:val="0A91710E"/>
    <w:rsid w:val="0A92B154"/>
    <w:rsid w:val="0A942BFB"/>
    <w:rsid w:val="0A95B902"/>
    <w:rsid w:val="0A9B5D9F"/>
    <w:rsid w:val="0A9D45CC"/>
    <w:rsid w:val="0A9F1587"/>
    <w:rsid w:val="0AA200F7"/>
    <w:rsid w:val="0AA56990"/>
    <w:rsid w:val="0AADE775"/>
    <w:rsid w:val="0AB4F5D2"/>
    <w:rsid w:val="0AB9F972"/>
    <w:rsid w:val="0ABA3EBD"/>
    <w:rsid w:val="0AC15FB4"/>
    <w:rsid w:val="0AC23324"/>
    <w:rsid w:val="0AC386CD"/>
    <w:rsid w:val="0AD1A8E5"/>
    <w:rsid w:val="0AD760DF"/>
    <w:rsid w:val="0ADFDFF0"/>
    <w:rsid w:val="0AE5EFD1"/>
    <w:rsid w:val="0AEDCCDF"/>
    <w:rsid w:val="0AF4D63E"/>
    <w:rsid w:val="0AF66FE0"/>
    <w:rsid w:val="0AF70833"/>
    <w:rsid w:val="0AF7CA73"/>
    <w:rsid w:val="0B01745A"/>
    <w:rsid w:val="0B022769"/>
    <w:rsid w:val="0B02570B"/>
    <w:rsid w:val="0B03E54F"/>
    <w:rsid w:val="0B06DA06"/>
    <w:rsid w:val="0B0C6933"/>
    <w:rsid w:val="0B0E2DFF"/>
    <w:rsid w:val="0B0FE249"/>
    <w:rsid w:val="0B10B78C"/>
    <w:rsid w:val="0B134A7B"/>
    <w:rsid w:val="0B15ABD9"/>
    <w:rsid w:val="0B1900A8"/>
    <w:rsid w:val="0B19B48C"/>
    <w:rsid w:val="0B19C7ED"/>
    <w:rsid w:val="0B27B63B"/>
    <w:rsid w:val="0B2D5028"/>
    <w:rsid w:val="0B37250B"/>
    <w:rsid w:val="0B390D7D"/>
    <w:rsid w:val="0B398C4F"/>
    <w:rsid w:val="0B3B2027"/>
    <w:rsid w:val="0B3EA021"/>
    <w:rsid w:val="0B3FB451"/>
    <w:rsid w:val="0B421524"/>
    <w:rsid w:val="0B46B306"/>
    <w:rsid w:val="0B4E9FF4"/>
    <w:rsid w:val="0B514967"/>
    <w:rsid w:val="0B53184D"/>
    <w:rsid w:val="0B535682"/>
    <w:rsid w:val="0B56EEDE"/>
    <w:rsid w:val="0B5777C8"/>
    <w:rsid w:val="0B5A5720"/>
    <w:rsid w:val="0B5C45BD"/>
    <w:rsid w:val="0B613D15"/>
    <w:rsid w:val="0B65DBA8"/>
    <w:rsid w:val="0B666F6F"/>
    <w:rsid w:val="0B6779C0"/>
    <w:rsid w:val="0B6C3C48"/>
    <w:rsid w:val="0B6E658E"/>
    <w:rsid w:val="0B752F2B"/>
    <w:rsid w:val="0B7675D2"/>
    <w:rsid w:val="0B7B245B"/>
    <w:rsid w:val="0B7E7DA6"/>
    <w:rsid w:val="0B80D080"/>
    <w:rsid w:val="0B8D46B8"/>
    <w:rsid w:val="0B8DA0ED"/>
    <w:rsid w:val="0B946D86"/>
    <w:rsid w:val="0B94FB8C"/>
    <w:rsid w:val="0B9619F2"/>
    <w:rsid w:val="0B980CEF"/>
    <w:rsid w:val="0B9FDA0F"/>
    <w:rsid w:val="0BA24E0B"/>
    <w:rsid w:val="0BA28FE0"/>
    <w:rsid w:val="0BA853BA"/>
    <w:rsid w:val="0BAD1C1F"/>
    <w:rsid w:val="0BAD5939"/>
    <w:rsid w:val="0BAE14B5"/>
    <w:rsid w:val="0BB3AA93"/>
    <w:rsid w:val="0BBF8D97"/>
    <w:rsid w:val="0BC12A4A"/>
    <w:rsid w:val="0BC14604"/>
    <w:rsid w:val="0BC2092A"/>
    <w:rsid w:val="0BC437EA"/>
    <w:rsid w:val="0BC79C81"/>
    <w:rsid w:val="0BD14572"/>
    <w:rsid w:val="0BD86827"/>
    <w:rsid w:val="0BD8B18E"/>
    <w:rsid w:val="0BDB1A0B"/>
    <w:rsid w:val="0BDB75C5"/>
    <w:rsid w:val="0BE7FCED"/>
    <w:rsid w:val="0BEB51A7"/>
    <w:rsid w:val="0BEC274C"/>
    <w:rsid w:val="0BEDF540"/>
    <w:rsid w:val="0BF37F2A"/>
    <w:rsid w:val="0BF38233"/>
    <w:rsid w:val="0BF488F6"/>
    <w:rsid w:val="0BF4CBF8"/>
    <w:rsid w:val="0BF84F9D"/>
    <w:rsid w:val="0BF87C13"/>
    <w:rsid w:val="0C01C17D"/>
    <w:rsid w:val="0C05749F"/>
    <w:rsid w:val="0C0A5D9D"/>
    <w:rsid w:val="0C0BFD9C"/>
    <w:rsid w:val="0C0D280A"/>
    <w:rsid w:val="0C0FE94B"/>
    <w:rsid w:val="0C1087DB"/>
    <w:rsid w:val="0C10C5E4"/>
    <w:rsid w:val="0C1378A4"/>
    <w:rsid w:val="0C14C4A6"/>
    <w:rsid w:val="0C14F991"/>
    <w:rsid w:val="0C18D23A"/>
    <w:rsid w:val="0C18E8E6"/>
    <w:rsid w:val="0C1A46B1"/>
    <w:rsid w:val="0C1C4E61"/>
    <w:rsid w:val="0C209384"/>
    <w:rsid w:val="0C26CB50"/>
    <w:rsid w:val="0C27485B"/>
    <w:rsid w:val="0C28760E"/>
    <w:rsid w:val="0C2EDABA"/>
    <w:rsid w:val="0C2EE745"/>
    <w:rsid w:val="0C313D73"/>
    <w:rsid w:val="0C329498"/>
    <w:rsid w:val="0C3AAE06"/>
    <w:rsid w:val="0C3BD69B"/>
    <w:rsid w:val="0C3E42BC"/>
    <w:rsid w:val="0C3ED43B"/>
    <w:rsid w:val="0C46EA2E"/>
    <w:rsid w:val="0C47AAE9"/>
    <w:rsid w:val="0C4807D1"/>
    <w:rsid w:val="0C51BD39"/>
    <w:rsid w:val="0C57AB53"/>
    <w:rsid w:val="0C5A51FC"/>
    <w:rsid w:val="0C5C3666"/>
    <w:rsid w:val="0C623199"/>
    <w:rsid w:val="0C6552E3"/>
    <w:rsid w:val="0C6574BB"/>
    <w:rsid w:val="0C6902DA"/>
    <w:rsid w:val="0C6E03D6"/>
    <w:rsid w:val="0C7354BF"/>
    <w:rsid w:val="0C755D7E"/>
    <w:rsid w:val="0C75FDB1"/>
    <w:rsid w:val="0C775AEE"/>
    <w:rsid w:val="0C7D064A"/>
    <w:rsid w:val="0C7DD998"/>
    <w:rsid w:val="0C93DBA8"/>
    <w:rsid w:val="0C976E01"/>
    <w:rsid w:val="0C98D8CE"/>
    <w:rsid w:val="0CA0A8B8"/>
    <w:rsid w:val="0CA40619"/>
    <w:rsid w:val="0CA537A8"/>
    <w:rsid w:val="0CACD2A2"/>
    <w:rsid w:val="0CAD2476"/>
    <w:rsid w:val="0CAE5D19"/>
    <w:rsid w:val="0CB2B277"/>
    <w:rsid w:val="0CB65ADB"/>
    <w:rsid w:val="0CBFFD12"/>
    <w:rsid w:val="0CC2E74F"/>
    <w:rsid w:val="0CC4348E"/>
    <w:rsid w:val="0CC4BD5C"/>
    <w:rsid w:val="0CC7EDBF"/>
    <w:rsid w:val="0CCEAF77"/>
    <w:rsid w:val="0CCF1C11"/>
    <w:rsid w:val="0CD1F161"/>
    <w:rsid w:val="0CD48792"/>
    <w:rsid w:val="0CD4889D"/>
    <w:rsid w:val="0CD5226A"/>
    <w:rsid w:val="0CD527A6"/>
    <w:rsid w:val="0CD92491"/>
    <w:rsid w:val="0CDEBCFD"/>
    <w:rsid w:val="0CE2C795"/>
    <w:rsid w:val="0CE4E6EC"/>
    <w:rsid w:val="0CE5DB0B"/>
    <w:rsid w:val="0CE60E88"/>
    <w:rsid w:val="0CE7CA00"/>
    <w:rsid w:val="0CEA6982"/>
    <w:rsid w:val="0CEA7ECE"/>
    <w:rsid w:val="0CEC872D"/>
    <w:rsid w:val="0CF39DA0"/>
    <w:rsid w:val="0CF4AE40"/>
    <w:rsid w:val="0CF9716B"/>
    <w:rsid w:val="0D04B7E6"/>
    <w:rsid w:val="0D0AC5FC"/>
    <w:rsid w:val="0D0B6AFB"/>
    <w:rsid w:val="0D0DCB56"/>
    <w:rsid w:val="0D0FD184"/>
    <w:rsid w:val="0D1010BB"/>
    <w:rsid w:val="0D152D1C"/>
    <w:rsid w:val="0D157B70"/>
    <w:rsid w:val="0D19F4AA"/>
    <w:rsid w:val="0D1B493D"/>
    <w:rsid w:val="0D1CCB4B"/>
    <w:rsid w:val="0D1D5E8D"/>
    <w:rsid w:val="0D2BCB0B"/>
    <w:rsid w:val="0D32B9C7"/>
    <w:rsid w:val="0D36B477"/>
    <w:rsid w:val="0D392FE3"/>
    <w:rsid w:val="0D39AB44"/>
    <w:rsid w:val="0D3E3B86"/>
    <w:rsid w:val="0D428F67"/>
    <w:rsid w:val="0D429FBB"/>
    <w:rsid w:val="0D4664B9"/>
    <w:rsid w:val="0D47A0BB"/>
    <w:rsid w:val="0D482AFD"/>
    <w:rsid w:val="0D51B785"/>
    <w:rsid w:val="0D52F6D0"/>
    <w:rsid w:val="0D5370EA"/>
    <w:rsid w:val="0D5641C3"/>
    <w:rsid w:val="0D5973DC"/>
    <w:rsid w:val="0D5A4085"/>
    <w:rsid w:val="0D5D5AF6"/>
    <w:rsid w:val="0D60442F"/>
    <w:rsid w:val="0D65E591"/>
    <w:rsid w:val="0D66B7B6"/>
    <w:rsid w:val="0D6AB10B"/>
    <w:rsid w:val="0D6B3CF8"/>
    <w:rsid w:val="0D7078FB"/>
    <w:rsid w:val="0D73F493"/>
    <w:rsid w:val="0D788C99"/>
    <w:rsid w:val="0D7DAF39"/>
    <w:rsid w:val="0D8130BF"/>
    <w:rsid w:val="0D81EE68"/>
    <w:rsid w:val="0D81FB55"/>
    <w:rsid w:val="0D97A0BD"/>
    <w:rsid w:val="0D999C5A"/>
    <w:rsid w:val="0DA275D9"/>
    <w:rsid w:val="0DA324E7"/>
    <w:rsid w:val="0DA45E41"/>
    <w:rsid w:val="0DA70772"/>
    <w:rsid w:val="0DB05FB8"/>
    <w:rsid w:val="0DB3F704"/>
    <w:rsid w:val="0DB75D26"/>
    <w:rsid w:val="0DBA3B7F"/>
    <w:rsid w:val="0DBA4CE5"/>
    <w:rsid w:val="0DBFFB7B"/>
    <w:rsid w:val="0DC14DB2"/>
    <w:rsid w:val="0DC18BA4"/>
    <w:rsid w:val="0DC1B39F"/>
    <w:rsid w:val="0DC25E58"/>
    <w:rsid w:val="0DC7D6F8"/>
    <w:rsid w:val="0DCA9A9A"/>
    <w:rsid w:val="0DD3F6D5"/>
    <w:rsid w:val="0DD7443A"/>
    <w:rsid w:val="0DD95B6C"/>
    <w:rsid w:val="0DDAA504"/>
    <w:rsid w:val="0DDC9CB5"/>
    <w:rsid w:val="0DDD91BB"/>
    <w:rsid w:val="0DDDA079"/>
    <w:rsid w:val="0DE026BC"/>
    <w:rsid w:val="0DE02F1E"/>
    <w:rsid w:val="0DE2101F"/>
    <w:rsid w:val="0DE8CE19"/>
    <w:rsid w:val="0DEC1135"/>
    <w:rsid w:val="0DEF1FBE"/>
    <w:rsid w:val="0DF2C797"/>
    <w:rsid w:val="0DFC1F72"/>
    <w:rsid w:val="0DFF0051"/>
    <w:rsid w:val="0E029E68"/>
    <w:rsid w:val="0E04CFC3"/>
    <w:rsid w:val="0E0DB059"/>
    <w:rsid w:val="0E12F5FF"/>
    <w:rsid w:val="0E18839A"/>
    <w:rsid w:val="0E191EDE"/>
    <w:rsid w:val="0E19EE4A"/>
    <w:rsid w:val="0E1B7DFE"/>
    <w:rsid w:val="0E1C75F8"/>
    <w:rsid w:val="0E1D5CAB"/>
    <w:rsid w:val="0E1D64A8"/>
    <w:rsid w:val="0E204ACB"/>
    <w:rsid w:val="0E20A19A"/>
    <w:rsid w:val="0E23034E"/>
    <w:rsid w:val="0E25689D"/>
    <w:rsid w:val="0E26F832"/>
    <w:rsid w:val="0E2B95BB"/>
    <w:rsid w:val="0E3A2920"/>
    <w:rsid w:val="0E3BA480"/>
    <w:rsid w:val="0E3CB0DF"/>
    <w:rsid w:val="0E3E4196"/>
    <w:rsid w:val="0E446D37"/>
    <w:rsid w:val="0E4A5953"/>
    <w:rsid w:val="0E4DA3C4"/>
    <w:rsid w:val="0E4FE512"/>
    <w:rsid w:val="0E542690"/>
    <w:rsid w:val="0E55DD19"/>
    <w:rsid w:val="0E5810E3"/>
    <w:rsid w:val="0E586D57"/>
    <w:rsid w:val="0E5FB452"/>
    <w:rsid w:val="0E61C1A8"/>
    <w:rsid w:val="0E690C32"/>
    <w:rsid w:val="0E704B67"/>
    <w:rsid w:val="0E740D10"/>
    <w:rsid w:val="0E79E010"/>
    <w:rsid w:val="0E7C7F36"/>
    <w:rsid w:val="0E7CC669"/>
    <w:rsid w:val="0E813D7F"/>
    <w:rsid w:val="0E89C905"/>
    <w:rsid w:val="0E8ABC18"/>
    <w:rsid w:val="0E903BEE"/>
    <w:rsid w:val="0E962980"/>
    <w:rsid w:val="0E97D157"/>
    <w:rsid w:val="0E9910A6"/>
    <w:rsid w:val="0EA1E79D"/>
    <w:rsid w:val="0EA6C9AA"/>
    <w:rsid w:val="0EAF8539"/>
    <w:rsid w:val="0EB18C82"/>
    <w:rsid w:val="0EB5606E"/>
    <w:rsid w:val="0EC6FDBB"/>
    <w:rsid w:val="0ED0E328"/>
    <w:rsid w:val="0ED37360"/>
    <w:rsid w:val="0ED394E5"/>
    <w:rsid w:val="0ED4270C"/>
    <w:rsid w:val="0EEA8EFB"/>
    <w:rsid w:val="0EEB1CF9"/>
    <w:rsid w:val="0EEE5D38"/>
    <w:rsid w:val="0EF6AF61"/>
    <w:rsid w:val="0EF73823"/>
    <w:rsid w:val="0EFB1978"/>
    <w:rsid w:val="0EFCB8D3"/>
    <w:rsid w:val="0EFF7955"/>
    <w:rsid w:val="0F02D8D3"/>
    <w:rsid w:val="0F0727BE"/>
    <w:rsid w:val="0F0C6F53"/>
    <w:rsid w:val="0F0ECEC2"/>
    <w:rsid w:val="0F0F4034"/>
    <w:rsid w:val="0F12AE01"/>
    <w:rsid w:val="0F15588E"/>
    <w:rsid w:val="0F192F6D"/>
    <w:rsid w:val="0F1A409D"/>
    <w:rsid w:val="0F1C6D9A"/>
    <w:rsid w:val="0F1FEF48"/>
    <w:rsid w:val="0F217A58"/>
    <w:rsid w:val="0F22AAE0"/>
    <w:rsid w:val="0F2B8642"/>
    <w:rsid w:val="0F2CD286"/>
    <w:rsid w:val="0F312461"/>
    <w:rsid w:val="0F3322FC"/>
    <w:rsid w:val="0F36CFE0"/>
    <w:rsid w:val="0F3CB361"/>
    <w:rsid w:val="0F3EFF96"/>
    <w:rsid w:val="0F3F2499"/>
    <w:rsid w:val="0F4024B8"/>
    <w:rsid w:val="0F46AD0D"/>
    <w:rsid w:val="0F46C899"/>
    <w:rsid w:val="0F49D9D9"/>
    <w:rsid w:val="0F4C3584"/>
    <w:rsid w:val="0F509F86"/>
    <w:rsid w:val="0F5619E8"/>
    <w:rsid w:val="0F5884E1"/>
    <w:rsid w:val="0F5F8961"/>
    <w:rsid w:val="0F62758B"/>
    <w:rsid w:val="0F644468"/>
    <w:rsid w:val="0F66ADB8"/>
    <w:rsid w:val="0F689C18"/>
    <w:rsid w:val="0F69C5C8"/>
    <w:rsid w:val="0F6EBD42"/>
    <w:rsid w:val="0F73223C"/>
    <w:rsid w:val="0F750595"/>
    <w:rsid w:val="0F7B376E"/>
    <w:rsid w:val="0F7C2FF4"/>
    <w:rsid w:val="0F7FD814"/>
    <w:rsid w:val="0F8370B5"/>
    <w:rsid w:val="0F8C402F"/>
    <w:rsid w:val="0F8E9DF7"/>
    <w:rsid w:val="0F8F53A4"/>
    <w:rsid w:val="0F9371C1"/>
    <w:rsid w:val="0F947C85"/>
    <w:rsid w:val="0F95AD2A"/>
    <w:rsid w:val="0F96E6A7"/>
    <w:rsid w:val="0F979BA0"/>
    <w:rsid w:val="0F9EC42E"/>
    <w:rsid w:val="0F9EFB69"/>
    <w:rsid w:val="0FA46018"/>
    <w:rsid w:val="0FA7CB5A"/>
    <w:rsid w:val="0FA8DC15"/>
    <w:rsid w:val="0FAAC0F2"/>
    <w:rsid w:val="0FAC2670"/>
    <w:rsid w:val="0FC032C7"/>
    <w:rsid w:val="0FC79AB0"/>
    <w:rsid w:val="0FC89E46"/>
    <w:rsid w:val="0FC8AB0C"/>
    <w:rsid w:val="0FC9D30E"/>
    <w:rsid w:val="0FCB6818"/>
    <w:rsid w:val="0FCC8C92"/>
    <w:rsid w:val="0FCEAC8D"/>
    <w:rsid w:val="0FD402CB"/>
    <w:rsid w:val="0FD455A7"/>
    <w:rsid w:val="0FD834CC"/>
    <w:rsid w:val="0FDD8473"/>
    <w:rsid w:val="0FDFFAC4"/>
    <w:rsid w:val="0FE17098"/>
    <w:rsid w:val="0FE60A11"/>
    <w:rsid w:val="0FEAD0BA"/>
    <w:rsid w:val="0FED2BE8"/>
    <w:rsid w:val="0FF4237D"/>
    <w:rsid w:val="10003227"/>
    <w:rsid w:val="10034761"/>
    <w:rsid w:val="100705D9"/>
    <w:rsid w:val="100FAC0D"/>
    <w:rsid w:val="101311FB"/>
    <w:rsid w:val="1015FBD6"/>
    <w:rsid w:val="1016BE79"/>
    <w:rsid w:val="10172267"/>
    <w:rsid w:val="1017591C"/>
    <w:rsid w:val="1017B4C6"/>
    <w:rsid w:val="10193C6A"/>
    <w:rsid w:val="101DCD96"/>
    <w:rsid w:val="101EDFFC"/>
    <w:rsid w:val="101FB0D4"/>
    <w:rsid w:val="101FD279"/>
    <w:rsid w:val="1021C659"/>
    <w:rsid w:val="1026E755"/>
    <w:rsid w:val="102D36EE"/>
    <w:rsid w:val="1031F8E5"/>
    <w:rsid w:val="1033E8F0"/>
    <w:rsid w:val="1034110F"/>
    <w:rsid w:val="103AB220"/>
    <w:rsid w:val="103F7777"/>
    <w:rsid w:val="10406416"/>
    <w:rsid w:val="10429182"/>
    <w:rsid w:val="10440D5A"/>
    <w:rsid w:val="10458827"/>
    <w:rsid w:val="104FA491"/>
    <w:rsid w:val="10537DFA"/>
    <w:rsid w:val="10592B1F"/>
    <w:rsid w:val="10613F49"/>
    <w:rsid w:val="1061C46A"/>
    <w:rsid w:val="10631ECC"/>
    <w:rsid w:val="1063BD69"/>
    <w:rsid w:val="1064621E"/>
    <w:rsid w:val="106DF555"/>
    <w:rsid w:val="1075E43B"/>
    <w:rsid w:val="1080E553"/>
    <w:rsid w:val="1081AB8E"/>
    <w:rsid w:val="1082584E"/>
    <w:rsid w:val="1086FFE7"/>
    <w:rsid w:val="1088174A"/>
    <w:rsid w:val="10889E30"/>
    <w:rsid w:val="10897B05"/>
    <w:rsid w:val="108C286D"/>
    <w:rsid w:val="10909D41"/>
    <w:rsid w:val="10943845"/>
    <w:rsid w:val="1094667A"/>
    <w:rsid w:val="109993CC"/>
    <w:rsid w:val="109C738B"/>
    <w:rsid w:val="109E6B60"/>
    <w:rsid w:val="109F7C13"/>
    <w:rsid w:val="10A04245"/>
    <w:rsid w:val="10A26D42"/>
    <w:rsid w:val="10A35526"/>
    <w:rsid w:val="10A8BEA8"/>
    <w:rsid w:val="10B36D6A"/>
    <w:rsid w:val="10B650D2"/>
    <w:rsid w:val="10B712C6"/>
    <w:rsid w:val="10BBAA09"/>
    <w:rsid w:val="10BCEDAB"/>
    <w:rsid w:val="10BDA099"/>
    <w:rsid w:val="10C318F7"/>
    <w:rsid w:val="10C7060F"/>
    <w:rsid w:val="10CB4D2F"/>
    <w:rsid w:val="10D158B7"/>
    <w:rsid w:val="10D5832E"/>
    <w:rsid w:val="10DCCC54"/>
    <w:rsid w:val="10DEFCE6"/>
    <w:rsid w:val="10E21EDB"/>
    <w:rsid w:val="10E64C9A"/>
    <w:rsid w:val="10E6837C"/>
    <w:rsid w:val="10E79AF8"/>
    <w:rsid w:val="10E897FD"/>
    <w:rsid w:val="10EBB3D3"/>
    <w:rsid w:val="10F6B053"/>
    <w:rsid w:val="10FAB89E"/>
    <w:rsid w:val="10FB7C1D"/>
    <w:rsid w:val="10FC8097"/>
    <w:rsid w:val="10FD1212"/>
    <w:rsid w:val="10FE5712"/>
    <w:rsid w:val="1103D48E"/>
    <w:rsid w:val="1104FA9F"/>
    <w:rsid w:val="1107532F"/>
    <w:rsid w:val="110AAA21"/>
    <w:rsid w:val="1112B362"/>
    <w:rsid w:val="1113DC42"/>
    <w:rsid w:val="111428AC"/>
    <w:rsid w:val="1116E7FB"/>
    <w:rsid w:val="11179306"/>
    <w:rsid w:val="111B4566"/>
    <w:rsid w:val="111E1359"/>
    <w:rsid w:val="111F23B9"/>
    <w:rsid w:val="1121D247"/>
    <w:rsid w:val="11234959"/>
    <w:rsid w:val="11235F5D"/>
    <w:rsid w:val="1133E574"/>
    <w:rsid w:val="1134E417"/>
    <w:rsid w:val="1136CF55"/>
    <w:rsid w:val="1139DE43"/>
    <w:rsid w:val="113B916D"/>
    <w:rsid w:val="113D439D"/>
    <w:rsid w:val="113EE249"/>
    <w:rsid w:val="1142CA55"/>
    <w:rsid w:val="11456CEF"/>
    <w:rsid w:val="114B96BB"/>
    <w:rsid w:val="11565A78"/>
    <w:rsid w:val="115ACD70"/>
    <w:rsid w:val="115DF8B7"/>
    <w:rsid w:val="115E9308"/>
    <w:rsid w:val="1165CB4F"/>
    <w:rsid w:val="116CF957"/>
    <w:rsid w:val="116D93C1"/>
    <w:rsid w:val="116EEB2E"/>
    <w:rsid w:val="117039B3"/>
    <w:rsid w:val="117414AD"/>
    <w:rsid w:val="117A9CAD"/>
    <w:rsid w:val="117F6870"/>
    <w:rsid w:val="117F9F31"/>
    <w:rsid w:val="117FBF78"/>
    <w:rsid w:val="1182E0AC"/>
    <w:rsid w:val="1184A3B8"/>
    <w:rsid w:val="1185DFF6"/>
    <w:rsid w:val="11890A62"/>
    <w:rsid w:val="11893852"/>
    <w:rsid w:val="11902E06"/>
    <w:rsid w:val="1193D79D"/>
    <w:rsid w:val="11961555"/>
    <w:rsid w:val="11974DB5"/>
    <w:rsid w:val="11978D4B"/>
    <w:rsid w:val="119AD92F"/>
    <w:rsid w:val="119F108E"/>
    <w:rsid w:val="11A0FCA2"/>
    <w:rsid w:val="11A1F5AD"/>
    <w:rsid w:val="11A27A7C"/>
    <w:rsid w:val="11A30CDF"/>
    <w:rsid w:val="11A3B968"/>
    <w:rsid w:val="11A674EE"/>
    <w:rsid w:val="11A733EF"/>
    <w:rsid w:val="11A88BCB"/>
    <w:rsid w:val="11B6E65B"/>
    <w:rsid w:val="11BEA5B4"/>
    <w:rsid w:val="11C224FF"/>
    <w:rsid w:val="11C27419"/>
    <w:rsid w:val="11C6182E"/>
    <w:rsid w:val="11CA5BA8"/>
    <w:rsid w:val="11CD580F"/>
    <w:rsid w:val="11D07C1E"/>
    <w:rsid w:val="11D3C190"/>
    <w:rsid w:val="11D783A4"/>
    <w:rsid w:val="11D98A42"/>
    <w:rsid w:val="11DF51ED"/>
    <w:rsid w:val="11DFD2CA"/>
    <w:rsid w:val="11E3FE31"/>
    <w:rsid w:val="11E6507D"/>
    <w:rsid w:val="11E6B375"/>
    <w:rsid w:val="11E7A887"/>
    <w:rsid w:val="11EC9E83"/>
    <w:rsid w:val="11F5EC7E"/>
    <w:rsid w:val="120404D2"/>
    <w:rsid w:val="1206F33F"/>
    <w:rsid w:val="1208CED6"/>
    <w:rsid w:val="120AE2F7"/>
    <w:rsid w:val="120BA534"/>
    <w:rsid w:val="120C9648"/>
    <w:rsid w:val="120D5F64"/>
    <w:rsid w:val="120DDFB4"/>
    <w:rsid w:val="120EBE67"/>
    <w:rsid w:val="12185AC7"/>
    <w:rsid w:val="121F3C79"/>
    <w:rsid w:val="121F8793"/>
    <w:rsid w:val="12210BF4"/>
    <w:rsid w:val="1222F5AD"/>
    <w:rsid w:val="1222F68F"/>
    <w:rsid w:val="1228DD9D"/>
    <w:rsid w:val="1229F8B7"/>
    <w:rsid w:val="122AA572"/>
    <w:rsid w:val="122B1E00"/>
    <w:rsid w:val="1232E475"/>
    <w:rsid w:val="1245CC37"/>
    <w:rsid w:val="124769F4"/>
    <w:rsid w:val="1247EEC3"/>
    <w:rsid w:val="124EE439"/>
    <w:rsid w:val="12576BEE"/>
    <w:rsid w:val="125CFAE0"/>
    <w:rsid w:val="1262DC9D"/>
    <w:rsid w:val="1267DC0E"/>
    <w:rsid w:val="1269A3B0"/>
    <w:rsid w:val="12733E2A"/>
    <w:rsid w:val="12756D51"/>
    <w:rsid w:val="12799C57"/>
    <w:rsid w:val="1279CD0C"/>
    <w:rsid w:val="127C9117"/>
    <w:rsid w:val="1282B67D"/>
    <w:rsid w:val="1286C94D"/>
    <w:rsid w:val="12886D76"/>
    <w:rsid w:val="128C3A7D"/>
    <w:rsid w:val="128DF767"/>
    <w:rsid w:val="128FF436"/>
    <w:rsid w:val="12A0652B"/>
    <w:rsid w:val="12A2D640"/>
    <w:rsid w:val="12A4148B"/>
    <w:rsid w:val="12A6D1A7"/>
    <w:rsid w:val="12A78658"/>
    <w:rsid w:val="12A7BED2"/>
    <w:rsid w:val="12AC0B37"/>
    <w:rsid w:val="12ACF611"/>
    <w:rsid w:val="12ADADC5"/>
    <w:rsid w:val="12B67580"/>
    <w:rsid w:val="12B6D5AB"/>
    <w:rsid w:val="12BA4054"/>
    <w:rsid w:val="12BAD64A"/>
    <w:rsid w:val="12C95604"/>
    <w:rsid w:val="12D80631"/>
    <w:rsid w:val="12DE720C"/>
    <w:rsid w:val="12E0F4F4"/>
    <w:rsid w:val="12EA756E"/>
    <w:rsid w:val="12EBF7AD"/>
    <w:rsid w:val="12EEE09D"/>
    <w:rsid w:val="12EFC334"/>
    <w:rsid w:val="12F0053A"/>
    <w:rsid w:val="12F7FB45"/>
    <w:rsid w:val="12FB98EC"/>
    <w:rsid w:val="12FE0457"/>
    <w:rsid w:val="1302C67C"/>
    <w:rsid w:val="13040FB4"/>
    <w:rsid w:val="130452AE"/>
    <w:rsid w:val="1306E27B"/>
    <w:rsid w:val="13099766"/>
    <w:rsid w:val="130FDB6E"/>
    <w:rsid w:val="1313AA24"/>
    <w:rsid w:val="1314A6AA"/>
    <w:rsid w:val="13178559"/>
    <w:rsid w:val="131B5FB4"/>
    <w:rsid w:val="131C4E6C"/>
    <w:rsid w:val="131D61E8"/>
    <w:rsid w:val="131F8AA6"/>
    <w:rsid w:val="132060EE"/>
    <w:rsid w:val="13234E49"/>
    <w:rsid w:val="1324335E"/>
    <w:rsid w:val="132F1D67"/>
    <w:rsid w:val="13311B57"/>
    <w:rsid w:val="13350E00"/>
    <w:rsid w:val="13403F9F"/>
    <w:rsid w:val="13409020"/>
    <w:rsid w:val="1341F399"/>
    <w:rsid w:val="13458FC7"/>
    <w:rsid w:val="1347A481"/>
    <w:rsid w:val="13494F44"/>
    <w:rsid w:val="134A710A"/>
    <w:rsid w:val="134C2624"/>
    <w:rsid w:val="1359058D"/>
    <w:rsid w:val="135BB0B9"/>
    <w:rsid w:val="135F3A30"/>
    <w:rsid w:val="1360E000"/>
    <w:rsid w:val="13645C6C"/>
    <w:rsid w:val="13645F49"/>
    <w:rsid w:val="1364EBBC"/>
    <w:rsid w:val="1367D0F8"/>
    <w:rsid w:val="136967D8"/>
    <w:rsid w:val="136A39CF"/>
    <w:rsid w:val="136A6C31"/>
    <w:rsid w:val="136C467B"/>
    <w:rsid w:val="136FC2B5"/>
    <w:rsid w:val="13759274"/>
    <w:rsid w:val="13759AB2"/>
    <w:rsid w:val="13759CBF"/>
    <w:rsid w:val="137A5E9A"/>
    <w:rsid w:val="137CC508"/>
    <w:rsid w:val="137D8A08"/>
    <w:rsid w:val="137F2E95"/>
    <w:rsid w:val="1381545A"/>
    <w:rsid w:val="13822B60"/>
    <w:rsid w:val="1384F3F0"/>
    <w:rsid w:val="138E068D"/>
    <w:rsid w:val="13964979"/>
    <w:rsid w:val="1397BC81"/>
    <w:rsid w:val="139B7AC9"/>
    <w:rsid w:val="13A17AF1"/>
    <w:rsid w:val="13A42D66"/>
    <w:rsid w:val="13A8C587"/>
    <w:rsid w:val="13ABE30A"/>
    <w:rsid w:val="13AF87FC"/>
    <w:rsid w:val="13B2844A"/>
    <w:rsid w:val="13B898E4"/>
    <w:rsid w:val="13CB288B"/>
    <w:rsid w:val="13CD9F95"/>
    <w:rsid w:val="13CEE491"/>
    <w:rsid w:val="13D24107"/>
    <w:rsid w:val="13D6E162"/>
    <w:rsid w:val="13D83012"/>
    <w:rsid w:val="13DB2581"/>
    <w:rsid w:val="13DC1C7C"/>
    <w:rsid w:val="13E1A387"/>
    <w:rsid w:val="13E248FD"/>
    <w:rsid w:val="13E3D40D"/>
    <w:rsid w:val="13EA54FD"/>
    <w:rsid w:val="13EC0052"/>
    <w:rsid w:val="13F365E2"/>
    <w:rsid w:val="13F56620"/>
    <w:rsid w:val="13F6AE0A"/>
    <w:rsid w:val="13F8ABCE"/>
    <w:rsid w:val="1402EDE4"/>
    <w:rsid w:val="1404FCA0"/>
    <w:rsid w:val="14087A6F"/>
    <w:rsid w:val="14091352"/>
    <w:rsid w:val="140D27C6"/>
    <w:rsid w:val="140D3B22"/>
    <w:rsid w:val="140DA67E"/>
    <w:rsid w:val="140E88F8"/>
    <w:rsid w:val="140E8A34"/>
    <w:rsid w:val="140E9EC4"/>
    <w:rsid w:val="140FE7F7"/>
    <w:rsid w:val="14152B3A"/>
    <w:rsid w:val="14161ECE"/>
    <w:rsid w:val="1418EA40"/>
    <w:rsid w:val="1419D228"/>
    <w:rsid w:val="141F1A79"/>
    <w:rsid w:val="14235BDE"/>
    <w:rsid w:val="1423FB37"/>
    <w:rsid w:val="142472D6"/>
    <w:rsid w:val="14295CD5"/>
    <w:rsid w:val="14299AF9"/>
    <w:rsid w:val="142A7BC9"/>
    <w:rsid w:val="142C580F"/>
    <w:rsid w:val="14313C0C"/>
    <w:rsid w:val="14319EEC"/>
    <w:rsid w:val="143351D0"/>
    <w:rsid w:val="143385D7"/>
    <w:rsid w:val="14360698"/>
    <w:rsid w:val="14384394"/>
    <w:rsid w:val="143CF2FA"/>
    <w:rsid w:val="143E4FF9"/>
    <w:rsid w:val="143F592B"/>
    <w:rsid w:val="144173E7"/>
    <w:rsid w:val="1441945A"/>
    <w:rsid w:val="1441C17E"/>
    <w:rsid w:val="1443C753"/>
    <w:rsid w:val="14456477"/>
    <w:rsid w:val="144C37D8"/>
    <w:rsid w:val="144E9D26"/>
    <w:rsid w:val="14554895"/>
    <w:rsid w:val="1457EE83"/>
    <w:rsid w:val="14581F69"/>
    <w:rsid w:val="145AD3D1"/>
    <w:rsid w:val="145D92E8"/>
    <w:rsid w:val="145F05C9"/>
    <w:rsid w:val="1460D143"/>
    <w:rsid w:val="14634700"/>
    <w:rsid w:val="1467AD73"/>
    <w:rsid w:val="146C9F35"/>
    <w:rsid w:val="147386BF"/>
    <w:rsid w:val="14784794"/>
    <w:rsid w:val="14786397"/>
    <w:rsid w:val="147F30ED"/>
    <w:rsid w:val="14854D8A"/>
    <w:rsid w:val="14924671"/>
    <w:rsid w:val="14995FD9"/>
    <w:rsid w:val="149BEA41"/>
    <w:rsid w:val="14A661A8"/>
    <w:rsid w:val="14A7DB01"/>
    <w:rsid w:val="14A8792D"/>
    <w:rsid w:val="14A93F00"/>
    <w:rsid w:val="14A98478"/>
    <w:rsid w:val="14A9B9FF"/>
    <w:rsid w:val="14A9CA97"/>
    <w:rsid w:val="14AD0667"/>
    <w:rsid w:val="14B2A0FA"/>
    <w:rsid w:val="14B31EB8"/>
    <w:rsid w:val="14B4AA9C"/>
    <w:rsid w:val="14B7E317"/>
    <w:rsid w:val="14B80E8E"/>
    <w:rsid w:val="14B8EFB5"/>
    <w:rsid w:val="14BA04E2"/>
    <w:rsid w:val="14BA7B32"/>
    <w:rsid w:val="14BC4FC2"/>
    <w:rsid w:val="14BDB708"/>
    <w:rsid w:val="14C4DE84"/>
    <w:rsid w:val="14C964CE"/>
    <w:rsid w:val="14CBB957"/>
    <w:rsid w:val="14CDD667"/>
    <w:rsid w:val="14D088FE"/>
    <w:rsid w:val="14DB8E43"/>
    <w:rsid w:val="14DBF132"/>
    <w:rsid w:val="14DEA8D0"/>
    <w:rsid w:val="14E0D7CF"/>
    <w:rsid w:val="14E3E269"/>
    <w:rsid w:val="14E8079E"/>
    <w:rsid w:val="14E8D3E0"/>
    <w:rsid w:val="14EA2ABF"/>
    <w:rsid w:val="14EDE45D"/>
    <w:rsid w:val="14EE83C5"/>
    <w:rsid w:val="14F3125A"/>
    <w:rsid w:val="14F5B320"/>
    <w:rsid w:val="14FB1B6C"/>
    <w:rsid w:val="14FC0DCC"/>
    <w:rsid w:val="1500D2BE"/>
    <w:rsid w:val="150225E4"/>
    <w:rsid w:val="1506C669"/>
    <w:rsid w:val="15072550"/>
    <w:rsid w:val="15076158"/>
    <w:rsid w:val="15099342"/>
    <w:rsid w:val="1511AFB0"/>
    <w:rsid w:val="1515EBA8"/>
    <w:rsid w:val="15169804"/>
    <w:rsid w:val="1518C84A"/>
    <w:rsid w:val="151BF7D4"/>
    <w:rsid w:val="151DC895"/>
    <w:rsid w:val="151F2903"/>
    <w:rsid w:val="15205CBD"/>
    <w:rsid w:val="1524CB3D"/>
    <w:rsid w:val="152D5D0E"/>
    <w:rsid w:val="15318CFE"/>
    <w:rsid w:val="1531BFB4"/>
    <w:rsid w:val="1533E953"/>
    <w:rsid w:val="15342A04"/>
    <w:rsid w:val="15350811"/>
    <w:rsid w:val="15354AA7"/>
    <w:rsid w:val="1537A7DC"/>
    <w:rsid w:val="15385542"/>
    <w:rsid w:val="153A1E2E"/>
    <w:rsid w:val="153C023C"/>
    <w:rsid w:val="153CECCF"/>
    <w:rsid w:val="153F98C5"/>
    <w:rsid w:val="15432232"/>
    <w:rsid w:val="15447164"/>
    <w:rsid w:val="154A2DCC"/>
    <w:rsid w:val="154C53B1"/>
    <w:rsid w:val="154EA470"/>
    <w:rsid w:val="154F8C3B"/>
    <w:rsid w:val="1553F248"/>
    <w:rsid w:val="155ADB50"/>
    <w:rsid w:val="155BD945"/>
    <w:rsid w:val="155CA417"/>
    <w:rsid w:val="1560558C"/>
    <w:rsid w:val="15652155"/>
    <w:rsid w:val="1568D188"/>
    <w:rsid w:val="156A4CCC"/>
    <w:rsid w:val="15709BAD"/>
    <w:rsid w:val="1572F8EB"/>
    <w:rsid w:val="15847E5C"/>
    <w:rsid w:val="1586F5B8"/>
    <w:rsid w:val="1590335E"/>
    <w:rsid w:val="1590CB83"/>
    <w:rsid w:val="159A8F49"/>
    <w:rsid w:val="159DCAAF"/>
    <w:rsid w:val="15A19F34"/>
    <w:rsid w:val="15A2269F"/>
    <w:rsid w:val="15A22F10"/>
    <w:rsid w:val="15A2EF8C"/>
    <w:rsid w:val="15A313E9"/>
    <w:rsid w:val="15A35936"/>
    <w:rsid w:val="15A3DC94"/>
    <w:rsid w:val="15A85DB9"/>
    <w:rsid w:val="15AE6DCC"/>
    <w:rsid w:val="15AF5322"/>
    <w:rsid w:val="15B70362"/>
    <w:rsid w:val="15B720A3"/>
    <w:rsid w:val="15BAFC5E"/>
    <w:rsid w:val="15BB721F"/>
    <w:rsid w:val="15BFB6E9"/>
    <w:rsid w:val="15C0C4F7"/>
    <w:rsid w:val="15C1A4DF"/>
    <w:rsid w:val="15C1B321"/>
    <w:rsid w:val="15C3A803"/>
    <w:rsid w:val="15C9F523"/>
    <w:rsid w:val="15DC31B4"/>
    <w:rsid w:val="15DC54DC"/>
    <w:rsid w:val="15E29D7D"/>
    <w:rsid w:val="15F11CF0"/>
    <w:rsid w:val="15F9CB8D"/>
    <w:rsid w:val="16026D49"/>
    <w:rsid w:val="160AB5FF"/>
    <w:rsid w:val="1612FF19"/>
    <w:rsid w:val="16157CA8"/>
    <w:rsid w:val="161750DF"/>
    <w:rsid w:val="16184667"/>
    <w:rsid w:val="16197AEE"/>
    <w:rsid w:val="161A02C6"/>
    <w:rsid w:val="161C5397"/>
    <w:rsid w:val="161D9EDB"/>
    <w:rsid w:val="161EAB26"/>
    <w:rsid w:val="16279010"/>
    <w:rsid w:val="16295BE1"/>
    <w:rsid w:val="162CA2D5"/>
    <w:rsid w:val="16308F53"/>
    <w:rsid w:val="163C40DF"/>
    <w:rsid w:val="1644C33E"/>
    <w:rsid w:val="164BC355"/>
    <w:rsid w:val="164ED773"/>
    <w:rsid w:val="164F7F5D"/>
    <w:rsid w:val="1650A739"/>
    <w:rsid w:val="16538C17"/>
    <w:rsid w:val="16599510"/>
    <w:rsid w:val="1659B283"/>
    <w:rsid w:val="165C824A"/>
    <w:rsid w:val="165FFC63"/>
    <w:rsid w:val="166232AF"/>
    <w:rsid w:val="1663B249"/>
    <w:rsid w:val="16651C91"/>
    <w:rsid w:val="1668CA61"/>
    <w:rsid w:val="166E539E"/>
    <w:rsid w:val="1674E0E7"/>
    <w:rsid w:val="1677AC4F"/>
    <w:rsid w:val="16788878"/>
    <w:rsid w:val="167A309E"/>
    <w:rsid w:val="167A9880"/>
    <w:rsid w:val="1681B456"/>
    <w:rsid w:val="1684B4C1"/>
    <w:rsid w:val="16851996"/>
    <w:rsid w:val="1685E8FD"/>
    <w:rsid w:val="16909122"/>
    <w:rsid w:val="169626B3"/>
    <w:rsid w:val="16983C5B"/>
    <w:rsid w:val="169A64A3"/>
    <w:rsid w:val="169BF7C8"/>
    <w:rsid w:val="169CDEE7"/>
    <w:rsid w:val="16A01A77"/>
    <w:rsid w:val="16ABCF3A"/>
    <w:rsid w:val="16AD949E"/>
    <w:rsid w:val="16AFB86A"/>
    <w:rsid w:val="16B0440F"/>
    <w:rsid w:val="16B0955F"/>
    <w:rsid w:val="16B09B92"/>
    <w:rsid w:val="16B85948"/>
    <w:rsid w:val="16B91B03"/>
    <w:rsid w:val="16BA33F4"/>
    <w:rsid w:val="16BC2B0C"/>
    <w:rsid w:val="16BEFB5B"/>
    <w:rsid w:val="16C793A7"/>
    <w:rsid w:val="16C932CA"/>
    <w:rsid w:val="16D1CD47"/>
    <w:rsid w:val="16D301FC"/>
    <w:rsid w:val="16D35C93"/>
    <w:rsid w:val="16D5A2E5"/>
    <w:rsid w:val="16D76128"/>
    <w:rsid w:val="16DB7D34"/>
    <w:rsid w:val="16DDA60D"/>
    <w:rsid w:val="16DE5B01"/>
    <w:rsid w:val="16DFBA4D"/>
    <w:rsid w:val="16E439F6"/>
    <w:rsid w:val="16E78BFD"/>
    <w:rsid w:val="16F2D485"/>
    <w:rsid w:val="16F51F09"/>
    <w:rsid w:val="16F91E5F"/>
    <w:rsid w:val="16FC48B4"/>
    <w:rsid w:val="16FCF5AC"/>
    <w:rsid w:val="16FCF6BE"/>
    <w:rsid w:val="16FE2C2D"/>
    <w:rsid w:val="17039E90"/>
    <w:rsid w:val="1706560B"/>
    <w:rsid w:val="1707566A"/>
    <w:rsid w:val="170CF0CB"/>
    <w:rsid w:val="17118324"/>
    <w:rsid w:val="1711E965"/>
    <w:rsid w:val="17131182"/>
    <w:rsid w:val="171E1DE7"/>
    <w:rsid w:val="171E6B84"/>
    <w:rsid w:val="17212B63"/>
    <w:rsid w:val="17236CE1"/>
    <w:rsid w:val="172C95D1"/>
    <w:rsid w:val="172FE239"/>
    <w:rsid w:val="1730E26A"/>
    <w:rsid w:val="1731131B"/>
    <w:rsid w:val="17329CB7"/>
    <w:rsid w:val="173387BC"/>
    <w:rsid w:val="1733C66B"/>
    <w:rsid w:val="173C5C7D"/>
    <w:rsid w:val="173FDA31"/>
    <w:rsid w:val="174153A5"/>
    <w:rsid w:val="17454C42"/>
    <w:rsid w:val="17456153"/>
    <w:rsid w:val="1747CF8E"/>
    <w:rsid w:val="1747E64B"/>
    <w:rsid w:val="1748AF27"/>
    <w:rsid w:val="174F2D6A"/>
    <w:rsid w:val="17535064"/>
    <w:rsid w:val="17549992"/>
    <w:rsid w:val="175C2C19"/>
    <w:rsid w:val="176062BD"/>
    <w:rsid w:val="1761AE8A"/>
    <w:rsid w:val="17639808"/>
    <w:rsid w:val="1769E85F"/>
    <w:rsid w:val="176A91ED"/>
    <w:rsid w:val="176C86FC"/>
    <w:rsid w:val="176CBED9"/>
    <w:rsid w:val="176E3E40"/>
    <w:rsid w:val="176F3837"/>
    <w:rsid w:val="1770BEFA"/>
    <w:rsid w:val="17712080"/>
    <w:rsid w:val="17735E36"/>
    <w:rsid w:val="17764662"/>
    <w:rsid w:val="17764F35"/>
    <w:rsid w:val="1776D960"/>
    <w:rsid w:val="1776F377"/>
    <w:rsid w:val="17791A71"/>
    <w:rsid w:val="177971D4"/>
    <w:rsid w:val="1779C6AD"/>
    <w:rsid w:val="177A0997"/>
    <w:rsid w:val="177E21C9"/>
    <w:rsid w:val="177EC6CF"/>
    <w:rsid w:val="177FA37A"/>
    <w:rsid w:val="1785F156"/>
    <w:rsid w:val="178AAF4F"/>
    <w:rsid w:val="178AE5B7"/>
    <w:rsid w:val="17943B71"/>
    <w:rsid w:val="179A8749"/>
    <w:rsid w:val="179DE056"/>
    <w:rsid w:val="17A03BF7"/>
    <w:rsid w:val="17A17913"/>
    <w:rsid w:val="17A182EC"/>
    <w:rsid w:val="17A35301"/>
    <w:rsid w:val="17A780B9"/>
    <w:rsid w:val="17A7B824"/>
    <w:rsid w:val="17A93A61"/>
    <w:rsid w:val="17AB45F8"/>
    <w:rsid w:val="17B19391"/>
    <w:rsid w:val="17B83883"/>
    <w:rsid w:val="17BD3A2B"/>
    <w:rsid w:val="17BD9E0C"/>
    <w:rsid w:val="17BDE3B7"/>
    <w:rsid w:val="17C4A745"/>
    <w:rsid w:val="17C4EE07"/>
    <w:rsid w:val="17C5E253"/>
    <w:rsid w:val="17C748F1"/>
    <w:rsid w:val="17C8C96E"/>
    <w:rsid w:val="17CBA79B"/>
    <w:rsid w:val="17CBBDD4"/>
    <w:rsid w:val="17CCDFB3"/>
    <w:rsid w:val="17CE27A2"/>
    <w:rsid w:val="17D32E4A"/>
    <w:rsid w:val="17D49BB4"/>
    <w:rsid w:val="17D79943"/>
    <w:rsid w:val="17DAA051"/>
    <w:rsid w:val="17DCF75A"/>
    <w:rsid w:val="17DDA3BB"/>
    <w:rsid w:val="17E3A523"/>
    <w:rsid w:val="17E3FADA"/>
    <w:rsid w:val="17E92CA8"/>
    <w:rsid w:val="17EED978"/>
    <w:rsid w:val="17F086B2"/>
    <w:rsid w:val="17F0CD25"/>
    <w:rsid w:val="17F8A858"/>
    <w:rsid w:val="17FB3429"/>
    <w:rsid w:val="17FDA7D2"/>
    <w:rsid w:val="17FEC397"/>
    <w:rsid w:val="1806B271"/>
    <w:rsid w:val="180BB898"/>
    <w:rsid w:val="180EAE6E"/>
    <w:rsid w:val="1815CDD4"/>
    <w:rsid w:val="181B7CE6"/>
    <w:rsid w:val="181E085B"/>
    <w:rsid w:val="18201ECF"/>
    <w:rsid w:val="18227455"/>
    <w:rsid w:val="18252C41"/>
    <w:rsid w:val="18254959"/>
    <w:rsid w:val="182B5AC9"/>
    <w:rsid w:val="182E5A92"/>
    <w:rsid w:val="18305E1C"/>
    <w:rsid w:val="1832DBC1"/>
    <w:rsid w:val="18376D33"/>
    <w:rsid w:val="183C1744"/>
    <w:rsid w:val="183ED2E8"/>
    <w:rsid w:val="18421EC6"/>
    <w:rsid w:val="1844B538"/>
    <w:rsid w:val="1845B051"/>
    <w:rsid w:val="18490F61"/>
    <w:rsid w:val="184F36E0"/>
    <w:rsid w:val="1852FF19"/>
    <w:rsid w:val="18551ABF"/>
    <w:rsid w:val="18574104"/>
    <w:rsid w:val="185C5E92"/>
    <w:rsid w:val="185CBA2A"/>
    <w:rsid w:val="1861DA0F"/>
    <w:rsid w:val="186293C4"/>
    <w:rsid w:val="1863B70D"/>
    <w:rsid w:val="186542D2"/>
    <w:rsid w:val="186A4CF6"/>
    <w:rsid w:val="186D7FBA"/>
    <w:rsid w:val="186EA909"/>
    <w:rsid w:val="186F242F"/>
    <w:rsid w:val="1870B87B"/>
    <w:rsid w:val="1872A032"/>
    <w:rsid w:val="1873F3A2"/>
    <w:rsid w:val="18746CD5"/>
    <w:rsid w:val="1879D330"/>
    <w:rsid w:val="18824D40"/>
    <w:rsid w:val="1882B513"/>
    <w:rsid w:val="18850CAB"/>
    <w:rsid w:val="1886134D"/>
    <w:rsid w:val="188A93B2"/>
    <w:rsid w:val="188A9DF3"/>
    <w:rsid w:val="1895B25D"/>
    <w:rsid w:val="18975EB8"/>
    <w:rsid w:val="189B2791"/>
    <w:rsid w:val="18A0949F"/>
    <w:rsid w:val="18A13985"/>
    <w:rsid w:val="18A67B0E"/>
    <w:rsid w:val="18A6851A"/>
    <w:rsid w:val="18B0C493"/>
    <w:rsid w:val="18B1EB32"/>
    <w:rsid w:val="18B58A6A"/>
    <w:rsid w:val="18B5E6BF"/>
    <w:rsid w:val="18BACF11"/>
    <w:rsid w:val="18BCC7CF"/>
    <w:rsid w:val="18C2B17D"/>
    <w:rsid w:val="18C32B82"/>
    <w:rsid w:val="18C41603"/>
    <w:rsid w:val="18C51619"/>
    <w:rsid w:val="18C9539B"/>
    <w:rsid w:val="18CA48A8"/>
    <w:rsid w:val="18CE176D"/>
    <w:rsid w:val="18D30589"/>
    <w:rsid w:val="18D380FC"/>
    <w:rsid w:val="18DA3569"/>
    <w:rsid w:val="18DAF901"/>
    <w:rsid w:val="18E0426C"/>
    <w:rsid w:val="18E64495"/>
    <w:rsid w:val="18E97881"/>
    <w:rsid w:val="18EA3DF8"/>
    <w:rsid w:val="18ED6C33"/>
    <w:rsid w:val="18ED93D7"/>
    <w:rsid w:val="18EEAE43"/>
    <w:rsid w:val="18F18E91"/>
    <w:rsid w:val="18F2E211"/>
    <w:rsid w:val="18F951B8"/>
    <w:rsid w:val="18FA375A"/>
    <w:rsid w:val="18FA65A5"/>
    <w:rsid w:val="18FC33B1"/>
    <w:rsid w:val="18FC86FF"/>
    <w:rsid w:val="19022A8A"/>
    <w:rsid w:val="19034B43"/>
    <w:rsid w:val="190434DD"/>
    <w:rsid w:val="1907FCE8"/>
    <w:rsid w:val="19093065"/>
    <w:rsid w:val="190D22CA"/>
    <w:rsid w:val="19138CF7"/>
    <w:rsid w:val="191A5108"/>
    <w:rsid w:val="191ED354"/>
    <w:rsid w:val="191F3A89"/>
    <w:rsid w:val="19257992"/>
    <w:rsid w:val="192A4838"/>
    <w:rsid w:val="192E37AA"/>
    <w:rsid w:val="193BBB30"/>
    <w:rsid w:val="193D549A"/>
    <w:rsid w:val="193F56EA"/>
    <w:rsid w:val="1943B8B7"/>
    <w:rsid w:val="19440BE1"/>
    <w:rsid w:val="19448B92"/>
    <w:rsid w:val="194683A7"/>
    <w:rsid w:val="1949465C"/>
    <w:rsid w:val="194E463E"/>
    <w:rsid w:val="195B4686"/>
    <w:rsid w:val="195EEE2D"/>
    <w:rsid w:val="19651C97"/>
    <w:rsid w:val="196CDCFF"/>
    <w:rsid w:val="196DCCA6"/>
    <w:rsid w:val="196F3578"/>
    <w:rsid w:val="1975A361"/>
    <w:rsid w:val="197994E5"/>
    <w:rsid w:val="197BB2C4"/>
    <w:rsid w:val="197EABE6"/>
    <w:rsid w:val="19811947"/>
    <w:rsid w:val="1981AF11"/>
    <w:rsid w:val="1992B4C5"/>
    <w:rsid w:val="1996F570"/>
    <w:rsid w:val="1997D425"/>
    <w:rsid w:val="199917BA"/>
    <w:rsid w:val="199A7DFD"/>
    <w:rsid w:val="19A6E711"/>
    <w:rsid w:val="19A6F22F"/>
    <w:rsid w:val="19A74ECC"/>
    <w:rsid w:val="19ADFC7D"/>
    <w:rsid w:val="19B00B50"/>
    <w:rsid w:val="19B2C237"/>
    <w:rsid w:val="19B82CD1"/>
    <w:rsid w:val="19BBE09A"/>
    <w:rsid w:val="19BFAB26"/>
    <w:rsid w:val="19C1EB56"/>
    <w:rsid w:val="19C2537E"/>
    <w:rsid w:val="19C4275D"/>
    <w:rsid w:val="19C85B4F"/>
    <w:rsid w:val="19C8D641"/>
    <w:rsid w:val="19C93912"/>
    <w:rsid w:val="19D40271"/>
    <w:rsid w:val="19D56AA5"/>
    <w:rsid w:val="19D6AB19"/>
    <w:rsid w:val="19E29022"/>
    <w:rsid w:val="19E8E529"/>
    <w:rsid w:val="19EBF098"/>
    <w:rsid w:val="19EC1FE6"/>
    <w:rsid w:val="19EC43C0"/>
    <w:rsid w:val="19EE9457"/>
    <w:rsid w:val="19F1788D"/>
    <w:rsid w:val="19F36D9C"/>
    <w:rsid w:val="19F640FE"/>
    <w:rsid w:val="19F6C210"/>
    <w:rsid w:val="19F815F8"/>
    <w:rsid w:val="19F9CC53"/>
    <w:rsid w:val="19F9EEF7"/>
    <w:rsid w:val="1A04DE6A"/>
    <w:rsid w:val="1A0A9609"/>
    <w:rsid w:val="1A101602"/>
    <w:rsid w:val="1A11131F"/>
    <w:rsid w:val="1A116905"/>
    <w:rsid w:val="1A126B6B"/>
    <w:rsid w:val="1A15B276"/>
    <w:rsid w:val="1A15F3C3"/>
    <w:rsid w:val="1A1A1710"/>
    <w:rsid w:val="1A1C1F52"/>
    <w:rsid w:val="1A1DB371"/>
    <w:rsid w:val="1A1EBEFF"/>
    <w:rsid w:val="1A211949"/>
    <w:rsid w:val="1A28DF2A"/>
    <w:rsid w:val="1A2BCB55"/>
    <w:rsid w:val="1A2EB37C"/>
    <w:rsid w:val="1A308680"/>
    <w:rsid w:val="1A36361D"/>
    <w:rsid w:val="1A3646AA"/>
    <w:rsid w:val="1A37BF9A"/>
    <w:rsid w:val="1A3BF50D"/>
    <w:rsid w:val="1A3D139A"/>
    <w:rsid w:val="1A4032B6"/>
    <w:rsid w:val="1A404506"/>
    <w:rsid w:val="1A4152D6"/>
    <w:rsid w:val="1A46A202"/>
    <w:rsid w:val="1A4C36F1"/>
    <w:rsid w:val="1A4E3263"/>
    <w:rsid w:val="1A4ECE96"/>
    <w:rsid w:val="1A4EEE0C"/>
    <w:rsid w:val="1A50DC05"/>
    <w:rsid w:val="1A54488B"/>
    <w:rsid w:val="1A5635EB"/>
    <w:rsid w:val="1A56A9B8"/>
    <w:rsid w:val="1A5F7A5A"/>
    <w:rsid w:val="1A6458FF"/>
    <w:rsid w:val="1A69F0D2"/>
    <w:rsid w:val="1A6CB499"/>
    <w:rsid w:val="1A73A7D6"/>
    <w:rsid w:val="1A7A12D5"/>
    <w:rsid w:val="1A7C1975"/>
    <w:rsid w:val="1A7F7E41"/>
    <w:rsid w:val="1A8214A0"/>
    <w:rsid w:val="1A8535DD"/>
    <w:rsid w:val="1A8ACDBB"/>
    <w:rsid w:val="1A8E1F27"/>
    <w:rsid w:val="1A9003BB"/>
    <w:rsid w:val="1A921147"/>
    <w:rsid w:val="1A9371DA"/>
    <w:rsid w:val="1A9B5F0A"/>
    <w:rsid w:val="1A9ED999"/>
    <w:rsid w:val="1AA031E7"/>
    <w:rsid w:val="1AA96E54"/>
    <w:rsid w:val="1AAD4AE5"/>
    <w:rsid w:val="1AB92350"/>
    <w:rsid w:val="1ABA6296"/>
    <w:rsid w:val="1ABE84DD"/>
    <w:rsid w:val="1AC24DC4"/>
    <w:rsid w:val="1AC28FEF"/>
    <w:rsid w:val="1AC4CC5D"/>
    <w:rsid w:val="1AC9F9FE"/>
    <w:rsid w:val="1ACA14CC"/>
    <w:rsid w:val="1ACC51E0"/>
    <w:rsid w:val="1ACEBA7F"/>
    <w:rsid w:val="1AD83113"/>
    <w:rsid w:val="1ADEBB9E"/>
    <w:rsid w:val="1ADF8C95"/>
    <w:rsid w:val="1ADFE77E"/>
    <w:rsid w:val="1AE02A53"/>
    <w:rsid w:val="1AE0B24A"/>
    <w:rsid w:val="1AE0DCA6"/>
    <w:rsid w:val="1AE258C2"/>
    <w:rsid w:val="1AE674CF"/>
    <w:rsid w:val="1AEE5BE9"/>
    <w:rsid w:val="1AF09CAC"/>
    <w:rsid w:val="1AF36237"/>
    <w:rsid w:val="1AF431AD"/>
    <w:rsid w:val="1AFAF288"/>
    <w:rsid w:val="1B021EB2"/>
    <w:rsid w:val="1B0B0CA5"/>
    <w:rsid w:val="1B0F24D5"/>
    <w:rsid w:val="1B13B260"/>
    <w:rsid w:val="1B13FDDC"/>
    <w:rsid w:val="1B17EEC7"/>
    <w:rsid w:val="1B237DCF"/>
    <w:rsid w:val="1B246940"/>
    <w:rsid w:val="1B2494EB"/>
    <w:rsid w:val="1B274036"/>
    <w:rsid w:val="1B2788B3"/>
    <w:rsid w:val="1B2962B3"/>
    <w:rsid w:val="1B2A119F"/>
    <w:rsid w:val="1B2B6AB9"/>
    <w:rsid w:val="1B358E2E"/>
    <w:rsid w:val="1B39FB18"/>
    <w:rsid w:val="1B3FEE47"/>
    <w:rsid w:val="1B444752"/>
    <w:rsid w:val="1B45CAE7"/>
    <w:rsid w:val="1B544E49"/>
    <w:rsid w:val="1B549F9F"/>
    <w:rsid w:val="1B5B498D"/>
    <w:rsid w:val="1B638FF5"/>
    <w:rsid w:val="1B6A76CD"/>
    <w:rsid w:val="1B70379A"/>
    <w:rsid w:val="1B705F0F"/>
    <w:rsid w:val="1B72D30E"/>
    <w:rsid w:val="1B77266C"/>
    <w:rsid w:val="1B7D911E"/>
    <w:rsid w:val="1B828166"/>
    <w:rsid w:val="1B837B80"/>
    <w:rsid w:val="1B8545E5"/>
    <w:rsid w:val="1B88F029"/>
    <w:rsid w:val="1B92C301"/>
    <w:rsid w:val="1B932A65"/>
    <w:rsid w:val="1B941C57"/>
    <w:rsid w:val="1B982997"/>
    <w:rsid w:val="1B984B2B"/>
    <w:rsid w:val="1B9BC044"/>
    <w:rsid w:val="1B9C7ABC"/>
    <w:rsid w:val="1B9CFF9E"/>
    <w:rsid w:val="1BA7E8A7"/>
    <w:rsid w:val="1BAAA118"/>
    <w:rsid w:val="1BAAB32A"/>
    <w:rsid w:val="1BAC3983"/>
    <w:rsid w:val="1BADAF61"/>
    <w:rsid w:val="1BAE17EC"/>
    <w:rsid w:val="1BB564DF"/>
    <w:rsid w:val="1BB65598"/>
    <w:rsid w:val="1BBC4286"/>
    <w:rsid w:val="1BC38AB5"/>
    <w:rsid w:val="1BC99141"/>
    <w:rsid w:val="1BCBD457"/>
    <w:rsid w:val="1BCCDDCC"/>
    <w:rsid w:val="1BCE6D0A"/>
    <w:rsid w:val="1BCFBC15"/>
    <w:rsid w:val="1BD3A0B8"/>
    <w:rsid w:val="1BDA3FBF"/>
    <w:rsid w:val="1BDEF7AA"/>
    <w:rsid w:val="1BE17013"/>
    <w:rsid w:val="1BE3500C"/>
    <w:rsid w:val="1BE6E1F0"/>
    <w:rsid w:val="1BEC2D33"/>
    <w:rsid w:val="1BED96B7"/>
    <w:rsid w:val="1BEDA11F"/>
    <w:rsid w:val="1BF8F68B"/>
    <w:rsid w:val="1BF9C497"/>
    <w:rsid w:val="1BFC3BA3"/>
    <w:rsid w:val="1BFC54C6"/>
    <w:rsid w:val="1BFD0249"/>
    <w:rsid w:val="1BFD1643"/>
    <w:rsid w:val="1BFD62F0"/>
    <w:rsid w:val="1BFEE037"/>
    <w:rsid w:val="1BFFA3F1"/>
    <w:rsid w:val="1C054D22"/>
    <w:rsid w:val="1C096115"/>
    <w:rsid w:val="1C0F3A4A"/>
    <w:rsid w:val="1C1372FD"/>
    <w:rsid w:val="1C14838F"/>
    <w:rsid w:val="1C1B2F97"/>
    <w:rsid w:val="1C1F6BBB"/>
    <w:rsid w:val="1C20ACDC"/>
    <w:rsid w:val="1C289DD3"/>
    <w:rsid w:val="1C2E0327"/>
    <w:rsid w:val="1C2E77E4"/>
    <w:rsid w:val="1C35B486"/>
    <w:rsid w:val="1C38CAC8"/>
    <w:rsid w:val="1C3AAB28"/>
    <w:rsid w:val="1C3C2A1A"/>
    <w:rsid w:val="1C4257E8"/>
    <w:rsid w:val="1C4AECCC"/>
    <w:rsid w:val="1C4DBC93"/>
    <w:rsid w:val="1C52AE2E"/>
    <w:rsid w:val="1C58CC78"/>
    <w:rsid w:val="1C5F829C"/>
    <w:rsid w:val="1C645560"/>
    <w:rsid w:val="1C64AF37"/>
    <w:rsid w:val="1C64CED3"/>
    <w:rsid w:val="1C691CFC"/>
    <w:rsid w:val="1C6AB97C"/>
    <w:rsid w:val="1C6AD9C0"/>
    <w:rsid w:val="1C713A52"/>
    <w:rsid w:val="1C7189AA"/>
    <w:rsid w:val="1C73FDB7"/>
    <w:rsid w:val="1C75D6EF"/>
    <w:rsid w:val="1C785783"/>
    <w:rsid w:val="1C7B6283"/>
    <w:rsid w:val="1C7D0F3D"/>
    <w:rsid w:val="1C7EDF37"/>
    <w:rsid w:val="1C7FA459"/>
    <w:rsid w:val="1C8156D1"/>
    <w:rsid w:val="1C8430A3"/>
    <w:rsid w:val="1C845455"/>
    <w:rsid w:val="1C8803C2"/>
    <w:rsid w:val="1C8CDCE4"/>
    <w:rsid w:val="1C8E8CA3"/>
    <w:rsid w:val="1C98829D"/>
    <w:rsid w:val="1C993DC0"/>
    <w:rsid w:val="1C9BAFB7"/>
    <w:rsid w:val="1C9BF848"/>
    <w:rsid w:val="1C9E7C6D"/>
    <w:rsid w:val="1CA0E33B"/>
    <w:rsid w:val="1CA69360"/>
    <w:rsid w:val="1CAA0E3B"/>
    <w:rsid w:val="1CB07A27"/>
    <w:rsid w:val="1CB1DA44"/>
    <w:rsid w:val="1CB4B189"/>
    <w:rsid w:val="1CB6394E"/>
    <w:rsid w:val="1CC2A7AF"/>
    <w:rsid w:val="1CC60FB3"/>
    <w:rsid w:val="1CCD9204"/>
    <w:rsid w:val="1CD014DC"/>
    <w:rsid w:val="1CD36A7A"/>
    <w:rsid w:val="1CD656E1"/>
    <w:rsid w:val="1CDA00AD"/>
    <w:rsid w:val="1CDAAFA1"/>
    <w:rsid w:val="1CDC2E8C"/>
    <w:rsid w:val="1CDC5BEB"/>
    <w:rsid w:val="1CF57DB8"/>
    <w:rsid w:val="1CF6E039"/>
    <w:rsid w:val="1CF75A74"/>
    <w:rsid w:val="1D01378A"/>
    <w:rsid w:val="1D05B4D3"/>
    <w:rsid w:val="1D06B114"/>
    <w:rsid w:val="1D06CE8D"/>
    <w:rsid w:val="1D0C1C8F"/>
    <w:rsid w:val="1D12C077"/>
    <w:rsid w:val="1D15A092"/>
    <w:rsid w:val="1D1E1740"/>
    <w:rsid w:val="1D1EBBD6"/>
    <w:rsid w:val="1D1EE5B0"/>
    <w:rsid w:val="1D249ECE"/>
    <w:rsid w:val="1D2BBE0B"/>
    <w:rsid w:val="1D2D1CAF"/>
    <w:rsid w:val="1D2FDBAF"/>
    <w:rsid w:val="1D3019C8"/>
    <w:rsid w:val="1D32B3DF"/>
    <w:rsid w:val="1D3429B6"/>
    <w:rsid w:val="1D34E9BB"/>
    <w:rsid w:val="1D36FE1B"/>
    <w:rsid w:val="1D38B173"/>
    <w:rsid w:val="1D3B90FA"/>
    <w:rsid w:val="1D46B301"/>
    <w:rsid w:val="1D487B04"/>
    <w:rsid w:val="1D4CF2F2"/>
    <w:rsid w:val="1D5146F5"/>
    <w:rsid w:val="1D51C867"/>
    <w:rsid w:val="1D589707"/>
    <w:rsid w:val="1D58DE02"/>
    <w:rsid w:val="1D598945"/>
    <w:rsid w:val="1D5BBF57"/>
    <w:rsid w:val="1D5D9B01"/>
    <w:rsid w:val="1D68E7C5"/>
    <w:rsid w:val="1D6ED7D2"/>
    <w:rsid w:val="1D74E326"/>
    <w:rsid w:val="1D750D6D"/>
    <w:rsid w:val="1D75BA59"/>
    <w:rsid w:val="1D7727C1"/>
    <w:rsid w:val="1D796770"/>
    <w:rsid w:val="1D796A58"/>
    <w:rsid w:val="1D7CB82B"/>
    <w:rsid w:val="1D7EF4C9"/>
    <w:rsid w:val="1D819ABD"/>
    <w:rsid w:val="1D853773"/>
    <w:rsid w:val="1D898290"/>
    <w:rsid w:val="1D89A358"/>
    <w:rsid w:val="1D8A7FA6"/>
    <w:rsid w:val="1D8B867D"/>
    <w:rsid w:val="1D8E7586"/>
    <w:rsid w:val="1D90FE98"/>
    <w:rsid w:val="1D928F5F"/>
    <w:rsid w:val="1D96130C"/>
    <w:rsid w:val="1D978B05"/>
    <w:rsid w:val="1D97A4A8"/>
    <w:rsid w:val="1D999CAF"/>
    <w:rsid w:val="1D9C58E2"/>
    <w:rsid w:val="1D9F345A"/>
    <w:rsid w:val="1DA04A7D"/>
    <w:rsid w:val="1DA1BF8F"/>
    <w:rsid w:val="1DA3B2B4"/>
    <w:rsid w:val="1DA3CA81"/>
    <w:rsid w:val="1DA444FA"/>
    <w:rsid w:val="1DA9D2F3"/>
    <w:rsid w:val="1DAAC4E9"/>
    <w:rsid w:val="1DABF69F"/>
    <w:rsid w:val="1DAC327F"/>
    <w:rsid w:val="1DAC514A"/>
    <w:rsid w:val="1DAE295C"/>
    <w:rsid w:val="1DAFA7DD"/>
    <w:rsid w:val="1DB4FA49"/>
    <w:rsid w:val="1DB64FB8"/>
    <w:rsid w:val="1DB7FB0E"/>
    <w:rsid w:val="1DBB1435"/>
    <w:rsid w:val="1DBD3568"/>
    <w:rsid w:val="1DBEA6B4"/>
    <w:rsid w:val="1DC5357C"/>
    <w:rsid w:val="1DD145DA"/>
    <w:rsid w:val="1DD337A9"/>
    <w:rsid w:val="1DDAB10D"/>
    <w:rsid w:val="1DDBE894"/>
    <w:rsid w:val="1DDD9575"/>
    <w:rsid w:val="1DE56811"/>
    <w:rsid w:val="1DE78F82"/>
    <w:rsid w:val="1DEDC025"/>
    <w:rsid w:val="1DF12BD6"/>
    <w:rsid w:val="1DF177CC"/>
    <w:rsid w:val="1DF3B109"/>
    <w:rsid w:val="1DF3B5F8"/>
    <w:rsid w:val="1DF92C06"/>
    <w:rsid w:val="1DFD36C5"/>
    <w:rsid w:val="1E048011"/>
    <w:rsid w:val="1E04F870"/>
    <w:rsid w:val="1E057528"/>
    <w:rsid w:val="1E058D1D"/>
    <w:rsid w:val="1E0961E5"/>
    <w:rsid w:val="1E0CA837"/>
    <w:rsid w:val="1E20621F"/>
    <w:rsid w:val="1E206892"/>
    <w:rsid w:val="1E21794D"/>
    <w:rsid w:val="1E22E6A8"/>
    <w:rsid w:val="1E243E5F"/>
    <w:rsid w:val="1E263AE8"/>
    <w:rsid w:val="1E2E1F03"/>
    <w:rsid w:val="1E369A6E"/>
    <w:rsid w:val="1E386893"/>
    <w:rsid w:val="1E3DD732"/>
    <w:rsid w:val="1E424732"/>
    <w:rsid w:val="1E4464CD"/>
    <w:rsid w:val="1E46EEAB"/>
    <w:rsid w:val="1E4E72E6"/>
    <w:rsid w:val="1E4EB4A2"/>
    <w:rsid w:val="1E513CDD"/>
    <w:rsid w:val="1E54A57E"/>
    <w:rsid w:val="1E583C68"/>
    <w:rsid w:val="1E5B85A1"/>
    <w:rsid w:val="1E5C1334"/>
    <w:rsid w:val="1E5F9A27"/>
    <w:rsid w:val="1E640D4F"/>
    <w:rsid w:val="1E6555A1"/>
    <w:rsid w:val="1E685994"/>
    <w:rsid w:val="1E6877D6"/>
    <w:rsid w:val="1E6B8049"/>
    <w:rsid w:val="1E6BD8ED"/>
    <w:rsid w:val="1E6CC4C6"/>
    <w:rsid w:val="1E6D1BE3"/>
    <w:rsid w:val="1E6D2D37"/>
    <w:rsid w:val="1E71AE7B"/>
    <w:rsid w:val="1E72B13B"/>
    <w:rsid w:val="1E750E35"/>
    <w:rsid w:val="1E7C29D4"/>
    <w:rsid w:val="1E7E6799"/>
    <w:rsid w:val="1E802009"/>
    <w:rsid w:val="1E864AF6"/>
    <w:rsid w:val="1E8C611D"/>
    <w:rsid w:val="1E8C7573"/>
    <w:rsid w:val="1E8DBA6F"/>
    <w:rsid w:val="1E8EBC92"/>
    <w:rsid w:val="1E914BF3"/>
    <w:rsid w:val="1E96C05E"/>
    <w:rsid w:val="1E9B3214"/>
    <w:rsid w:val="1E9F73AF"/>
    <w:rsid w:val="1EA444F5"/>
    <w:rsid w:val="1EA79A6C"/>
    <w:rsid w:val="1EAA9CAA"/>
    <w:rsid w:val="1EAB20A9"/>
    <w:rsid w:val="1EB2BC85"/>
    <w:rsid w:val="1EB91F53"/>
    <w:rsid w:val="1EBA0D0D"/>
    <w:rsid w:val="1EBBD41C"/>
    <w:rsid w:val="1EBD0A82"/>
    <w:rsid w:val="1EBF63D8"/>
    <w:rsid w:val="1EC1D8B8"/>
    <w:rsid w:val="1EC2CA34"/>
    <w:rsid w:val="1EC5E1F9"/>
    <w:rsid w:val="1EC70672"/>
    <w:rsid w:val="1ECA566E"/>
    <w:rsid w:val="1ECAD9B2"/>
    <w:rsid w:val="1ECD14BE"/>
    <w:rsid w:val="1ECD88E0"/>
    <w:rsid w:val="1ECFD21A"/>
    <w:rsid w:val="1ED308BA"/>
    <w:rsid w:val="1ED32345"/>
    <w:rsid w:val="1EDA4AFF"/>
    <w:rsid w:val="1EDAAE63"/>
    <w:rsid w:val="1EDEE524"/>
    <w:rsid w:val="1EE271AA"/>
    <w:rsid w:val="1EE503EA"/>
    <w:rsid w:val="1EE55814"/>
    <w:rsid w:val="1EE58DC5"/>
    <w:rsid w:val="1EE93AB2"/>
    <w:rsid w:val="1EEEE81A"/>
    <w:rsid w:val="1EF16FAA"/>
    <w:rsid w:val="1EF259FC"/>
    <w:rsid w:val="1EF3AD5A"/>
    <w:rsid w:val="1EFB9802"/>
    <w:rsid w:val="1F01B436"/>
    <w:rsid w:val="1F01B6F1"/>
    <w:rsid w:val="1F076617"/>
    <w:rsid w:val="1F0A4E92"/>
    <w:rsid w:val="1F0CEC40"/>
    <w:rsid w:val="1F0D541B"/>
    <w:rsid w:val="1F13A415"/>
    <w:rsid w:val="1F13F1C3"/>
    <w:rsid w:val="1F16677A"/>
    <w:rsid w:val="1F178371"/>
    <w:rsid w:val="1F179EDD"/>
    <w:rsid w:val="1F1A06B4"/>
    <w:rsid w:val="1F1B20E2"/>
    <w:rsid w:val="1F1ED667"/>
    <w:rsid w:val="1F21368D"/>
    <w:rsid w:val="1F26707A"/>
    <w:rsid w:val="1F299BBF"/>
    <w:rsid w:val="1F2E077E"/>
    <w:rsid w:val="1F32AFDC"/>
    <w:rsid w:val="1F33496F"/>
    <w:rsid w:val="1F37B7D3"/>
    <w:rsid w:val="1F3F4E1C"/>
    <w:rsid w:val="1F4006F5"/>
    <w:rsid w:val="1F422FD8"/>
    <w:rsid w:val="1F4338C2"/>
    <w:rsid w:val="1F4420B3"/>
    <w:rsid w:val="1F49DE4B"/>
    <w:rsid w:val="1F4E8BB4"/>
    <w:rsid w:val="1F4E8FF8"/>
    <w:rsid w:val="1F505922"/>
    <w:rsid w:val="1F518A64"/>
    <w:rsid w:val="1F550C51"/>
    <w:rsid w:val="1F55815E"/>
    <w:rsid w:val="1F5688D2"/>
    <w:rsid w:val="1F56C5D8"/>
    <w:rsid w:val="1F577C1D"/>
    <w:rsid w:val="1F5DEF54"/>
    <w:rsid w:val="1F5E6E2B"/>
    <w:rsid w:val="1F5F83BF"/>
    <w:rsid w:val="1F600033"/>
    <w:rsid w:val="1F60B6EB"/>
    <w:rsid w:val="1F6969DD"/>
    <w:rsid w:val="1F6EAD91"/>
    <w:rsid w:val="1F6F4917"/>
    <w:rsid w:val="1F71EBB5"/>
    <w:rsid w:val="1F74EFB1"/>
    <w:rsid w:val="1F7674B9"/>
    <w:rsid w:val="1F768B75"/>
    <w:rsid w:val="1F76CAC0"/>
    <w:rsid w:val="1F8118AA"/>
    <w:rsid w:val="1F897962"/>
    <w:rsid w:val="1F8B7563"/>
    <w:rsid w:val="1F964AF4"/>
    <w:rsid w:val="1F96B750"/>
    <w:rsid w:val="1FA4AFFC"/>
    <w:rsid w:val="1FA54E1A"/>
    <w:rsid w:val="1FA57EF3"/>
    <w:rsid w:val="1FA81026"/>
    <w:rsid w:val="1FAA19FC"/>
    <w:rsid w:val="1FAB7D22"/>
    <w:rsid w:val="1FB0D39D"/>
    <w:rsid w:val="1FB45F89"/>
    <w:rsid w:val="1FB9F8CA"/>
    <w:rsid w:val="1FBA78A8"/>
    <w:rsid w:val="1FBB4FBC"/>
    <w:rsid w:val="1FC469EE"/>
    <w:rsid w:val="1FC91E5D"/>
    <w:rsid w:val="1FCBF280"/>
    <w:rsid w:val="1FCEDFE0"/>
    <w:rsid w:val="1FD0E13B"/>
    <w:rsid w:val="1FD44467"/>
    <w:rsid w:val="1FD47A35"/>
    <w:rsid w:val="1FD6D843"/>
    <w:rsid w:val="1FD77245"/>
    <w:rsid w:val="1FDC489A"/>
    <w:rsid w:val="1FE3D32A"/>
    <w:rsid w:val="1FE42F48"/>
    <w:rsid w:val="1FE4E3C4"/>
    <w:rsid w:val="1FE52B30"/>
    <w:rsid w:val="1FE64D61"/>
    <w:rsid w:val="1FEB6AD6"/>
    <w:rsid w:val="1FEBE44D"/>
    <w:rsid w:val="1FED5E65"/>
    <w:rsid w:val="1FFC35BB"/>
    <w:rsid w:val="1FFE1DF9"/>
    <w:rsid w:val="20042474"/>
    <w:rsid w:val="2005B900"/>
    <w:rsid w:val="2006972E"/>
    <w:rsid w:val="200CB36D"/>
    <w:rsid w:val="200D2FF9"/>
    <w:rsid w:val="200E0630"/>
    <w:rsid w:val="20134689"/>
    <w:rsid w:val="201349AF"/>
    <w:rsid w:val="2013D2C2"/>
    <w:rsid w:val="201BA66E"/>
    <w:rsid w:val="201BE25A"/>
    <w:rsid w:val="201C6370"/>
    <w:rsid w:val="2023D896"/>
    <w:rsid w:val="2026BED7"/>
    <w:rsid w:val="20275F2F"/>
    <w:rsid w:val="2029068A"/>
    <w:rsid w:val="202B5789"/>
    <w:rsid w:val="202D3AAC"/>
    <w:rsid w:val="2034A984"/>
    <w:rsid w:val="2034B251"/>
    <w:rsid w:val="203A03A3"/>
    <w:rsid w:val="203C471F"/>
    <w:rsid w:val="203CB103"/>
    <w:rsid w:val="2040D64A"/>
    <w:rsid w:val="204744CE"/>
    <w:rsid w:val="2047CF7C"/>
    <w:rsid w:val="20490723"/>
    <w:rsid w:val="204A603B"/>
    <w:rsid w:val="204CA1C3"/>
    <w:rsid w:val="204CBFA5"/>
    <w:rsid w:val="204FE12D"/>
    <w:rsid w:val="2053051E"/>
    <w:rsid w:val="205323E6"/>
    <w:rsid w:val="2053E904"/>
    <w:rsid w:val="20567341"/>
    <w:rsid w:val="20598D24"/>
    <w:rsid w:val="205B38AE"/>
    <w:rsid w:val="205BC6E7"/>
    <w:rsid w:val="2062D2FF"/>
    <w:rsid w:val="20655221"/>
    <w:rsid w:val="206694FD"/>
    <w:rsid w:val="20689CD3"/>
    <w:rsid w:val="206AA2D1"/>
    <w:rsid w:val="206B7C9B"/>
    <w:rsid w:val="206CAF04"/>
    <w:rsid w:val="206E97A5"/>
    <w:rsid w:val="20705C98"/>
    <w:rsid w:val="2072A2FA"/>
    <w:rsid w:val="20741A44"/>
    <w:rsid w:val="2074E1F3"/>
    <w:rsid w:val="207732C6"/>
    <w:rsid w:val="207894A7"/>
    <w:rsid w:val="207A26A6"/>
    <w:rsid w:val="207EE54D"/>
    <w:rsid w:val="20898CAF"/>
    <w:rsid w:val="208E676A"/>
    <w:rsid w:val="20906EBB"/>
    <w:rsid w:val="2091D7A6"/>
    <w:rsid w:val="2093C31B"/>
    <w:rsid w:val="20980A3B"/>
    <w:rsid w:val="209B328F"/>
    <w:rsid w:val="209C3894"/>
    <w:rsid w:val="209C3DB4"/>
    <w:rsid w:val="20A0876C"/>
    <w:rsid w:val="20A31B34"/>
    <w:rsid w:val="20A3926F"/>
    <w:rsid w:val="20A40513"/>
    <w:rsid w:val="20A57070"/>
    <w:rsid w:val="20ABC072"/>
    <w:rsid w:val="20ACE0E0"/>
    <w:rsid w:val="20AD2F44"/>
    <w:rsid w:val="20AF2F9D"/>
    <w:rsid w:val="20AF5558"/>
    <w:rsid w:val="20B12010"/>
    <w:rsid w:val="20BE6707"/>
    <w:rsid w:val="20BF3692"/>
    <w:rsid w:val="20C2FBC6"/>
    <w:rsid w:val="20C66CCB"/>
    <w:rsid w:val="20CAF267"/>
    <w:rsid w:val="20CDF844"/>
    <w:rsid w:val="20D3ACA3"/>
    <w:rsid w:val="20D580C0"/>
    <w:rsid w:val="20D84CAA"/>
    <w:rsid w:val="20D936B9"/>
    <w:rsid w:val="20DA7E6E"/>
    <w:rsid w:val="20DE3181"/>
    <w:rsid w:val="20EA4A04"/>
    <w:rsid w:val="20F464C7"/>
    <w:rsid w:val="20F4B408"/>
    <w:rsid w:val="20F7CEE6"/>
    <w:rsid w:val="20FBA071"/>
    <w:rsid w:val="20FCBE8C"/>
    <w:rsid w:val="20FF1162"/>
    <w:rsid w:val="2109936B"/>
    <w:rsid w:val="210ABBA4"/>
    <w:rsid w:val="210E5B14"/>
    <w:rsid w:val="211086AA"/>
    <w:rsid w:val="2112C67C"/>
    <w:rsid w:val="211F5A74"/>
    <w:rsid w:val="211F669B"/>
    <w:rsid w:val="21231C30"/>
    <w:rsid w:val="21271233"/>
    <w:rsid w:val="212B0D45"/>
    <w:rsid w:val="21320627"/>
    <w:rsid w:val="2132FD17"/>
    <w:rsid w:val="213ECAA6"/>
    <w:rsid w:val="2140E34F"/>
    <w:rsid w:val="21430A45"/>
    <w:rsid w:val="21471D55"/>
    <w:rsid w:val="214A81C7"/>
    <w:rsid w:val="214EE489"/>
    <w:rsid w:val="214FCAF1"/>
    <w:rsid w:val="21517635"/>
    <w:rsid w:val="21518BE1"/>
    <w:rsid w:val="215271D2"/>
    <w:rsid w:val="215482D3"/>
    <w:rsid w:val="21575DF1"/>
    <w:rsid w:val="21577359"/>
    <w:rsid w:val="2158E62C"/>
    <w:rsid w:val="2159C642"/>
    <w:rsid w:val="2159EE12"/>
    <w:rsid w:val="21606926"/>
    <w:rsid w:val="2162A664"/>
    <w:rsid w:val="2168344C"/>
    <w:rsid w:val="216F8D80"/>
    <w:rsid w:val="217F51AE"/>
    <w:rsid w:val="21807A8B"/>
    <w:rsid w:val="21818124"/>
    <w:rsid w:val="21826B98"/>
    <w:rsid w:val="21853550"/>
    <w:rsid w:val="21864EB1"/>
    <w:rsid w:val="2188166B"/>
    <w:rsid w:val="218EC288"/>
    <w:rsid w:val="2191FA13"/>
    <w:rsid w:val="2192901D"/>
    <w:rsid w:val="21992D65"/>
    <w:rsid w:val="219CF26B"/>
    <w:rsid w:val="219D7811"/>
    <w:rsid w:val="21A07B25"/>
    <w:rsid w:val="21AF34FA"/>
    <w:rsid w:val="21B3219C"/>
    <w:rsid w:val="21B885A2"/>
    <w:rsid w:val="21BC16B0"/>
    <w:rsid w:val="21BCFE41"/>
    <w:rsid w:val="21C6D560"/>
    <w:rsid w:val="21C7F8DA"/>
    <w:rsid w:val="21C9D82D"/>
    <w:rsid w:val="21D44F14"/>
    <w:rsid w:val="21D5C097"/>
    <w:rsid w:val="21D8BD22"/>
    <w:rsid w:val="21D93266"/>
    <w:rsid w:val="21DA0186"/>
    <w:rsid w:val="21DAE539"/>
    <w:rsid w:val="21DC0666"/>
    <w:rsid w:val="21DDFF0B"/>
    <w:rsid w:val="21E0B5C4"/>
    <w:rsid w:val="21E0F972"/>
    <w:rsid w:val="21E1A060"/>
    <w:rsid w:val="21E2C3D2"/>
    <w:rsid w:val="21E5CE1C"/>
    <w:rsid w:val="21EA5A9E"/>
    <w:rsid w:val="21F2B0A3"/>
    <w:rsid w:val="21F79D28"/>
    <w:rsid w:val="21FCC282"/>
    <w:rsid w:val="21FDD446"/>
    <w:rsid w:val="21FE2726"/>
    <w:rsid w:val="22010231"/>
    <w:rsid w:val="22039090"/>
    <w:rsid w:val="2203D3DD"/>
    <w:rsid w:val="2206296F"/>
    <w:rsid w:val="2208BAB5"/>
    <w:rsid w:val="220B4681"/>
    <w:rsid w:val="220F9123"/>
    <w:rsid w:val="22165E62"/>
    <w:rsid w:val="2216F70A"/>
    <w:rsid w:val="221A26A6"/>
    <w:rsid w:val="221E5153"/>
    <w:rsid w:val="22203502"/>
    <w:rsid w:val="2220DF01"/>
    <w:rsid w:val="22265A19"/>
    <w:rsid w:val="222CB332"/>
    <w:rsid w:val="222ECD5E"/>
    <w:rsid w:val="2233CECE"/>
    <w:rsid w:val="2234B50D"/>
    <w:rsid w:val="2234C1C5"/>
    <w:rsid w:val="2237A24F"/>
    <w:rsid w:val="22385C22"/>
    <w:rsid w:val="223A703D"/>
    <w:rsid w:val="223AF7C7"/>
    <w:rsid w:val="223CFEFA"/>
    <w:rsid w:val="223E9298"/>
    <w:rsid w:val="22415FB7"/>
    <w:rsid w:val="224385BB"/>
    <w:rsid w:val="2243F439"/>
    <w:rsid w:val="2244009A"/>
    <w:rsid w:val="224507AA"/>
    <w:rsid w:val="2246DF35"/>
    <w:rsid w:val="2250DCBD"/>
    <w:rsid w:val="2251580A"/>
    <w:rsid w:val="2251F675"/>
    <w:rsid w:val="225A8028"/>
    <w:rsid w:val="225B9C15"/>
    <w:rsid w:val="225CAB1A"/>
    <w:rsid w:val="22656E1A"/>
    <w:rsid w:val="2267F2E9"/>
    <w:rsid w:val="226B3C12"/>
    <w:rsid w:val="226B3C2F"/>
    <w:rsid w:val="226B9F6F"/>
    <w:rsid w:val="226FD4D6"/>
    <w:rsid w:val="227594C8"/>
    <w:rsid w:val="22768324"/>
    <w:rsid w:val="2276C0A4"/>
    <w:rsid w:val="227C79F4"/>
    <w:rsid w:val="228325B5"/>
    <w:rsid w:val="228A2A0F"/>
    <w:rsid w:val="229452C4"/>
    <w:rsid w:val="22973F7B"/>
    <w:rsid w:val="229976E2"/>
    <w:rsid w:val="229DCE49"/>
    <w:rsid w:val="22A5D83E"/>
    <w:rsid w:val="22B09F9A"/>
    <w:rsid w:val="22C28CFA"/>
    <w:rsid w:val="22C42E81"/>
    <w:rsid w:val="22C44867"/>
    <w:rsid w:val="22CB21C1"/>
    <w:rsid w:val="22CB306E"/>
    <w:rsid w:val="22CEB3E3"/>
    <w:rsid w:val="22D0AF3F"/>
    <w:rsid w:val="22D470AD"/>
    <w:rsid w:val="22E3AD59"/>
    <w:rsid w:val="22E58BD4"/>
    <w:rsid w:val="22E73020"/>
    <w:rsid w:val="22ED80B1"/>
    <w:rsid w:val="22EDF22E"/>
    <w:rsid w:val="22F0E777"/>
    <w:rsid w:val="22F1C64B"/>
    <w:rsid w:val="22FC837F"/>
    <w:rsid w:val="22FE3F63"/>
    <w:rsid w:val="23039BFF"/>
    <w:rsid w:val="23041E6D"/>
    <w:rsid w:val="230A1CBD"/>
    <w:rsid w:val="230BDE95"/>
    <w:rsid w:val="230C433D"/>
    <w:rsid w:val="230D25DB"/>
    <w:rsid w:val="230E1075"/>
    <w:rsid w:val="230E3FE5"/>
    <w:rsid w:val="231135FC"/>
    <w:rsid w:val="2312A431"/>
    <w:rsid w:val="2313F1B2"/>
    <w:rsid w:val="23181534"/>
    <w:rsid w:val="23194861"/>
    <w:rsid w:val="2319E257"/>
    <w:rsid w:val="2319FE3E"/>
    <w:rsid w:val="231CC4D3"/>
    <w:rsid w:val="23212087"/>
    <w:rsid w:val="232A6E53"/>
    <w:rsid w:val="232D2476"/>
    <w:rsid w:val="2330A895"/>
    <w:rsid w:val="2331B396"/>
    <w:rsid w:val="2332C288"/>
    <w:rsid w:val="233626C8"/>
    <w:rsid w:val="23375B80"/>
    <w:rsid w:val="23389283"/>
    <w:rsid w:val="233B953B"/>
    <w:rsid w:val="233D709C"/>
    <w:rsid w:val="233DDD4E"/>
    <w:rsid w:val="233F31CB"/>
    <w:rsid w:val="234096C0"/>
    <w:rsid w:val="234B1536"/>
    <w:rsid w:val="234B68DE"/>
    <w:rsid w:val="234B9687"/>
    <w:rsid w:val="234ED9FD"/>
    <w:rsid w:val="234F9436"/>
    <w:rsid w:val="2359238A"/>
    <w:rsid w:val="235D12F4"/>
    <w:rsid w:val="235FB439"/>
    <w:rsid w:val="2361B17F"/>
    <w:rsid w:val="2364C97B"/>
    <w:rsid w:val="2367A30A"/>
    <w:rsid w:val="23682312"/>
    <w:rsid w:val="236A1767"/>
    <w:rsid w:val="236CDABF"/>
    <w:rsid w:val="236ECE1F"/>
    <w:rsid w:val="236F79F9"/>
    <w:rsid w:val="23770347"/>
    <w:rsid w:val="237FD92D"/>
    <w:rsid w:val="23827E0A"/>
    <w:rsid w:val="238292F4"/>
    <w:rsid w:val="23838FBC"/>
    <w:rsid w:val="238391DF"/>
    <w:rsid w:val="23852DD4"/>
    <w:rsid w:val="2385925D"/>
    <w:rsid w:val="238BEC11"/>
    <w:rsid w:val="238D8D6C"/>
    <w:rsid w:val="238DFE55"/>
    <w:rsid w:val="239231BE"/>
    <w:rsid w:val="239BD0CD"/>
    <w:rsid w:val="23A3E602"/>
    <w:rsid w:val="23A70F55"/>
    <w:rsid w:val="23A7B6DF"/>
    <w:rsid w:val="23A9125D"/>
    <w:rsid w:val="23AD33BB"/>
    <w:rsid w:val="23AD5BF0"/>
    <w:rsid w:val="23B80057"/>
    <w:rsid w:val="23BD0DF6"/>
    <w:rsid w:val="23C45326"/>
    <w:rsid w:val="23C49983"/>
    <w:rsid w:val="23CAEC94"/>
    <w:rsid w:val="23CD2C37"/>
    <w:rsid w:val="23D15D34"/>
    <w:rsid w:val="23D383D5"/>
    <w:rsid w:val="23D81760"/>
    <w:rsid w:val="23DB50D9"/>
    <w:rsid w:val="23E1B654"/>
    <w:rsid w:val="23E1C069"/>
    <w:rsid w:val="23E2AABA"/>
    <w:rsid w:val="23EA9A36"/>
    <w:rsid w:val="23EC81FC"/>
    <w:rsid w:val="23EE14A7"/>
    <w:rsid w:val="23F08D0C"/>
    <w:rsid w:val="23F0AEC3"/>
    <w:rsid w:val="23F10A48"/>
    <w:rsid w:val="23F19390"/>
    <w:rsid w:val="23F59667"/>
    <w:rsid w:val="23F7BE92"/>
    <w:rsid w:val="23F82149"/>
    <w:rsid w:val="23F995B0"/>
    <w:rsid w:val="23F9A677"/>
    <w:rsid w:val="23F9DE0E"/>
    <w:rsid w:val="23FA80AF"/>
    <w:rsid w:val="23FC3AB2"/>
    <w:rsid w:val="23FDE490"/>
    <w:rsid w:val="24011DAB"/>
    <w:rsid w:val="240428BB"/>
    <w:rsid w:val="24066764"/>
    <w:rsid w:val="240936CF"/>
    <w:rsid w:val="240A62B7"/>
    <w:rsid w:val="240EEE70"/>
    <w:rsid w:val="2411E793"/>
    <w:rsid w:val="2413A8B2"/>
    <w:rsid w:val="2414DA77"/>
    <w:rsid w:val="2419C712"/>
    <w:rsid w:val="241C16C2"/>
    <w:rsid w:val="241F318C"/>
    <w:rsid w:val="242CFEDA"/>
    <w:rsid w:val="242DA5E9"/>
    <w:rsid w:val="2437213A"/>
    <w:rsid w:val="243847BD"/>
    <w:rsid w:val="243A774A"/>
    <w:rsid w:val="243F8283"/>
    <w:rsid w:val="2440C686"/>
    <w:rsid w:val="24420D3B"/>
    <w:rsid w:val="244377FF"/>
    <w:rsid w:val="2443E486"/>
    <w:rsid w:val="24442570"/>
    <w:rsid w:val="2445A990"/>
    <w:rsid w:val="244617AE"/>
    <w:rsid w:val="24495CCA"/>
    <w:rsid w:val="244A0D3F"/>
    <w:rsid w:val="244D366C"/>
    <w:rsid w:val="244E1CD5"/>
    <w:rsid w:val="244E652C"/>
    <w:rsid w:val="245219F3"/>
    <w:rsid w:val="24563EC5"/>
    <w:rsid w:val="245838D7"/>
    <w:rsid w:val="24589B8D"/>
    <w:rsid w:val="245A79AA"/>
    <w:rsid w:val="2463B8D1"/>
    <w:rsid w:val="24683800"/>
    <w:rsid w:val="247E2BA9"/>
    <w:rsid w:val="24895500"/>
    <w:rsid w:val="248F4896"/>
    <w:rsid w:val="24905E75"/>
    <w:rsid w:val="24984B9E"/>
    <w:rsid w:val="2499410F"/>
    <w:rsid w:val="249BEE3E"/>
    <w:rsid w:val="249F9681"/>
    <w:rsid w:val="24A4BE34"/>
    <w:rsid w:val="24A5C063"/>
    <w:rsid w:val="24A70E6A"/>
    <w:rsid w:val="24AABF3C"/>
    <w:rsid w:val="24AE699D"/>
    <w:rsid w:val="24AED88C"/>
    <w:rsid w:val="24B3ED0B"/>
    <w:rsid w:val="24B4BB0C"/>
    <w:rsid w:val="24B53120"/>
    <w:rsid w:val="24B5F3E6"/>
    <w:rsid w:val="24BCFA5F"/>
    <w:rsid w:val="24BDA79C"/>
    <w:rsid w:val="24BFA073"/>
    <w:rsid w:val="24C50008"/>
    <w:rsid w:val="24C52300"/>
    <w:rsid w:val="24C5B2F2"/>
    <w:rsid w:val="24CE2DB4"/>
    <w:rsid w:val="24CF4EB0"/>
    <w:rsid w:val="24CF8191"/>
    <w:rsid w:val="24D0AEC7"/>
    <w:rsid w:val="24DBB800"/>
    <w:rsid w:val="24DC9387"/>
    <w:rsid w:val="24DDB0F3"/>
    <w:rsid w:val="24E0DDAB"/>
    <w:rsid w:val="24E60A73"/>
    <w:rsid w:val="24E936B3"/>
    <w:rsid w:val="24EC1F0F"/>
    <w:rsid w:val="24EC2D2E"/>
    <w:rsid w:val="24ECC01A"/>
    <w:rsid w:val="24ED4D77"/>
    <w:rsid w:val="24EEC53B"/>
    <w:rsid w:val="24F0F145"/>
    <w:rsid w:val="24F11314"/>
    <w:rsid w:val="24F5D53B"/>
    <w:rsid w:val="24FDA9FB"/>
    <w:rsid w:val="24FE82D5"/>
    <w:rsid w:val="25022D01"/>
    <w:rsid w:val="250F2024"/>
    <w:rsid w:val="250F2ADE"/>
    <w:rsid w:val="2512DB10"/>
    <w:rsid w:val="25133C96"/>
    <w:rsid w:val="2518B631"/>
    <w:rsid w:val="252726A7"/>
    <w:rsid w:val="25283CB4"/>
    <w:rsid w:val="2529F5AC"/>
    <w:rsid w:val="252EDBDD"/>
    <w:rsid w:val="2532A5D4"/>
    <w:rsid w:val="253C889B"/>
    <w:rsid w:val="253EEC78"/>
    <w:rsid w:val="253F7715"/>
    <w:rsid w:val="2545B592"/>
    <w:rsid w:val="2545B7A4"/>
    <w:rsid w:val="2547DBF8"/>
    <w:rsid w:val="2548ECC5"/>
    <w:rsid w:val="254D8FC4"/>
    <w:rsid w:val="254ECC41"/>
    <w:rsid w:val="254FAF03"/>
    <w:rsid w:val="2557D76F"/>
    <w:rsid w:val="255837EA"/>
    <w:rsid w:val="255CEA1D"/>
    <w:rsid w:val="255E6989"/>
    <w:rsid w:val="2564B0EC"/>
    <w:rsid w:val="256E2A62"/>
    <w:rsid w:val="25727493"/>
    <w:rsid w:val="257698D9"/>
    <w:rsid w:val="257A6218"/>
    <w:rsid w:val="257C9549"/>
    <w:rsid w:val="257E5CC0"/>
    <w:rsid w:val="257F92F5"/>
    <w:rsid w:val="25824238"/>
    <w:rsid w:val="2583BA40"/>
    <w:rsid w:val="2583E32B"/>
    <w:rsid w:val="2586554B"/>
    <w:rsid w:val="25867130"/>
    <w:rsid w:val="25868169"/>
    <w:rsid w:val="25923CFF"/>
    <w:rsid w:val="2593276E"/>
    <w:rsid w:val="2594E75C"/>
    <w:rsid w:val="2599151E"/>
    <w:rsid w:val="25991EDC"/>
    <w:rsid w:val="259AB101"/>
    <w:rsid w:val="259B1969"/>
    <w:rsid w:val="259C9067"/>
    <w:rsid w:val="259FF23C"/>
    <w:rsid w:val="25A07B05"/>
    <w:rsid w:val="25A3F30B"/>
    <w:rsid w:val="25A5459B"/>
    <w:rsid w:val="25A5CC77"/>
    <w:rsid w:val="25A6F63D"/>
    <w:rsid w:val="25A77B4C"/>
    <w:rsid w:val="25A81B93"/>
    <w:rsid w:val="25AEC873"/>
    <w:rsid w:val="25B12717"/>
    <w:rsid w:val="25B18468"/>
    <w:rsid w:val="25B27530"/>
    <w:rsid w:val="25B2958A"/>
    <w:rsid w:val="25B8B1CC"/>
    <w:rsid w:val="25B94416"/>
    <w:rsid w:val="25BD14CA"/>
    <w:rsid w:val="25BD67E8"/>
    <w:rsid w:val="25BD97C0"/>
    <w:rsid w:val="25C34226"/>
    <w:rsid w:val="25C3C779"/>
    <w:rsid w:val="25D1E464"/>
    <w:rsid w:val="25D38055"/>
    <w:rsid w:val="25D3A64B"/>
    <w:rsid w:val="25DFDD26"/>
    <w:rsid w:val="25E49985"/>
    <w:rsid w:val="25E6BA14"/>
    <w:rsid w:val="25E6C70D"/>
    <w:rsid w:val="25E9D0E9"/>
    <w:rsid w:val="25EF21F1"/>
    <w:rsid w:val="25F28C4F"/>
    <w:rsid w:val="25F57588"/>
    <w:rsid w:val="25F7374E"/>
    <w:rsid w:val="25F7B6FE"/>
    <w:rsid w:val="25FAB73B"/>
    <w:rsid w:val="260058E0"/>
    <w:rsid w:val="260A97B0"/>
    <w:rsid w:val="260B3D12"/>
    <w:rsid w:val="260B8838"/>
    <w:rsid w:val="2610E87C"/>
    <w:rsid w:val="2612DF39"/>
    <w:rsid w:val="2618A107"/>
    <w:rsid w:val="262BC92F"/>
    <w:rsid w:val="262CF4E2"/>
    <w:rsid w:val="262DE43B"/>
    <w:rsid w:val="262ED3F5"/>
    <w:rsid w:val="262FA235"/>
    <w:rsid w:val="263A224F"/>
    <w:rsid w:val="263F8CD2"/>
    <w:rsid w:val="26482C2E"/>
    <w:rsid w:val="264C2C1C"/>
    <w:rsid w:val="264CEB2A"/>
    <w:rsid w:val="264E2D45"/>
    <w:rsid w:val="264FAD9A"/>
    <w:rsid w:val="2650A44E"/>
    <w:rsid w:val="2654B7F5"/>
    <w:rsid w:val="265958FC"/>
    <w:rsid w:val="266251EA"/>
    <w:rsid w:val="2662C3E0"/>
    <w:rsid w:val="266D5DFF"/>
    <w:rsid w:val="266F03FB"/>
    <w:rsid w:val="267DD4D3"/>
    <w:rsid w:val="26813ABC"/>
    <w:rsid w:val="2687647D"/>
    <w:rsid w:val="268D0270"/>
    <w:rsid w:val="268D9F79"/>
    <w:rsid w:val="268F5BA0"/>
    <w:rsid w:val="26950FC5"/>
    <w:rsid w:val="269B45D8"/>
    <w:rsid w:val="26A19C89"/>
    <w:rsid w:val="26ACAE30"/>
    <w:rsid w:val="26AF04EB"/>
    <w:rsid w:val="26B25AD9"/>
    <w:rsid w:val="26B9F6F1"/>
    <w:rsid w:val="26C3F3FE"/>
    <w:rsid w:val="26C9D20D"/>
    <w:rsid w:val="26CE996E"/>
    <w:rsid w:val="26D0512A"/>
    <w:rsid w:val="26D2D178"/>
    <w:rsid w:val="26D4AFBA"/>
    <w:rsid w:val="26DA5CD6"/>
    <w:rsid w:val="26DA6429"/>
    <w:rsid w:val="26DA7FDC"/>
    <w:rsid w:val="26DCF660"/>
    <w:rsid w:val="26DE673D"/>
    <w:rsid w:val="26DEA54E"/>
    <w:rsid w:val="26E260EC"/>
    <w:rsid w:val="26E8A4B3"/>
    <w:rsid w:val="26E99AE1"/>
    <w:rsid w:val="26EA7052"/>
    <w:rsid w:val="26EC25D0"/>
    <w:rsid w:val="26EC984F"/>
    <w:rsid w:val="26EDBAAD"/>
    <w:rsid w:val="26F0ABBF"/>
    <w:rsid w:val="26F0FE85"/>
    <w:rsid w:val="26F36DC9"/>
    <w:rsid w:val="26F66B30"/>
    <w:rsid w:val="26F686A9"/>
    <w:rsid w:val="26F8899A"/>
    <w:rsid w:val="26FD5EF6"/>
    <w:rsid w:val="26FDCA66"/>
    <w:rsid w:val="270323EE"/>
    <w:rsid w:val="2708A4CE"/>
    <w:rsid w:val="27096DB9"/>
    <w:rsid w:val="270DD5CE"/>
    <w:rsid w:val="2718146A"/>
    <w:rsid w:val="271D9089"/>
    <w:rsid w:val="271E8AAD"/>
    <w:rsid w:val="2724EE4C"/>
    <w:rsid w:val="272A3CB0"/>
    <w:rsid w:val="272C43A7"/>
    <w:rsid w:val="272E02F7"/>
    <w:rsid w:val="272EAD1A"/>
    <w:rsid w:val="272FD450"/>
    <w:rsid w:val="273028D3"/>
    <w:rsid w:val="2737919D"/>
    <w:rsid w:val="273BA0A4"/>
    <w:rsid w:val="273E268E"/>
    <w:rsid w:val="273ED342"/>
    <w:rsid w:val="27424F58"/>
    <w:rsid w:val="27481268"/>
    <w:rsid w:val="274969C4"/>
    <w:rsid w:val="2751908F"/>
    <w:rsid w:val="2751ACB0"/>
    <w:rsid w:val="2754CD05"/>
    <w:rsid w:val="27555F99"/>
    <w:rsid w:val="2755FF97"/>
    <w:rsid w:val="2757E0CB"/>
    <w:rsid w:val="2759B78F"/>
    <w:rsid w:val="275FB29F"/>
    <w:rsid w:val="275FDF84"/>
    <w:rsid w:val="27621A1F"/>
    <w:rsid w:val="27671FED"/>
    <w:rsid w:val="276C0958"/>
    <w:rsid w:val="276CB2B2"/>
    <w:rsid w:val="276E5E40"/>
    <w:rsid w:val="277173A6"/>
    <w:rsid w:val="2772EC83"/>
    <w:rsid w:val="277A0917"/>
    <w:rsid w:val="27833F2E"/>
    <w:rsid w:val="2783AA2B"/>
    <w:rsid w:val="27879A42"/>
    <w:rsid w:val="278C7188"/>
    <w:rsid w:val="27960509"/>
    <w:rsid w:val="279789FB"/>
    <w:rsid w:val="2797EDAC"/>
    <w:rsid w:val="279EEF40"/>
    <w:rsid w:val="279F2210"/>
    <w:rsid w:val="27A292D2"/>
    <w:rsid w:val="27A5FE39"/>
    <w:rsid w:val="27A6C0E4"/>
    <w:rsid w:val="27A707C7"/>
    <w:rsid w:val="27AD63BB"/>
    <w:rsid w:val="27ADDFF6"/>
    <w:rsid w:val="27AECF72"/>
    <w:rsid w:val="27B2FDF5"/>
    <w:rsid w:val="27B40D1B"/>
    <w:rsid w:val="27B691EC"/>
    <w:rsid w:val="27BB606B"/>
    <w:rsid w:val="27C04080"/>
    <w:rsid w:val="27C6757D"/>
    <w:rsid w:val="27C6F76A"/>
    <w:rsid w:val="27CAAE68"/>
    <w:rsid w:val="27CB0059"/>
    <w:rsid w:val="27CD8D83"/>
    <w:rsid w:val="27CDAC0F"/>
    <w:rsid w:val="27D19338"/>
    <w:rsid w:val="27D1E0D6"/>
    <w:rsid w:val="27D25A26"/>
    <w:rsid w:val="27D4685A"/>
    <w:rsid w:val="27D6F603"/>
    <w:rsid w:val="27D9B0DC"/>
    <w:rsid w:val="27E156C4"/>
    <w:rsid w:val="27E1C3F7"/>
    <w:rsid w:val="27EBB342"/>
    <w:rsid w:val="27EE288A"/>
    <w:rsid w:val="27F4B167"/>
    <w:rsid w:val="27F8CC0B"/>
    <w:rsid w:val="27F9AE65"/>
    <w:rsid w:val="27FCBBE1"/>
    <w:rsid w:val="27FF7FE8"/>
    <w:rsid w:val="280C614C"/>
    <w:rsid w:val="280D1E20"/>
    <w:rsid w:val="281117BD"/>
    <w:rsid w:val="281650D0"/>
    <w:rsid w:val="28165AD4"/>
    <w:rsid w:val="281E1E78"/>
    <w:rsid w:val="281E752E"/>
    <w:rsid w:val="2823C0F0"/>
    <w:rsid w:val="2823DAFC"/>
    <w:rsid w:val="28264186"/>
    <w:rsid w:val="2828E86C"/>
    <w:rsid w:val="282A1A0E"/>
    <w:rsid w:val="282A919E"/>
    <w:rsid w:val="283640BB"/>
    <w:rsid w:val="2837D40B"/>
    <w:rsid w:val="28394FE6"/>
    <w:rsid w:val="28398B21"/>
    <w:rsid w:val="283C54E9"/>
    <w:rsid w:val="2841E65C"/>
    <w:rsid w:val="28464C98"/>
    <w:rsid w:val="28473A43"/>
    <w:rsid w:val="28518D75"/>
    <w:rsid w:val="285B39C0"/>
    <w:rsid w:val="2865BAC9"/>
    <w:rsid w:val="286C93B0"/>
    <w:rsid w:val="286DF819"/>
    <w:rsid w:val="286E2C87"/>
    <w:rsid w:val="2872AC3A"/>
    <w:rsid w:val="2873A291"/>
    <w:rsid w:val="2873CD54"/>
    <w:rsid w:val="287EBA16"/>
    <w:rsid w:val="28816F11"/>
    <w:rsid w:val="288EFA6A"/>
    <w:rsid w:val="289B698D"/>
    <w:rsid w:val="289C66B4"/>
    <w:rsid w:val="289C707D"/>
    <w:rsid w:val="289CEE29"/>
    <w:rsid w:val="289CF9DC"/>
    <w:rsid w:val="289DED43"/>
    <w:rsid w:val="28A0F42D"/>
    <w:rsid w:val="28A40FED"/>
    <w:rsid w:val="28A4D32E"/>
    <w:rsid w:val="28A9AE23"/>
    <w:rsid w:val="28AACD03"/>
    <w:rsid w:val="28AD0EC1"/>
    <w:rsid w:val="28AE69C0"/>
    <w:rsid w:val="28AF5B8E"/>
    <w:rsid w:val="28AF8E41"/>
    <w:rsid w:val="28B29E9A"/>
    <w:rsid w:val="28B3B179"/>
    <w:rsid w:val="28B75BEC"/>
    <w:rsid w:val="28B80B6C"/>
    <w:rsid w:val="28B81C3E"/>
    <w:rsid w:val="28B9B932"/>
    <w:rsid w:val="28C14C8D"/>
    <w:rsid w:val="28C1E169"/>
    <w:rsid w:val="28C7675B"/>
    <w:rsid w:val="28C7BC7D"/>
    <w:rsid w:val="28CC56A5"/>
    <w:rsid w:val="28CD1005"/>
    <w:rsid w:val="28D1D3C8"/>
    <w:rsid w:val="28D8995E"/>
    <w:rsid w:val="28DA35EE"/>
    <w:rsid w:val="28DAFE3B"/>
    <w:rsid w:val="28DB27B2"/>
    <w:rsid w:val="28DCBE57"/>
    <w:rsid w:val="28E1D73F"/>
    <w:rsid w:val="28E21F09"/>
    <w:rsid w:val="28E3D432"/>
    <w:rsid w:val="28EAA531"/>
    <w:rsid w:val="28EEE78C"/>
    <w:rsid w:val="28F099E6"/>
    <w:rsid w:val="28F1DA44"/>
    <w:rsid w:val="28F6C5DA"/>
    <w:rsid w:val="28F9F3BE"/>
    <w:rsid w:val="28FBE05F"/>
    <w:rsid w:val="28FC8B34"/>
    <w:rsid w:val="28FE9C13"/>
    <w:rsid w:val="29001C52"/>
    <w:rsid w:val="2902A6E7"/>
    <w:rsid w:val="290524C4"/>
    <w:rsid w:val="29068F35"/>
    <w:rsid w:val="29093D51"/>
    <w:rsid w:val="290BD47B"/>
    <w:rsid w:val="290E04A6"/>
    <w:rsid w:val="290EEB38"/>
    <w:rsid w:val="29107E71"/>
    <w:rsid w:val="2910D80F"/>
    <w:rsid w:val="2911608F"/>
    <w:rsid w:val="29158284"/>
    <w:rsid w:val="2919FC4F"/>
    <w:rsid w:val="2919FCBA"/>
    <w:rsid w:val="29268BBF"/>
    <w:rsid w:val="2926FBB0"/>
    <w:rsid w:val="29270874"/>
    <w:rsid w:val="2927F3EC"/>
    <w:rsid w:val="292B9A82"/>
    <w:rsid w:val="292C5F3D"/>
    <w:rsid w:val="292EE2C5"/>
    <w:rsid w:val="29345715"/>
    <w:rsid w:val="2935BA8E"/>
    <w:rsid w:val="293AC2C0"/>
    <w:rsid w:val="293C7611"/>
    <w:rsid w:val="293D5CF6"/>
    <w:rsid w:val="2941B28F"/>
    <w:rsid w:val="29420457"/>
    <w:rsid w:val="29437FA0"/>
    <w:rsid w:val="29476872"/>
    <w:rsid w:val="295056AD"/>
    <w:rsid w:val="2953C2D9"/>
    <w:rsid w:val="29546B86"/>
    <w:rsid w:val="295496DB"/>
    <w:rsid w:val="29555EA8"/>
    <w:rsid w:val="2958B235"/>
    <w:rsid w:val="2966C0DC"/>
    <w:rsid w:val="2968CE8D"/>
    <w:rsid w:val="29691413"/>
    <w:rsid w:val="2969D65E"/>
    <w:rsid w:val="296CB2DF"/>
    <w:rsid w:val="296F2F35"/>
    <w:rsid w:val="29709E28"/>
    <w:rsid w:val="2971E7BA"/>
    <w:rsid w:val="29720CA7"/>
    <w:rsid w:val="29758404"/>
    <w:rsid w:val="29768DE4"/>
    <w:rsid w:val="29781A86"/>
    <w:rsid w:val="297DBDFF"/>
    <w:rsid w:val="29826CA4"/>
    <w:rsid w:val="2985528E"/>
    <w:rsid w:val="298F817C"/>
    <w:rsid w:val="2990751F"/>
    <w:rsid w:val="299247EC"/>
    <w:rsid w:val="2993F5D6"/>
    <w:rsid w:val="2995665F"/>
    <w:rsid w:val="29983F69"/>
    <w:rsid w:val="299BBE6C"/>
    <w:rsid w:val="29A31CCB"/>
    <w:rsid w:val="29A4C5A6"/>
    <w:rsid w:val="29AB4A1B"/>
    <w:rsid w:val="29AC312C"/>
    <w:rsid w:val="29B08790"/>
    <w:rsid w:val="29B1AA8A"/>
    <w:rsid w:val="29B26630"/>
    <w:rsid w:val="29BB78DA"/>
    <w:rsid w:val="29BC2235"/>
    <w:rsid w:val="29C682EA"/>
    <w:rsid w:val="29CDC4B9"/>
    <w:rsid w:val="29CE3F80"/>
    <w:rsid w:val="29D01182"/>
    <w:rsid w:val="29D05C09"/>
    <w:rsid w:val="29D51795"/>
    <w:rsid w:val="29D9CD96"/>
    <w:rsid w:val="29DA4E60"/>
    <w:rsid w:val="29E093F5"/>
    <w:rsid w:val="29E0E36C"/>
    <w:rsid w:val="29E0E9CC"/>
    <w:rsid w:val="29E3B5FA"/>
    <w:rsid w:val="29E60273"/>
    <w:rsid w:val="29E666D9"/>
    <w:rsid w:val="29EC25C0"/>
    <w:rsid w:val="29F0E0B1"/>
    <w:rsid w:val="29F1F3D7"/>
    <w:rsid w:val="29FC5932"/>
    <w:rsid w:val="2A03AF2C"/>
    <w:rsid w:val="2A100345"/>
    <w:rsid w:val="2A10074B"/>
    <w:rsid w:val="2A13B163"/>
    <w:rsid w:val="2A15E6F1"/>
    <w:rsid w:val="2A15FEFF"/>
    <w:rsid w:val="2A17170C"/>
    <w:rsid w:val="2A17B0CA"/>
    <w:rsid w:val="2A193CB6"/>
    <w:rsid w:val="2A1AD167"/>
    <w:rsid w:val="2A1EA5A4"/>
    <w:rsid w:val="2A201376"/>
    <w:rsid w:val="2A201549"/>
    <w:rsid w:val="2A21E472"/>
    <w:rsid w:val="2A24F874"/>
    <w:rsid w:val="2A2777CD"/>
    <w:rsid w:val="2A27F37A"/>
    <w:rsid w:val="2A2989B9"/>
    <w:rsid w:val="2A2E13C2"/>
    <w:rsid w:val="2A2F1453"/>
    <w:rsid w:val="2A2F93AA"/>
    <w:rsid w:val="2A307336"/>
    <w:rsid w:val="2A32C140"/>
    <w:rsid w:val="2A3A9DAE"/>
    <w:rsid w:val="2A3BBA5D"/>
    <w:rsid w:val="2A3DABA0"/>
    <w:rsid w:val="2A413595"/>
    <w:rsid w:val="2A489394"/>
    <w:rsid w:val="2A4CA58A"/>
    <w:rsid w:val="2A51DF7A"/>
    <w:rsid w:val="2A5352A3"/>
    <w:rsid w:val="2A561FDC"/>
    <w:rsid w:val="2A57CD45"/>
    <w:rsid w:val="2A59495A"/>
    <w:rsid w:val="2A5AB5C0"/>
    <w:rsid w:val="2A5B6674"/>
    <w:rsid w:val="2A639313"/>
    <w:rsid w:val="2A644868"/>
    <w:rsid w:val="2A661558"/>
    <w:rsid w:val="2A67112F"/>
    <w:rsid w:val="2A6DD963"/>
    <w:rsid w:val="2A71C6A5"/>
    <w:rsid w:val="2A75CBCA"/>
    <w:rsid w:val="2A770599"/>
    <w:rsid w:val="2A7C6249"/>
    <w:rsid w:val="2A7C829C"/>
    <w:rsid w:val="2A8257D3"/>
    <w:rsid w:val="2A827047"/>
    <w:rsid w:val="2A840CF0"/>
    <w:rsid w:val="2A842C4A"/>
    <w:rsid w:val="2A8539E8"/>
    <w:rsid w:val="2A8B31DD"/>
    <w:rsid w:val="2A8EF229"/>
    <w:rsid w:val="2A8F40CC"/>
    <w:rsid w:val="2A97316A"/>
    <w:rsid w:val="2A997A6E"/>
    <w:rsid w:val="2A9A2538"/>
    <w:rsid w:val="2A9F3A7C"/>
    <w:rsid w:val="2AA1EB4D"/>
    <w:rsid w:val="2AA4740E"/>
    <w:rsid w:val="2AA6027B"/>
    <w:rsid w:val="2AA82924"/>
    <w:rsid w:val="2AA8AD09"/>
    <w:rsid w:val="2AB3F4E0"/>
    <w:rsid w:val="2ABF8BBF"/>
    <w:rsid w:val="2AC00898"/>
    <w:rsid w:val="2AC85451"/>
    <w:rsid w:val="2AD1CC65"/>
    <w:rsid w:val="2AD33C85"/>
    <w:rsid w:val="2AD6D375"/>
    <w:rsid w:val="2AE1156E"/>
    <w:rsid w:val="2AE35E93"/>
    <w:rsid w:val="2AE8E7CB"/>
    <w:rsid w:val="2AEBB02B"/>
    <w:rsid w:val="2AEEE6A7"/>
    <w:rsid w:val="2AF31163"/>
    <w:rsid w:val="2AF541E4"/>
    <w:rsid w:val="2AFF8AAE"/>
    <w:rsid w:val="2B0515AE"/>
    <w:rsid w:val="2B05E092"/>
    <w:rsid w:val="2B0AAE25"/>
    <w:rsid w:val="2B0E95AF"/>
    <w:rsid w:val="2B0FE4C3"/>
    <w:rsid w:val="2B10CA7C"/>
    <w:rsid w:val="2B1275A7"/>
    <w:rsid w:val="2B18A0DB"/>
    <w:rsid w:val="2B212239"/>
    <w:rsid w:val="2B25A1E5"/>
    <w:rsid w:val="2B25B494"/>
    <w:rsid w:val="2B25E9D9"/>
    <w:rsid w:val="2B324D86"/>
    <w:rsid w:val="2B368423"/>
    <w:rsid w:val="2B3769E9"/>
    <w:rsid w:val="2B390691"/>
    <w:rsid w:val="2B3A939F"/>
    <w:rsid w:val="2B3E4ED6"/>
    <w:rsid w:val="2B3F3987"/>
    <w:rsid w:val="2B41A70F"/>
    <w:rsid w:val="2B457CDD"/>
    <w:rsid w:val="2B473182"/>
    <w:rsid w:val="2B4FBBF0"/>
    <w:rsid w:val="2B4FD4A6"/>
    <w:rsid w:val="2B5273AC"/>
    <w:rsid w:val="2B544E5C"/>
    <w:rsid w:val="2B5587ED"/>
    <w:rsid w:val="2B55CC95"/>
    <w:rsid w:val="2B57FCC3"/>
    <w:rsid w:val="2B5956C0"/>
    <w:rsid w:val="2B59BD3C"/>
    <w:rsid w:val="2B5A0B17"/>
    <w:rsid w:val="2B5DF155"/>
    <w:rsid w:val="2B651E61"/>
    <w:rsid w:val="2B66427E"/>
    <w:rsid w:val="2B6E24F9"/>
    <w:rsid w:val="2B6FE07F"/>
    <w:rsid w:val="2B71A8EB"/>
    <w:rsid w:val="2B74119B"/>
    <w:rsid w:val="2B74780B"/>
    <w:rsid w:val="2B76F208"/>
    <w:rsid w:val="2B78D9D5"/>
    <w:rsid w:val="2B7D1E1B"/>
    <w:rsid w:val="2B7D52CC"/>
    <w:rsid w:val="2B8681C1"/>
    <w:rsid w:val="2B87F42B"/>
    <w:rsid w:val="2B891175"/>
    <w:rsid w:val="2B8A13BE"/>
    <w:rsid w:val="2B8BC767"/>
    <w:rsid w:val="2B8F6D55"/>
    <w:rsid w:val="2B9306A2"/>
    <w:rsid w:val="2B945A90"/>
    <w:rsid w:val="2B9B46EE"/>
    <w:rsid w:val="2B9C4471"/>
    <w:rsid w:val="2BA073E5"/>
    <w:rsid w:val="2BA6C38E"/>
    <w:rsid w:val="2BB04189"/>
    <w:rsid w:val="2BB0F413"/>
    <w:rsid w:val="2BB124BF"/>
    <w:rsid w:val="2BB69CF5"/>
    <w:rsid w:val="2BB76E59"/>
    <w:rsid w:val="2BBA5B4E"/>
    <w:rsid w:val="2BBE534B"/>
    <w:rsid w:val="2BBFD5E4"/>
    <w:rsid w:val="2BC0C13F"/>
    <w:rsid w:val="2BC13BD1"/>
    <w:rsid w:val="2BCAE61D"/>
    <w:rsid w:val="2BCB1EDB"/>
    <w:rsid w:val="2BCD6E73"/>
    <w:rsid w:val="2BD18230"/>
    <w:rsid w:val="2BD2B6BE"/>
    <w:rsid w:val="2BD6FFFA"/>
    <w:rsid w:val="2BDE6D43"/>
    <w:rsid w:val="2BDFC405"/>
    <w:rsid w:val="2BE21B05"/>
    <w:rsid w:val="2BE30597"/>
    <w:rsid w:val="2BEB0C81"/>
    <w:rsid w:val="2BEBDA8B"/>
    <w:rsid w:val="2BEBE3A0"/>
    <w:rsid w:val="2BEC7FFE"/>
    <w:rsid w:val="2BED383C"/>
    <w:rsid w:val="2BF0CB7B"/>
    <w:rsid w:val="2BF6DB4B"/>
    <w:rsid w:val="2BF7466E"/>
    <w:rsid w:val="2BF7F24F"/>
    <w:rsid w:val="2BFB2F3D"/>
    <w:rsid w:val="2BFB5F03"/>
    <w:rsid w:val="2BFF5F34"/>
    <w:rsid w:val="2C00FC6C"/>
    <w:rsid w:val="2C02706D"/>
    <w:rsid w:val="2C05C631"/>
    <w:rsid w:val="2C0B2F1C"/>
    <w:rsid w:val="2C0EEED1"/>
    <w:rsid w:val="2C136376"/>
    <w:rsid w:val="2C16829F"/>
    <w:rsid w:val="2C176B85"/>
    <w:rsid w:val="2C1950E3"/>
    <w:rsid w:val="2C1BD7FC"/>
    <w:rsid w:val="2C1BFDFF"/>
    <w:rsid w:val="2C2179BC"/>
    <w:rsid w:val="2C22459F"/>
    <w:rsid w:val="2C251439"/>
    <w:rsid w:val="2C25D592"/>
    <w:rsid w:val="2C278D4F"/>
    <w:rsid w:val="2C27E832"/>
    <w:rsid w:val="2C2AE806"/>
    <w:rsid w:val="2C2FD5B7"/>
    <w:rsid w:val="2C2FFD10"/>
    <w:rsid w:val="2C340842"/>
    <w:rsid w:val="2C379767"/>
    <w:rsid w:val="2C3A202A"/>
    <w:rsid w:val="2C3B6799"/>
    <w:rsid w:val="2C3F4541"/>
    <w:rsid w:val="2C3FD77D"/>
    <w:rsid w:val="2C412257"/>
    <w:rsid w:val="2C434B77"/>
    <w:rsid w:val="2C469A7F"/>
    <w:rsid w:val="2C46D0EB"/>
    <w:rsid w:val="2C473F2E"/>
    <w:rsid w:val="2C47F7DF"/>
    <w:rsid w:val="2C4F3F98"/>
    <w:rsid w:val="2C523C4B"/>
    <w:rsid w:val="2C53E542"/>
    <w:rsid w:val="2C596BD6"/>
    <w:rsid w:val="2C5A0B82"/>
    <w:rsid w:val="2C5A58A6"/>
    <w:rsid w:val="2C5BBA07"/>
    <w:rsid w:val="2C5EDEDB"/>
    <w:rsid w:val="2C61B6C5"/>
    <w:rsid w:val="2C67E43F"/>
    <w:rsid w:val="2C68DDBD"/>
    <w:rsid w:val="2C6B89F1"/>
    <w:rsid w:val="2C6F2A1D"/>
    <w:rsid w:val="2C731DDB"/>
    <w:rsid w:val="2C7834A7"/>
    <w:rsid w:val="2C7AF531"/>
    <w:rsid w:val="2C7E31F1"/>
    <w:rsid w:val="2C891C97"/>
    <w:rsid w:val="2C8D9A65"/>
    <w:rsid w:val="2C9386E3"/>
    <w:rsid w:val="2C93C66F"/>
    <w:rsid w:val="2C950D36"/>
    <w:rsid w:val="2C9707F0"/>
    <w:rsid w:val="2C9D3DB9"/>
    <w:rsid w:val="2C9F3265"/>
    <w:rsid w:val="2CA75945"/>
    <w:rsid w:val="2CA79E68"/>
    <w:rsid w:val="2CA8821F"/>
    <w:rsid w:val="2CAB8C8C"/>
    <w:rsid w:val="2CABB3A7"/>
    <w:rsid w:val="2CADADB0"/>
    <w:rsid w:val="2CAE8CB6"/>
    <w:rsid w:val="2CAEA25D"/>
    <w:rsid w:val="2CB18278"/>
    <w:rsid w:val="2CB4307A"/>
    <w:rsid w:val="2CB81C4E"/>
    <w:rsid w:val="2CBB4552"/>
    <w:rsid w:val="2CBC659B"/>
    <w:rsid w:val="2CBF81FE"/>
    <w:rsid w:val="2CBFC448"/>
    <w:rsid w:val="2CC4CDDD"/>
    <w:rsid w:val="2CC8C907"/>
    <w:rsid w:val="2CCC62B4"/>
    <w:rsid w:val="2CD18266"/>
    <w:rsid w:val="2CD6208A"/>
    <w:rsid w:val="2CD79FD9"/>
    <w:rsid w:val="2CDABB31"/>
    <w:rsid w:val="2CDC811C"/>
    <w:rsid w:val="2CDD7594"/>
    <w:rsid w:val="2CDD992E"/>
    <w:rsid w:val="2CDF5EC2"/>
    <w:rsid w:val="2CE25556"/>
    <w:rsid w:val="2CE31937"/>
    <w:rsid w:val="2CE32F5F"/>
    <w:rsid w:val="2CE54E90"/>
    <w:rsid w:val="2CE6AE8E"/>
    <w:rsid w:val="2CE7AAFD"/>
    <w:rsid w:val="2CE7E043"/>
    <w:rsid w:val="2CE9E93C"/>
    <w:rsid w:val="2CEA5B66"/>
    <w:rsid w:val="2CEC2C7B"/>
    <w:rsid w:val="2CF00147"/>
    <w:rsid w:val="2CF1370A"/>
    <w:rsid w:val="2CF2E168"/>
    <w:rsid w:val="2CF6CCDE"/>
    <w:rsid w:val="2CF7A7C3"/>
    <w:rsid w:val="2CF7FC38"/>
    <w:rsid w:val="2CFA7193"/>
    <w:rsid w:val="2CFBE630"/>
    <w:rsid w:val="2CFC8E71"/>
    <w:rsid w:val="2CFDD92E"/>
    <w:rsid w:val="2CFEDD07"/>
    <w:rsid w:val="2D03C08E"/>
    <w:rsid w:val="2D04349A"/>
    <w:rsid w:val="2D07CE20"/>
    <w:rsid w:val="2D0888AF"/>
    <w:rsid w:val="2D0B0459"/>
    <w:rsid w:val="2D0BDEB5"/>
    <w:rsid w:val="2D123E27"/>
    <w:rsid w:val="2D154015"/>
    <w:rsid w:val="2D1551CC"/>
    <w:rsid w:val="2D245699"/>
    <w:rsid w:val="2D27CE16"/>
    <w:rsid w:val="2D315AA7"/>
    <w:rsid w:val="2D3638EB"/>
    <w:rsid w:val="2D3684C5"/>
    <w:rsid w:val="2D36DA69"/>
    <w:rsid w:val="2D3C80D5"/>
    <w:rsid w:val="2D44ADF1"/>
    <w:rsid w:val="2D4B0CC6"/>
    <w:rsid w:val="2D4CA66A"/>
    <w:rsid w:val="2D538B1E"/>
    <w:rsid w:val="2D56032C"/>
    <w:rsid w:val="2D5A638F"/>
    <w:rsid w:val="2D5E0DD5"/>
    <w:rsid w:val="2D5E5F39"/>
    <w:rsid w:val="2D5FA00A"/>
    <w:rsid w:val="2D617363"/>
    <w:rsid w:val="2D62141A"/>
    <w:rsid w:val="2D63E3A7"/>
    <w:rsid w:val="2D6B2B33"/>
    <w:rsid w:val="2D6C642B"/>
    <w:rsid w:val="2D6EE81D"/>
    <w:rsid w:val="2D7590FE"/>
    <w:rsid w:val="2D7A322E"/>
    <w:rsid w:val="2D7B14E5"/>
    <w:rsid w:val="2D82D2B2"/>
    <w:rsid w:val="2D89E9DA"/>
    <w:rsid w:val="2D8D58CB"/>
    <w:rsid w:val="2D912633"/>
    <w:rsid w:val="2D933166"/>
    <w:rsid w:val="2D938813"/>
    <w:rsid w:val="2D94C367"/>
    <w:rsid w:val="2D984631"/>
    <w:rsid w:val="2D99D204"/>
    <w:rsid w:val="2D9A284F"/>
    <w:rsid w:val="2D9F23D0"/>
    <w:rsid w:val="2D9F4030"/>
    <w:rsid w:val="2DA230DB"/>
    <w:rsid w:val="2DA9704C"/>
    <w:rsid w:val="2DAADE5D"/>
    <w:rsid w:val="2DABBEC1"/>
    <w:rsid w:val="2DADB848"/>
    <w:rsid w:val="2DAE75B0"/>
    <w:rsid w:val="2DAEE6F9"/>
    <w:rsid w:val="2DBCF5A3"/>
    <w:rsid w:val="2DC25EFA"/>
    <w:rsid w:val="2DC2E92F"/>
    <w:rsid w:val="2DC45A61"/>
    <w:rsid w:val="2DC46700"/>
    <w:rsid w:val="2DC62372"/>
    <w:rsid w:val="2DCCE888"/>
    <w:rsid w:val="2DCD3DBE"/>
    <w:rsid w:val="2DCD8636"/>
    <w:rsid w:val="2DD04B41"/>
    <w:rsid w:val="2DD17760"/>
    <w:rsid w:val="2DDE2C9C"/>
    <w:rsid w:val="2DDED96F"/>
    <w:rsid w:val="2DE386CC"/>
    <w:rsid w:val="2DE76E4A"/>
    <w:rsid w:val="2DEA909D"/>
    <w:rsid w:val="2DED9AF7"/>
    <w:rsid w:val="2DFF63F4"/>
    <w:rsid w:val="2E013DC7"/>
    <w:rsid w:val="2E03863E"/>
    <w:rsid w:val="2E054D08"/>
    <w:rsid w:val="2E06D43F"/>
    <w:rsid w:val="2E0870F5"/>
    <w:rsid w:val="2E0A7B1B"/>
    <w:rsid w:val="2E0DAC21"/>
    <w:rsid w:val="2E10D2CB"/>
    <w:rsid w:val="2E1351EF"/>
    <w:rsid w:val="2E142823"/>
    <w:rsid w:val="2E158B63"/>
    <w:rsid w:val="2E1AA530"/>
    <w:rsid w:val="2E1CBF5C"/>
    <w:rsid w:val="2E1D139F"/>
    <w:rsid w:val="2E1EC803"/>
    <w:rsid w:val="2E24E239"/>
    <w:rsid w:val="2E24FF75"/>
    <w:rsid w:val="2E259EEF"/>
    <w:rsid w:val="2E2CD98E"/>
    <w:rsid w:val="2E2DA8D5"/>
    <w:rsid w:val="2E2EC6D2"/>
    <w:rsid w:val="2E35450C"/>
    <w:rsid w:val="2E355CBE"/>
    <w:rsid w:val="2E372224"/>
    <w:rsid w:val="2E390055"/>
    <w:rsid w:val="2E3A135D"/>
    <w:rsid w:val="2E3C792E"/>
    <w:rsid w:val="2E3F9F40"/>
    <w:rsid w:val="2E4275DE"/>
    <w:rsid w:val="2E4A8D3B"/>
    <w:rsid w:val="2E4B6AD8"/>
    <w:rsid w:val="2E4E5B7A"/>
    <w:rsid w:val="2E50783F"/>
    <w:rsid w:val="2E53B5C4"/>
    <w:rsid w:val="2E5FE195"/>
    <w:rsid w:val="2E6327CA"/>
    <w:rsid w:val="2E636D5D"/>
    <w:rsid w:val="2E6A0D49"/>
    <w:rsid w:val="2E6EFA30"/>
    <w:rsid w:val="2E6FD09E"/>
    <w:rsid w:val="2E74768D"/>
    <w:rsid w:val="2E776538"/>
    <w:rsid w:val="2E7E601D"/>
    <w:rsid w:val="2E816382"/>
    <w:rsid w:val="2E817865"/>
    <w:rsid w:val="2E8A6B80"/>
    <w:rsid w:val="2E8DDFB0"/>
    <w:rsid w:val="2E8E281F"/>
    <w:rsid w:val="2E91A9D1"/>
    <w:rsid w:val="2E92EF7C"/>
    <w:rsid w:val="2E94BBA7"/>
    <w:rsid w:val="2E960B3B"/>
    <w:rsid w:val="2E9725EA"/>
    <w:rsid w:val="2E9816E7"/>
    <w:rsid w:val="2E9913F2"/>
    <w:rsid w:val="2E9ABA08"/>
    <w:rsid w:val="2E9C3B00"/>
    <w:rsid w:val="2E9DDD72"/>
    <w:rsid w:val="2E9E3B13"/>
    <w:rsid w:val="2EA25823"/>
    <w:rsid w:val="2EAD3234"/>
    <w:rsid w:val="2EADC9EE"/>
    <w:rsid w:val="2EAF49F6"/>
    <w:rsid w:val="2EB5DA31"/>
    <w:rsid w:val="2EBB8653"/>
    <w:rsid w:val="2EBCF60B"/>
    <w:rsid w:val="2EBF3DD1"/>
    <w:rsid w:val="2EC53C3D"/>
    <w:rsid w:val="2EC670C8"/>
    <w:rsid w:val="2EC85B63"/>
    <w:rsid w:val="2EC943DA"/>
    <w:rsid w:val="2ECCE176"/>
    <w:rsid w:val="2ED38BE3"/>
    <w:rsid w:val="2ED5E63B"/>
    <w:rsid w:val="2EDD4897"/>
    <w:rsid w:val="2EED0387"/>
    <w:rsid w:val="2EF7CF61"/>
    <w:rsid w:val="2EF80F52"/>
    <w:rsid w:val="2F0394C8"/>
    <w:rsid w:val="2F078BD0"/>
    <w:rsid w:val="2F09F970"/>
    <w:rsid w:val="2F0A9B72"/>
    <w:rsid w:val="2F0CF8ED"/>
    <w:rsid w:val="2F12E36A"/>
    <w:rsid w:val="2F154CA1"/>
    <w:rsid w:val="2F1D8A1E"/>
    <w:rsid w:val="2F1DEDCE"/>
    <w:rsid w:val="2F1E894A"/>
    <w:rsid w:val="2F22A4F9"/>
    <w:rsid w:val="2F2B7BAF"/>
    <w:rsid w:val="2F2CE3BF"/>
    <w:rsid w:val="2F305BE4"/>
    <w:rsid w:val="2F3432A7"/>
    <w:rsid w:val="2F35D96F"/>
    <w:rsid w:val="2F3D1521"/>
    <w:rsid w:val="2F3F182F"/>
    <w:rsid w:val="2F3FEF6E"/>
    <w:rsid w:val="2F4015DE"/>
    <w:rsid w:val="2F418A00"/>
    <w:rsid w:val="2F4B773F"/>
    <w:rsid w:val="2F4D18DE"/>
    <w:rsid w:val="2F4F3E5D"/>
    <w:rsid w:val="2F5588CC"/>
    <w:rsid w:val="2F58523A"/>
    <w:rsid w:val="2F5AB546"/>
    <w:rsid w:val="2F62FBF0"/>
    <w:rsid w:val="2F693B83"/>
    <w:rsid w:val="2F69E567"/>
    <w:rsid w:val="2F6D28D4"/>
    <w:rsid w:val="2F6D4A22"/>
    <w:rsid w:val="2F6EA93E"/>
    <w:rsid w:val="2F754496"/>
    <w:rsid w:val="2F7DB585"/>
    <w:rsid w:val="2F818BF6"/>
    <w:rsid w:val="2F82AD36"/>
    <w:rsid w:val="2F84AB8F"/>
    <w:rsid w:val="2F855832"/>
    <w:rsid w:val="2F899150"/>
    <w:rsid w:val="2F8A5537"/>
    <w:rsid w:val="2F8EE004"/>
    <w:rsid w:val="2F903920"/>
    <w:rsid w:val="2FA23565"/>
    <w:rsid w:val="2FA2CCE4"/>
    <w:rsid w:val="2FA584FC"/>
    <w:rsid w:val="2FA5F6D1"/>
    <w:rsid w:val="2FA9C912"/>
    <w:rsid w:val="2FAA064A"/>
    <w:rsid w:val="2FAFE48E"/>
    <w:rsid w:val="2FB03A06"/>
    <w:rsid w:val="2FB40DF6"/>
    <w:rsid w:val="2FB7781A"/>
    <w:rsid w:val="2FB9A941"/>
    <w:rsid w:val="2FB9ECFD"/>
    <w:rsid w:val="2FBE67EF"/>
    <w:rsid w:val="2FC006AB"/>
    <w:rsid w:val="2FC5C7BE"/>
    <w:rsid w:val="2FCA032E"/>
    <w:rsid w:val="2FCA732E"/>
    <w:rsid w:val="2FCB3309"/>
    <w:rsid w:val="2FCD1407"/>
    <w:rsid w:val="2FD30C83"/>
    <w:rsid w:val="2FD3EA62"/>
    <w:rsid w:val="2FD9A52F"/>
    <w:rsid w:val="2FDEAC50"/>
    <w:rsid w:val="2FDEC4BA"/>
    <w:rsid w:val="2FDFB6C6"/>
    <w:rsid w:val="2FE449BA"/>
    <w:rsid w:val="2FE6B7EC"/>
    <w:rsid w:val="2FEC7169"/>
    <w:rsid w:val="2FEF1D6E"/>
    <w:rsid w:val="2FF260B3"/>
    <w:rsid w:val="2FF4285A"/>
    <w:rsid w:val="2FF7A99C"/>
    <w:rsid w:val="2FF99B05"/>
    <w:rsid w:val="2FF9A600"/>
    <w:rsid w:val="2FFC229F"/>
    <w:rsid w:val="2FFE73ED"/>
    <w:rsid w:val="2FFF074F"/>
    <w:rsid w:val="3006C293"/>
    <w:rsid w:val="3009CE0A"/>
    <w:rsid w:val="300CEB7D"/>
    <w:rsid w:val="300DF298"/>
    <w:rsid w:val="3011B66A"/>
    <w:rsid w:val="301400FA"/>
    <w:rsid w:val="3017B08D"/>
    <w:rsid w:val="301CBBB5"/>
    <w:rsid w:val="301CF583"/>
    <w:rsid w:val="3020764B"/>
    <w:rsid w:val="3026BBA7"/>
    <w:rsid w:val="3028A5CB"/>
    <w:rsid w:val="302B280D"/>
    <w:rsid w:val="302CDC1E"/>
    <w:rsid w:val="302E3227"/>
    <w:rsid w:val="302EFBC8"/>
    <w:rsid w:val="3038281E"/>
    <w:rsid w:val="30439C9D"/>
    <w:rsid w:val="30449B1F"/>
    <w:rsid w:val="3045EDD3"/>
    <w:rsid w:val="3047E084"/>
    <w:rsid w:val="304F8E06"/>
    <w:rsid w:val="30526C89"/>
    <w:rsid w:val="305EE1D0"/>
    <w:rsid w:val="305FA89D"/>
    <w:rsid w:val="305FDD78"/>
    <w:rsid w:val="306050E8"/>
    <w:rsid w:val="3062CB67"/>
    <w:rsid w:val="3062CB88"/>
    <w:rsid w:val="306419B9"/>
    <w:rsid w:val="306A25FE"/>
    <w:rsid w:val="306E557B"/>
    <w:rsid w:val="307273FB"/>
    <w:rsid w:val="3072F9F0"/>
    <w:rsid w:val="3076777E"/>
    <w:rsid w:val="30776A46"/>
    <w:rsid w:val="30783D1D"/>
    <w:rsid w:val="307BCE54"/>
    <w:rsid w:val="307DD85D"/>
    <w:rsid w:val="307E41A4"/>
    <w:rsid w:val="307F7678"/>
    <w:rsid w:val="3082047E"/>
    <w:rsid w:val="308571F4"/>
    <w:rsid w:val="308AB67F"/>
    <w:rsid w:val="308E0245"/>
    <w:rsid w:val="308F74E0"/>
    <w:rsid w:val="309050E1"/>
    <w:rsid w:val="3090906D"/>
    <w:rsid w:val="3092387A"/>
    <w:rsid w:val="30925520"/>
    <w:rsid w:val="30927755"/>
    <w:rsid w:val="30986BB0"/>
    <w:rsid w:val="30999BCF"/>
    <w:rsid w:val="309B7AC2"/>
    <w:rsid w:val="30A50BFC"/>
    <w:rsid w:val="30A86B6C"/>
    <w:rsid w:val="30ACA7C7"/>
    <w:rsid w:val="30AD258A"/>
    <w:rsid w:val="30B0C147"/>
    <w:rsid w:val="30B568B0"/>
    <w:rsid w:val="30B71A41"/>
    <w:rsid w:val="30BA74D9"/>
    <w:rsid w:val="30BB3E0E"/>
    <w:rsid w:val="30BF3D4D"/>
    <w:rsid w:val="30BF8D77"/>
    <w:rsid w:val="30C42243"/>
    <w:rsid w:val="30CD2AEF"/>
    <w:rsid w:val="30CDC40F"/>
    <w:rsid w:val="30D5AF54"/>
    <w:rsid w:val="30D6ABEC"/>
    <w:rsid w:val="30DEE5F9"/>
    <w:rsid w:val="30DFDB00"/>
    <w:rsid w:val="30E23A04"/>
    <w:rsid w:val="30E248EB"/>
    <w:rsid w:val="30E354D6"/>
    <w:rsid w:val="30E3A97C"/>
    <w:rsid w:val="30E47941"/>
    <w:rsid w:val="30E9E305"/>
    <w:rsid w:val="30EE35F4"/>
    <w:rsid w:val="30F1BDC2"/>
    <w:rsid w:val="30F3B20E"/>
    <w:rsid w:val="30F70F25"/>
    <w:rsid w:val="30F99A9E"/>
    <w:rsid w:val="30FA2990"/>
    <w:rsid w:val="3100C22E"/>
    <w:rsid w:val="3103618E"/>
    <w:rsid w:val="3105FA7F"/>
    <w:rsid w:val="3106986B"/>
    <w:rsid w:val="3108ED37"/>
    <w:rsid w:val="3112B8F9"/>
    <w:rsid w:val="3115E068"/>
    <w:rsid w:val="3118C4AC"/>
    <w:rsid w:val="312295C5"/>
    <w:rsid w:val="3126B917"/>
    <w:rsid w:val="312A70F9"/>
    <w:rsid w:val="312A77D1"/>
    <w:rsid w:val="312A8E47"/>
    <w:rsid w:val="3135C842"/>
    <w:rsid w:val="313844CA"/>
    <w:rsid w:val="313AEDDC"/>
    <w:rsid w:val="313CED1F"/>
    <w:rsid w:val="314158EF"/>
    <w:rsid w:val="314430A0"/>
    <w:rsid w:val="3145A259"/>
    <w:rsid w:val="31484623"/>
    <w:rsid w:val="31513949"/>
    <w:rsid w:val="31519AA8"/>
    <w:rsid w:val="3151F0D1"/>
    <w:rsid w:val="3155B68F"/>
    <w:rsid w:val="3158177D"/>
    <w:rsid w:val="315ABA4A"/>
    <w:rsid w:val="315F2E87"/>
    <w:rsid w:val="3160D465"/>
    <w:rsid w:val="31677727"/>
    <w:rsid w:val="31699136"/>
    <w:rsid w:val="316A76C3"/>
    <w:rsid w:val="316EA77E"/>
    <w:rsid w:val="3170ACAB"/>
    <w:rsid w:val="3178055D"/>
    <w:rsid w:val="317B887C"/>
    <w:rsid w:val="317BDF24"/>
    <w:rsid w:val="317E97F7"/>
    <w:rsid w:val="318194ED"/>
    <w:rsid w:val="3182D619"/>
    <w:rsid w:val="3183ED4D"/>
    <w:rsid w:val="3183F604"/>
    <w:rsid w:val="3185B833"/>
    <w:rsid w:val="31874EF1"/>
    <w:rsid w:val="318814B7"/>
    <w:rsid w:val="31884701"/>
    <w:rsid w:val="3192908A"/>
    <w:rsid w:val="319357F3"/>
    <w:rsid w:val="3198A308"/>
    <w:rsid w:val="31994D2F"/>
    <w:rsid w:val="319A282D"/>
    <w:rsid w:val="319CD4A6"/>
    <w:rsid w:val="31A23DD7"/>
    <w:rsid w:val="31AC024C"/>
    <w:rsid w:val="31AFEF2B"/>
    <w:rsid w:val="31B556BD"/>
    <w:rsid w:val="31B8612D"/>
    <w:rsid w:val="31BB07BC"/>
    <w:rsid w:val="31BF4A43"/>
    <w:rsid w:val="31C31859"/>
    <w:rsid w:val="31C52A17"/>
    <w:rsid w:val="31C69FE1"/>
    <w:rsid w:val="31C70993"/>
    <w:rsid w:val="31C8B30A"/>
    <w:rsid w:val="31C8FF61"/>
    <w:rsid w:val="31CE2E6A"/>
    <w:rsid w:val="31D13D57"/>
    <w:rsid w:val="31D1E416"/>
    <w:rsid w:val="31D38674"/>
    <w:rsid w:val="31D4663B"/>
    <w:rsid w:val="31D6F251"/>
    <w:rsid w:val="31DB70E6"/>
    <w:rsid w:val="31E2F999"/>
    <w:rsid w:val="31E89088"/>
    <w:rsid w:val="31ECFC40"/>
    <w:rsid w:val="31EDF848"/>
    <w:rsid w:val="31F29B76"/>
    <w:rsid w:val="31F2A73E"/>
    <w:rsid w:val="31FABF21"/>
    <w:rsid w:val="31FBFC4F"/>
    <w:rsid w:val="3202DAF4"/>
    <w:rsid w:val="3202EC8C"/>
    <w:rsid w:val="320343F1"/>
    <w:rsid w:val="3203BA10"/>
    <w:rsid w:val="3206DA3E"/>
    <w:rsid w:val="320B286E"/>
    <w:rsid w:val="32106994"/>
    <w:rsid w:val="32112F4A"/>
    <w:rsid w:val="321235B2"/>
    <w:rsid w:val="3213ADEA"/>
    <w:rsid w:val="321531DD"/>
    <w:rsid w:val="3216C839"/>
    <w:rsid w:val="321ED1C0"/>
    <w:rsid w:val="3221A24B"/>
    <w:rsid w:val="32221D0B"/>
    <w:rsid w:val="32235F4A"/>
    <w:rsid w:val="322CA141"/>
    <w:rsid w:val="322F0A14"/>
    <w:rsid w:val="323E0AD9"/>
    <w:rsid w:val="324727C8"/>
    <w:rsid w:val="32476DE3"/>
    <w:rsid w:val="3247D8CD"/>
    <w:rsid w:val="3249E1F4"/>
    <w:rsid w:val="324E16F7"/>
    <w:rsid w:val="325B1F66"/>
    <w:rsid w:val="32610BBB"/>
    <w:rsid w:val="32619DE8"/>
    <w:rsid w:val="3263366D"/>
    <w:rsid w:val="32637BB0"/>
    <w:rsid w:val="3263DF1C"/>
    <w:rsid w:val="3267EC88"/>
    <w:rsid w:val="32690FAF"/>
    <w:rsid w:val="3269B34C"/>
    <w:rsid w:val="326D4CEB"/>
    <w:rsid w:val="32701EFC"/>
    <w:rsid w:val="3271ACBB"/>
    <w:rsid w:val="32743BE4"/>
    <w:rsid w:val="3279DEAE"/>
    <w:rsid w:val="327A7D60"/>
    <w:rsid w:val="327FD121"/>
    <w:rsid w:val="3284E9C5"/>
    <w:rsid w:val="32855600"/>
    <w:rsid w:val="32856F84"/>
    <w:rsid w:val="32872D4C"/>
    <w:rsid w:val="32874C5B"/>
    <w:rsid w:val="328A41C5"/>
    <w:rsid w:val="328DB044"/>
    <w:rsid w:val="328DF03F"/>
    <w:rsid w:val="328FE30E"/>
    <w:rsid w:val="329D7DDA"/>
    <w:rsid w:val="32A1AF6F"/>
    <w:rsid w:val="32A42E09"/>
    <w:rsid w:val="32A800CE"/>
    <w:rsid w:val="32B29D12"/>
    <w:rsid w:val="32B4B61A"/>
    <w:rsid w:val="32B6E2FA"/>
    <w:rsid w:val="32B832EE"/>
    <w:rsid w:val="32BC2F9B"/>
    <w:rsid w:val="32BE4BA1"/>
    <w:rsid w:val="32BF6CF3"/>
    <w:rsid w:val="32C108B8"/>
    <w:rsid w:val="32C31FD0"/>
    <w:rsid w:val="32C8B3CD"/>
    <w:rsid w:val="32CA0E48"/>
    <w:rsid w:val="32CB7839"/>
    <w:rsid w:val="32CE1F91"/>
    <w:rsid w:val="32D8A787"/>
    <w:rsid w:val="32D98997"/>
    <w:rsid w:val="32DAB7F5"/>
    <w:rsid w:val="32DC44AC"/>
    <w:rsid w:val="32E279B0"/>
    <w:rsid w:val="32E3916D"/>
    <w:rsid w:val="32EA297A"/>
    <w:rsid w:val="32EB22F7"/>
    <w:rsid w:val="32ED01A1"/>
    <w:rsid w:val="32EF2EF6"/>
    <w:rsid w:val="32F64104"/>
    <w:rsid w:val="32F77195"/>
    <w:rsid w:val="32F77BC4"/>
    <w:rsid w:val="32FD9E11"/>
    <w:rsid w:val="330004A9"/>
    <w:rsid w:val="33015D9D"/>
    <w:rsid w:val="3301966E"/>
    <w:rsid w:val="33033015"/>
    <w:rsid w:val="3307DA89"/>
    <w:rsid w:val="3313F0BC"/>
    <w:rsid w:val="33191EDE"/>
    <w:rsid w:val="331ACE02"/>
    <w:rsid w:val="33217EDB"/>
    <w:rsid w:val="33248177"/>
    <w:rsid w:val="332D7DB1"/>
    <w:rsid w:val="332EA019"/>
    <w:rsid w:val="33316B67"/>
    <w:rsid w:val="3335CF35"/>
    <w:rsid w:val="3335FED7"/>
    <w:rsid w:val="33368428"/>
    <w:rsid w:val="3336B091"/>
    <w:rsid w:val="333D9BCE"/>
    <w:rsid w:val="33402CC5"/>
    <w:rsid w:val="33428937"/>
    <w:rsid w:val="3347333F"/>
    <w:rsid w:val="33488915"/>
    <w:rsid w:val="334C5732"/>
    <w:rsid w:val="334F7648"/>
    <w:rsid w:val="335D0C9D"/>
    <w:rsid w:val="3362C4D0"/>
    <w:rsid w:val="3366F858"/>
    <w:rsid w:val="336736FF"/>
    <w:rsid w:val="336A07C0"/>
    <w:rsid w:val="336BDBDA"/>
    <w:rsid w:val="33703ADF"/>
    <w:rsid w:val="33719032"/>
    <w:rsid w:val="337287C5"/>
    <w:rsid w:val="337494DB"/>
    <w:rsid w:val="33764526"/>
    <w:rsid w:val="3377BB77"/>
    <w:rsid w:val="3379A9AD"/>
    <w:rsid w:val="337C70BD"/>
    <w:rsid w:val="337DA829"/>
    <w:rsid w:val="337EDA89"/>
    <w:rsid w:val="33849B1B"/>
    <w:rsid w:val="33869759"/>
    <w:rsid w:val="33870D21"/>
    <w:rsid w:val="33879B5A"/>
    <w:rsid w:val="338DD84A"/>
    <w:rsid w:val="3391122F"/>
    <w:rsid w:val="3393E216"/>
    <w:rsid w:val="33958F35"/>
    <w:rsid w:val="3395C3FD"/>
    <w:rsid w:val="339739AB"/>
    <w:rsid w:val="33995578"/>
    <w:rsid w:val="3399E6A9"/>
    <w:rsid w:val="33AAE940"/>
    <w:rsid w:val="33B5F8EE"/>
    <w:rsid w:val="33B76F5D"/>
    <w:rsid w:val="33B83829"/>
    <w:rsid w:val="33BEC751"/>
    <w:rsid w:val="33C0C3B8"/>
    <w:rsid w:val="33C6D9FF"/>
    <w:rsid w:val="33C9556B"/>
    <w:rsid w:val="33CB8A87"/>
    <w:rsid w:val="33D184BC"/>
    <w:rsid w:val="33D3C5AB"/>
    <w:rsid w:val="33D823B1"/>
    <w:rsid w:val="33DD8EB7"/>
    <w:rsid w:val="33E03A7A"/>
    <w:rsid w:val="33E2D97D"/>
    <w:rsid w:val="33E976A6"/>
    <w:rsid w:val="33EA1C2D"/>
    <w:rsid w:val="33EAB4B5"/>
    <w:rsid w:val="33EB1A2A"/>
    <w:rsid w:val="33EC9F41"/>
    <w:rsid w:val="33F3AC1B"/>
    <w:rsid w:val="33F493A4"/>
    <w:rsid w:val="33F4B1BE"/>
    <w:rsid w:val="33F6104B"/>
    <w:rsid w:val="33F90CC1"/>
    <w:rsid w:val="33F95345"/>
    <w:rsid w:val="33F99413"/>
    <w:rsid w:val="33FE80FF"/>
    <w:rsid w:val="33FEE189"/>
    <w:rsid w:val="3405F6FF"/>
    <w:rsid w:val="340998FF"/>
    <w:rsid w:val="3411F2FB"/>
    <w:rsid w:val="34157C32"/>
    <w:rsid w:val="34181D1B"/>
    <w:rsid w:val="3419564E"/>
    <w:rsid w:val="34196C43"/>
    <w:rsid w:val="342184CD"/>
    <w:rsid w:val="3427C74D"/>
    <w:rsid w:val="342A5318"/>
    <w:rsid w:val="342C55B9"/>
    <w:rsid w:val="342D5BF5"/>
    <w:rsid w:val="342FF7D4"/>
    <w:rsid w:val="3431B734"/>
    <w:rsid w:val="3433A233"/>
    <w:rsid w:val="3435FCDF"/>
    <w:rsid w:val="344080D6"/>
    <w:rsid w:val="3441F9A9"/>
    <w:rsid w:val="34476BED"/>
    <w:rsid w:val="344A3CF1"/>
    <w:rsid w:val="344CEDEB"/>
    <w:rsid w:val="344DF080"/>
    <w:rsid w:val="3453F163"/>
    <w:rsid w:val="34552384"/>
    <w:rsid w:val="34558309"/>
    <w:rsid w:val="34567C1E"/>
    <w:rsid w:val="345824E2"/>
    <w:rsid w:val="3459D412"/>
    <w:rsid w:val="345B7B77"/>
    <w:rsid w:val="345C6224"/>
    <w:rsid w:val="345D06CA"/>
    <w:rsid w:val="3462469D"/>
    <w:rsid w:val="3462AB3D"/>
    <w:rsid w:val="34669D0B"/>
    <w:rsid w:val="3466B834"/>
    <w:rsid w:val="346B041F"/>
    <w:rsid w:val="346C8FB7"/>
    <w:rsid w:val="346CB5C5"/>
    <w:rsid w:val="346DC628"/>
    <w:rsid w:val="3470A1AB"/>
    <w:rsid w:val="3476167D"/>
    <w:rsid w:val="3477FD54"/>
    <w:rsid w:val="3478CC8D"/>
    <w:rsid w:val="347C817E"/>
    <w:rsid w:val="347CAE64"/>
    <w:rsid w:val="34810D02"/>
    <w:rsid w:val="34824FB7"/>
    <w:rsid w:val="3483555E"/>
    <w:rsid w:val="3487BDDB"/>
    <w:rsid w:val="348B1A55"/>
    <w:rsid w:val="348D990E"/>
    <w:rsid w:val="3493227D"/>
    <w:rsid w:val="34952803"/>
    <w:rsid w:val="34A1A5E2"/>
    <w:rsid w:val="34A285DB"/>
    <w:rsid w:val="34A4FBF6"/>
    <w:rsid w:val="34A62F28"/>
    <w:rsid w:val="34A877B4"/>
    <w:rsid w:val="34ABCC18"/>
    <w:rsid w:val="34AC3F20"/>
    <w:rsid w:val="34AF238F"/>
    <w:rsid w:val="34B42509"/>
    <w:rsid w:val="34B8965D"/>
    <w:rsid w:val="34B9D311"/>
    <w:rsid w:val="34BC236E"/>
    <w:rsid w:val="34C37294"/>
    <w:rsid w:val="34C5D450"/>
    <w:rsid w:val="34C6B354"/>
    <w:rsid w:val="34CD6B50"/>
    <w:rsid w:val="34D6B110"/>
    <w:rsid w:val="34D851D7"/>
    <w:rsid w:val="34DA64DD"/>
    <w:rsid w:val="34E88ABE"/>
    <w:rsid w:val="34E893F6"/>
    <w:rsid w:val="34EB2A0A"/>
    <w:rsid w:val="34F15C4E"/>
    <w:rsid w:val="34F5BAD1"/>
    <w:rsid w:val="34FBD2F5"/>
    <w:rsid w:val="34FD1ED5"/>
    <w:rsid w:val="35009E4A"/>
    <w:rsid w:val="35010627"/>
    <w:rsid w:val="35019617"/>
    <w:rsid w:val="350B4F84"/>
    <w:rsid w:val="350B87A4"/>
    <w:rsid w:val="350CE767"/>
    <w:rsid w:val="3510353F"/>
    <w:rsid w:val="3512B739"/>
    <w:rsid w:val="35150751"/>
    <w:rsid w:val="3515D40D"/>
    <w:rsid w:val="35178D34"/>
    <w:rsid w:val="3520A86D"/>
    <w:rsid w:val="3526C41E"/>
    <w:rsid w:val="352FC0FB"/>
    <w:rsid w:val="3530A288"/>
    <w:rsid w:val="3532BDA8"/>
    <w:rsid w:val="353372F6"/>
    <w:rsid w:val="3533D5FD"/>
    <w:rsid w:val="35342498"/>
    <w:rsid w:val="3536313C"/>
    <w:rsid w:val="353759CA"/>
    <w:rsid w:val="353B1D06"/>
    <w:rsid w:val="354052EC"/>
    <w:rsid w:val="3546BBFB"/>
    <w:rsid w:val="3546C223"/>
    <w:rsid w:val="3548EB44"/>
    <w:rsid w:val="354ADB0B"/>
    <w:rsid w:val="354B024A"/>
    <w:rsid w:val="354DC4A4"/>
    <w:rsid w:val="354E9023"/>
    <w:rsid w:val="354F533C"/>
    <w:rsid w:val="354FE883"/>
    <w:rsid w:val="35511E30"/>
    <w:rsid w:val="3557379E"/>
    <w:rsid w:val="35574DEF"/>
    <w:rsid w:val="355C8B88"/>
    <w:rsid w:val="355CB824"/>
    <w:rsid w:val="355F8E14"/>
    <w:rsid w:val="35601DF2"/>
    <w:rsid w:val="35616CC3"/>
    <w:rsid w:val="3562F20A"/>
    <w:rsid w:val="356432AB"/>
    <w:rsid w:val="3565E50B"/>
    <w:rsid w:val="3566BCAC"/>
    <w:rsid w:val="356AF12C"/>
    <w:rsid w:val="356B1333"/>
    <w:rsid w:val="356CC217"/>
    <w:rsid w:val="356D3D03"/>
    <w:rsid w:val="356F4755"/>
    <w:rsid w:val="3576BC06"/>
    <w:rsid w:val="357847A7"/>
    <w:rsid w:val="357891B6"/>
    <w:rsid w:val="3579AF73"/>
    <w:rsid w:val="357AB39E"/>
    <w:rsid w:val="357E8E0C"/>
    <w:rsid w:val="35804F59"/>
    <w:rsid w:val="35822CEE"/>
    <w:rsid w:val="3584398D"/>
    <w:rsid w:val="358C1171"/>
    <w:rsid w:val="3594F9E4"/>
    <w:rsid w:val="35978819"/>
    <w:rsid w:val="3597A0D8"/>
    <w:rsid w:val="359BCB69"/>
    <w:rsid w:val="359C704E"/>
    <w:rsid w:val="359EBC63"/>
    <w:rsid w:val="359FFE7C"/>
    <w:rsid w:val="35A13FE4"/>
    <w:rsid w:val="35A15468"/>
    <w:rsid w:val="35A3A7B6"/>
    <w:rsid w:val="35A55EE5"/>
    <w:rsid w:val="35AA5FB3"/>
    <w:rsid w:val="35B06BE0"/>
    <w:rsid w:val="35B16AB8"/>
    <w:rsid w:val="35B50DF8"/>
    <w:rsid w:val="35B89461"/>
    <w:rsid w:val="35B9775B"/>
    <w:rsid w:val="35BF327C"/>
    <w:rsid w:val="35C120DC"/>
    <w:rsid w:val="35C1B1A9"/>
    <w:rsid w:val="35C4A630"/>
    <w:rsid w:val="35CB3A82"/>
    <w:rsid w:val="35CB717B"/>
    <w:rsid w:val="35CD96DD"/>
    <w:rsid w:val="35CE946B"/>
    <w:rsid w:val="35CF75F6"/>
    <w:rsid w:val="35D0D74B"/>
    <w:rsid w:val="35D8C635"/>
    <w:rsid w:val="35DCDF68"/>
    <w:rsid w:val="35DD1975"/>
    <w:rsid w:val="35E58360"/>
    <w:rsid w:val="35EA73F0"/>
    <w:rsid w:val="35EDD4D3"/>
    <w:rsid w:val="35EF59F8"/>
    <w:rsid w:val="35F13D17"/>
    <w:rsid w:val="35F46DCA"/>
    <w:rsid w:val="35F8DFF9"/>
    <w:rsid w:val="35FABD85"/>
    <w:rsid w:val="36003064"/>
    <w:rsid w:val="3600DCF3"/>
    <w:rsid w:val="36027DD9"/>
    <w:rsid w:val="36069252"/>
    <w:rsid w:val="3606ABF7"/>
    <w:rsid w:val="36097B29"/>
    <w:rsid w:val="360DD3CC"/>
    <w:rsid w:val="360E41EA"/>
    <w:rsid w:val="360F01C4"/>
    <w:rsid w:val="361286D6"/>
    <w:rsid w:val="3612CB17"/>
    <w:rsid w:val="36147648"/>
    <w:rsid w:val="36173C47"/>
    <w:rsid w:val="36176F5B"/>
    <w:rsid w:val="361EDD03"/>
    <w:rsid w:val="361F680E"/>
    <w:rsid w:val="3620747E"/>
    <w:rsid w:val="36222C18"/>
    <w:rsid w:val="36246005"/>
    <w:rsid w:val="36251BAE"/>
    <w:rsid w:val="36252535"/>
    <w:rsid w:val="36272768"/>
    <w:rsid w:val="3627BEEC"/>
    <w:rsid w:val="36281DD4"/>
    <w:rsid w:val="362C5BB6"/>
    <w:rsid w:val="362E19D6"/>
    <w:rsid w:val="362E93A1"/>
    <w:rsid w:val="363C016F"/>
    <w:rsid w:val="363D9F8F"/>
    <w:rsid w:val="363E2B4E"/>
    <w:rsid w:val="363E6D09"/>
    <w:rsid w:val="363F1341"/>
    <w:rsid w:val="3644DBD1"/>
    <w:rsid w:val="364627FE"/>
    <w:rsid w:val="3646CED0"/>
    <w:rsid w:val="36477FC5"/>
    <w:rsid w:val="364AF9A3"/>
    <w:rsid w:val="3650D073"/>
    <w:rsid w:val="365417EB"/>
    <w:rsid w:val="365C02F1"/>
    <w:rsid w:val="365E26C4"/>
    <w:rsid w:val="3660C510"/>
    <w:rsid w:val="3662D523"/>
    <w:rsid w:val="36637354"/>
    <w:rsid w:val="36667573"/>
    <w:rsid w:val="366AFF4F"/>
    <w:rsid w:val="366B7FE2"/>
    <w:rsid w:val="366CF568"/>
    <w:rsid w:val="366D5835"/>
    <w:rsid w:val="366DD45F"/>
    <w:rsid w:val="367136A9"/>
    <w:rsid w:val="3673CDEB"/>
    <w:rsid w:val="367745E4"/>
    <w:rsid w:val="367F6D03"/>
    <w:rsid w:val="3680AECA"/>
    <w:rsid w:val="3682CCB7"/>
    <w:rsid w:val="3687EA53"/>
    <w:rsid w:val="368891CF"/>
    <w:rsid w:val="3688B9C5"/>
    <w:rsid w:val="368D97A6"/>
    <w:rsid w:val="368EC597"/>
    <w:rsid w:val="36913C4E"/>
    <w:rsid w:val="36915FEA"/>
    <w:rsid w:val="36924964"/>
    <w:rsid w:val="3696C12D"/>
    <w:rsid w:val="369A67B7"/>
    <w:rsid w:val="36A5E1DE"/>
    <w:rsid w:val="36A74246"/>
    <w:rsid w:val="36A902FC"/>
    <w:rsid w:val="36AAFB01"/>
    <w:rsid w:val="36AB3AC4"/>
    <w:rsid w:val="36ACEF63"/>
    <w:rsid w:val="36B032E4"/>
    <w:rsid w:val="36B99E21"/>
    <w:rsid w:val="36BB9AAB"/>
    <w:rsid w:val="36C1B467"/>
    <w:rsid w:val="36C21C5C"/>
    <w:rsid w:val="36C70787"/>
    <w:rsid w:val="36C7D1E7"/>
    <w:rsid w:val="36C86776"/>
    <w:rsid w:val="36C90D40"/>
    <w:rsid w:val="36CB3744"/>
    <w:rsid w:val="36CC1E94"/>
    <w:rsid w:val="36CDA7FA"/>
    <w:rsid w:val="36CE8566"/>
    <w:rsid w:val="36D06806"/>
    <w:rsid w:val="36D5C778"/>
    <w:rsid w:val="36D6E342"/>
    <w:rsid w:val="36D72BB5"/>
    <w:rsid w:val="36DF4192"/>
    <w:rsid w:val="36DF5408"/>
    <w:rsid w:val="36E4E653"/>
    <w:rsid w:val="36E5756A"/>
    <w:rsid w:val="36E57643"/>
    <w:rsid w:val="36E833A6"/>
    <w:rsid w:val="36E9FA8F"/>
    <w:rsid w:val="36F0BFFD"/>
    <w:rsid w:val="36F5C3D5"/>
    <w:rsid w:val="36F6718D"/>
    <w:rsid w:val="36FCF6EC"/>
    <w:rsid w:val="36FD2B26"/>
    <w:rsid w:val="36FF2351"/>
    <w:rsid w:val="370653C1"/>
    <w:rsid w:val="3709081C"/>
    <w:rsid w:val="371886F7"/>
    <w:rsid w:val="3718D982"/>
    <w:rsid w:val="3719DD4D"/>
    <w:rsid w:val="372625A5"/>
    <w:rsid w:val="3726FB41"/>
    <w:rsid w:val="372AA9CA"/>
    <w:rsid w:val="372AFBE5"/>
    <w:rsid w:val="37326DC0"/>
    <w:rsid w:val="3735AF8F"/>
    <w:rsid w:val="373D80A2"/>
    <w:rsid w:val="373F6571"/>
    <w:rsid w:val="37430CD1"/>
    <w:rsid w:val="37478DF0"/>
    <w:rsid w:val="374794A7"/>
    <w:rsid w:val="374B2E35"/>
    <w:rsid w:val="374C0CA5"/>
    <w:rsid w:val="37515469"/>
    <w:rsid w:val="3752A495"/>
    <w:rsid w:val="3753746C"/>
    <w:rsid w:val="37581096"/>
    <w:rsid w:val="37592F7B"/>
    <w:rsid w:val="375B7F18"/>
    <w:rsid w:val="3761BE64"/>
    <w:rsid w:val="376327F0"/>
    <w:rsid w:val="3763A44D"/>
    <w:rsid w:val="3763FAA3"/>
    <w:rsid w:val="37656A41"/>
    <w:rsid w:val="37684481"/>
    <w:rsid w:val="376ECA15"/>
    <w:rsid w:val="37735283"/>
    <w:rsid w:val="377442F1"/>
    <w:rsid w:val="377B35A6"/>
    <w:rsid w:val="377DD862"/>
    <w:rsid w:val="37817985"/>
    <w:rsid w:val="37841415"/>
    <w:rsid w:val="3786196C"/>
    <w:rsid w:val="37865569"/>
    <w:rsid w:val="3787C31A"/>
    <w:rsid w:val="378B5815"/>
    <w:rsid w:val="378D3A4D"/>
    <w:rsid w:val="378EA70F"/>
    <w:rsid w:val="37920040"/>
    <w:rsid w:val="37941ED7"/>
    <w:rsid w:val="37975BCD"/>
    <w:rsid w:val="379A53EB"/>
    <w:rsid w:val="379C9FB6"/>
    <w:rsid w:val="379DDE05"/>
    <w:rsid w:val="379ED8E5"/>
    <w:rsid w:val="37A34BFF"/>
    <w:rsid w:val="37A7B53A"/>
    <w:rsid w:val="37ABA67D"/>
    <w:rsid w:val="37AFAD41"/>
    <w:rsid w:val="37B365F8"/>
    <w:rsid w:val="37B3E0F9"/>
    <w:rsid w:val="37B5AD61"/>
    <w:rsid w:val="37B6A060"/>
    <w:rsid w:val="37B6C77E"/>
    <w:rsid w:val="37BF86C2"/>
    <w:rsid w:val="37D265C7"/>
    <w:rsid w:val="37D400AD"/>
    <w:rsid w:val="37DA34AC"/>
    <w:rsid w:val="37DBAFBD"/>
    <w:rsid w:val="37DF9E49"/>
    <w:rsid w:val="37DFF0D6"/>
    <w:rsid w:val="37E09F88"/>
    <w:rsid w:val="37E10D93"/>
    <w:rsid w:val="37E94736"/>
    <w:rsid w:val="37EB9B5B"/>
    <w:rsid w:val="37EF15B1"/>
    <w:rsid w:val="37F40228"/>
    <w:rsid w:val="3800EF40"/>
    <w:rsid w:val="3801766F"/>
    <w:rsid w:val="380250B8"/>
    <w:rsid w:val="3803F55B"/>
    <w:rsid w:val="38070967"/>
    <w:rsid w:val="38072818"/>
    <w:rsid w:val="38094A66"/>
    <w:rsid w:val="380E4EDD"/>
    <w:rsid w:val="380F8576"/>
    <w:rsid w:val="3811AFD1"/>
    <w:rsid w:val="38135C67"/>
    <w:rsid w:val="381739A2"/>
    <w:rsid w:val="381856E5"/>
    <w:rsid w:val="381AE6CE"/>
    <w:rsid w:val="381BE0B6"/>
    <w:rsid w:val="381F9488"/>
    <w:rsid w:val="3820E5B3"/>
    <w:rsid w:val="38223927"/>
    <w:rsid w:val="38253037"/>
    <w:rsid w:val="3825368B"/>
    <w:rsid w:val="382C084B"/>
    <w:rsid w:val="382DE49F"/>
    <w:rsid w:val="38317760"/>
    <w:rsid w:val="38324F9C"/>
    <w:rsid w:val="383775E0"/>
    <w:rsid w:val="383F84A8"/>
    <w:rsid w:val="383FC978"/>
    <w:rsid w:val="384117E6"/>
    <w:rsid w:val="3842F61D"/>
    <w:rsid w:val="384761C8"/>
    <w:rsid w:val="384C42F6"/>
    <w:rsid w:val="384C76B6"/>
    <w:rsid w:val="385046D1"/>
    <w:rsid w:val="3850B816"/>
    <w:rsid w:val="38520989"/>
    <w:rsid w:val="385296A9"/>
    <w:rsid w:val="3853011D"/>
    <w:rsid w:val="385941FD"/>
    <w:rsid w:val="385B9D51"/>
    <w:rsid w:val="3861ED77"/>
    <w:rsid w:val="38634013"/>
    <w:rsid w:val="3863431A"/>
    <w:rsid w:val="3863B4A5"/>
    <w:rsid w:val="3865BC79"/>
    <w:rsid w:val="3865EF86"/>
    <w:rsid w:val="38697800"/>
    <w:rsid w:val="386D801B"/>
    <w:rsid w:val="38749019"/>
    <w:rsid w:val="38788CE2"/>
    <w:rsid w:val="387A9409"/>
    <w:rsid w:val="387B3E6A"/>
    <w:rsid w:val="387B7E4A"/>
    <w:rsid w:val="387C805D"/>
    <w:rsid w:val="387F324F"/>
    <w:rsid w:val="387FA9E2"/>
    <w:rsid w:val="38802AC4"/>
    <w:rsid w:val="388231A9"/>
    <w:rsid w:val="38830663"/>
    <w:rsid w:val="38879A76"/>
    <w:rsid w:val="388CF61D"/>
    <w:rsid w:val="3892B40C"/>
    <w:rsid w:val="3899440D"/>
    <w:rsid w:val="389B977A"/>
    <w:rsid w:val="38A0238E"/>
    <w:rsid w:val="38A524EA"/>
    <w:rsid w:val="38A9EDDF"/>
    <w:rsid w:val="38AB3802"/>
    <w:rsid w:val="38ACAC9D"/>
    <w:rsid w:val="38B49F1F"/>
    <w:rsid w:val="38BD6725"/>
    <w:rsid w:val="38BE8867"/>
    <w:rsid w:val="38C2DA72"/>
    <w:rsid w:val="38C6E20E"/>
    <w:rsid w:val="38C9604A"/>
    <w:rsid w:val="38D6CB15"/>
    <w:rsid w:val="38D7F2E3"/>
    <w:rsid w:val="38D9F5D7"/>
    <w:rsid w:val="38F48DF9"/>
    <w:rsid w:val="38F4C0F7"/>
    <w:rsid w:val="38F6F17F"/>
    <w:rsid w:val="38F86963"/>
    <w:rsid w:val="38FC21DC"/>
    <w:rsid w:val="3905E14D"/>
    <w:rsid w:val="39095959"/>
    <w:rsid w:val="390A845A"/>
    <w:rsid w:val="390EB6DB"/>
    <w:rsid w:val="39171CE7"/>
    <w:rsid w:val="3917C1BD"/>
    <w:rsid w:val="3917DF77"/>
    <w:rsid w:val="39218A53"/>
    <w:rsid w:val="39241A7B"/>
    <w:rsid w:val="392D4B89"/>
    <w:rsid w:val="392D56D0"/>
    <w:rsid w:val="3931E7EE"/>
    <w:rsid w:val="393437C7"/>
    <w:rsid w:val="393C1DFC"/>
    <w:rsid w:val="393F6522"/>
    <w:rsid w:val="39447F91"/>
    <w:rsid w:val="3948AA2D"/>
    <w:rsid w:val="39496FF8"/>
    <w:rsid w:val="394B57B9"/>
    <w:rsid w:val="394DCF0B"/>
    <w:rsid w:val="39516826"/>
    <w:rsid w:val="3954C9EC"/>
    <w:rsid w:val="3956B53E"/>
    <w:rsid w:val="3957845D"/>
    <w:rsid w:val="395C505E"/>
    <w:rsid w:val="395C982C"/>
    <w:rsid w:val="396041A2"/>
    <w:rsid w:val="39643428"/>
    <w:rsid w:val="3965CF7F"/>
    <w:rsid w:val="3965D91C"/>
    <w:rsid w:val="3966DE4B"/>
    <w:rsid w:val="3967466B"/>
    <w:rsid w:val="396BD338"/>
    <w:rsid w:val="396C0F4B"/>
    <w:rsid w:val="3971A860"/>
    <w:rsid w:val="39722651"/>
    <w:rsid w:val="39728E4F"/>
    <w:rsid w:val="39744F83"/>
    <w:rsid w:val="39763839"/>
    <w:rsid w:val="39790648"/>
    <w:rsid w:val="3982982D"/>
    <w:rsid w:val="39846DFB"/>
    <w:rsid w:val="3988ED8A"/>
    <w:rsid w:val="398BD759"/>
    <w:rsid w:val="398CBDC3"/>
    <w:rsid w:val="398E258B"/>
    <w:rsid w:val="3992FC9E"/>
    <w:rsid w:val="3996B46B"/>
    <w:rsid w:val="39987AAC"/>
    <w:rsid w:val="39998E3E"/>
    <w:rsid w:val="399A80E7"/>
    <w:rsid w:val="399CEF97"/>
    <w:rsid w:val="39A2485D"/>
    <w:rsid w:val="39A5E8E1"/>
    <w:rsid w:val="39AC1962"/>
    <w:rsid w:val="39ACA032"/>
    <w:rsid w:val="39ACBEC8"/>
    <w:rsid w:val="39B8A38A"/>
    <w:rsid w:val="39B9A521"/>
    <w:rsid w:val="39BC10C0"/>
    <w:rsid w:val="39CB0EC8"/>
    <w:rsid w:val="39CB6843"/>
    <w:rsid w:val="39CCB033"/>
    <w:rsid w:val="39D0E83D"/>
    <w:rsid w:val="39D15E02"/>
    <w:rsid w:val="39D2D422"/>
    <w:rsid w:val="39D39087"/>
    <w:rsid w:val="39D8EE6B"/>
    <w:rsid w:val="39DA1FD7"/>
    <w:rsid w:val="39E215A4"/>
    <w:rsid w:val="39E315CF"/>
    <w:rsid w:val="39E4F2E7"/>
    <w:rsid w:val="39E5CC37"/>
    <w:rsid w:val="39E966C6"/>
    <w:rsid w:val="39EC75BA"/>
    <w:rsid w:val="39EC973B"/>
    <w:rsid w:val="39F6416D"/>
    <w:rsid w:val="39F9F739"/>
    <w:rsid w:val="39FA4705"/>
    <w:rsid w:val="39FBB33C"/>
    <w:rsid w:val="39FD8F6C"/>
    <w:rsid w:val="39FF8E1B"/>
    <w:rsid w:val="3A0091D5"/>
    <w:rsid w:val="3A0236F1"/>
    <w:rsid w:val="3A03531F"/>
    <w:rsid w:val="3A06EFFA"/>
    <w:rsid w:val="3A0A49AE"/>
    <w:rsid w:val="3A0DF5BE"/>
    <w:rsid w:val="3A124CEC"/>
    <w:rsid w:val="3A14E952"/>
    <w:rsid w:val="3A15984E"/>
    <w:rsid w:val="3A1E6737"/>
    <w:rsid w:val="3A247464"/>
    <w:rsid w:val="3A262704"/>
    <w:rsid w:val="3A2782D2"/>
    <w:rsid w:val="3A28C94D"/>
    <w:rsid w:val="3A2E833F"/>
    <w:rsid w:val="3A2F8FE1"/>
    <w:rsid w:val="3A32DE13"/>
    <w:rsid w:val="3A353C22"/>
    <w:rsid w:val="3A393A81"/>
    <w:rsid w:val="3A3B025B"/>
    <w:rsid w:val="3A3B8AD2"/>
    <w:rsid w:val="3A3BACF3"/>
    <w:rsid w:val="3A3BC94B"/>
    <w:rsid w:val="3A42E6DE"/>
    <w:rsid w:val="3A4674D6"/>
    <w:rsid w:val="3A46CA88"/>
    <w:rsid w:val="3A498124"/>
    <w:rsid w:val="3A499780"/>
    <w:rsid w:val="3A4AE42C"/>
    <w:rsid w:val="3A4AEA93"/>
    <w:rsid w:val="3A4B15B6"/>
    <w:rsid w:val="3A4D671C"/>
    <w:rsid w:val="3A5463D1"/>
    <w:rsid w:val="3A560003"/>
    <w:rsid w:val="3A5AC040"/>
    <w:rsid w:val="3A5D858B"/>
    <w:rsid w:val="3A627433"/>
    <w:rsid w:val="3A6B3979"/>
    <w:rsid w:val="3A6C1767"/>
    <w:rsid w:val="3A6DA9A3"/>
    <w:rsid w:val="3A79399F"/>
    <w:rsid w:val="3A7B18D4"/>
    <w:rsid w:val="3A7BFC4A"/>
    <w:rsid w:val="3A7C10CF"/>
    <w:rsid w:val="3A82684F"/>
    <w:rsid w:val="3A8514D5"/>
    <w:rsid w:val="3A8F03A9"/>
    <w:rsid w:val="3A8F10EB"/>
    <w:rsid w:val="3A9342ED"/>
    <w:rsid w:val="3A9B6D7D"/>
    <w:rsid w:val="3A9D9C83"/>
    <w:rsid w:val="3A9E5D16"/>
    <w:rsid w:val="3AA68AA8"/>
    <w:rsid w:val="3AA801FD"/>
    <w:rsid w:val="3AAC6098"/>
    <w:rsid w:val="3AAFFA73"/>
    <w:rsid w:val="3AB0FB4D"/>
    <w:rsid w:val="3AB50839"/>
    <w:rsid w:val="3AB7733A"/>
    <w:rsid w:val="3ABAACC4"/>
    <w:rsid w:val="3AC10F26"/>
    <w:rsid w:val="3AC28D0E"/>
    <w:rsid w:val="3AC32D92"/>
    <w:rsid w:val="3ACA1E61"/>
    <w:rsid w:val="3ACF9360"/>
    <w:rsid w:val="3AD2CCB3"/>
    <w:rsid w:val="3ADA9B17"/>
    <w:rsid w:val="3ADD851D"/>
    <w:rsid w:val="3AE4BB75"/>
    <w:rsid w:val="3AE5384C"/>
    <w:rsid w:val="3AE555D3"/>
    <w:rsid w:val="3AE66AB3"/>
    <w:rsid w:val="3AEAACEE"/>
    <w:rsid w:val="3AF230A3"/>
    <w:rsid w:val="3AF66D8E"/>
    <w:rsid w:val="3AFAAF55"/>
    <w:rsid w:val="3AFC3657"/>
    <w:rsid w:val="3AFF6C0F"/>
    <w:rsid w:val="3B053509"/>
    <w:rsid w:val="3B09643A"/>
    <w:rsid w:val="3B0F0AEF"/>
    <w:rsid w:val="3B138382"/>
    <w:rsid w:val="3B173FE7"/>
    <w:rsid w:val="3B191FA9"/>
    <w:rsid w:val="3B1ADA65"/>
    <w:rsid w:val="3B1C763E"/>
    <w:rsid w:val="3B1C7E7F"/>
    <w:rsid w:val="3B1CDB3B"/>
    <w:rsid w:val="3B1DB369"/>
    <w:rsid w:val="3B204FED"/>
    <w:rsid w:val="3B20E992"/>
    <w:rsid w:val="3B215F2E"/>
    <w:rsid w:val="3B3248F9"/>
    <w:rsid w:val="3B3346AE"/>
    <w:rsid w:val="3B33C93B"/>
    <w:rsid w:val="3B3419F4"/>
    <w:rsid w:val="3B3985BD"/>
    <w:rsid w:val="3B3A4727"/>
    <w:rsid w:val="3B44BEA1"/>
    <w:rsid w:val="3B46AC6D"/>
    <w:rsid w:val="3B4A4712"/>
    <w:rsid w:val="3B4AB28E"/>
    <w:rsid w:val="3B542AEE"/>
    <w:rsid w:val="3B55E6B5"/>
    <w:rsid w:val="3B5756E6"/>
    <w:rsid w:val="3B5E7B3D"/>
    <w:rsid w:val="3B5FA7E1"/>
    <w:rsid w:val="3B66C02F"/>
    <w:rsid w:val="3B69AE5E"/>
    <w:rsid w:val="3B69DC48"/>
    <w:rsid w:val="3B728147"/>
    <w:rsid w:val="3B75760A"/>
    <w:rsid w:val="3B77480C"/>
    <w:rsid w:val="3B7C7EEC"/>
    <w:rsid w:val="3B7EBAE2"/>
    <w:rsid w:val="3B7ECE63"/>
    <w:rsid w:val="3B848D3F"/>
    <w:rsid w:val="3B8583D8"/>
    <w:rsid w:val="3B8754C0"/>
    <w:rsid w:val="3B8A0E52"/>
    <w:rsid w:val="3B8A5689"/>
    <w:rsid w:val="3B8FDD62"/>
    <w:rsid w:val="3B906332"/>
    <w:rsid w:val="3B93FD6D"/>
    <w:rsid w:val="3B94089E"/>
    <w:rsid w:val="3B965F10"/>
    <w:rsid w:val="3B96C516"/>
    <w:rsid w:val="3B96FAB3"/>
    <w:rsid w:val="3B986253"/>
    <w:rsid w:val="3B9F4918"/>
    <w:rsid w:val="3B9FEBCB"/>
    <w:rsid w:val="3BA1106D"/>
    <w:rsid w:val="3BA1A9FC"/>
    <w:rsid w:val="3BA373CC"/>
    <w:rsid w:val="3BA495A0"/>
    <w:rsid w:val="3BA4FC36"/>
    <w:rsid w:val="3BA8CC4C"/>
    <w:rsid w:val="3BAA49E2"/>
    <w:rsid w:val="3BAA671A"/>
    <w:rsid w:val="3BAEF26D"/>
    <w:rsid w:val="3BAFCA64"/>
    <w:rsid w:val="3BB2666E"/>
    <w:rsid w:val="3BB6534E"/>
    <w:rsid w:val="3BB7D3E9"/>
    <w:rsid w:val="3BBE20BF"/>
    <w:rsid w:val="3BC23733"/>
    <w:rsid w:val="3BC6DD62"/>
    <w:rsid w:val="3BCF0F3A"/>
    <w:rsid w:val="3BD05C4D"/>
    <w:rsid w:val="3BD37FA7"/>
    <w:rsid w:val="3BDA749A"/>
    <w:rsid w:val="3BDB120F"/>
    <w:rsid w:val="3BDF3AF9"/>
    <w:rsid w:val="3BE007EA"/>
    <w:rsid w:val="3BE0A71C"/>
    <w:rsid w:val="3BE55134"/>
    <w:rsid w:val="3BE5CD9F"/>
    <w:rsid w:val="3BE5F3BA"/>
    <w:rsid w:val="3BE64C53"/>
    <w:rsid w:val="3BE9EF22"/>
    <w:rsid w:val="3BEAD188"/>
    <w:rsid w:val="3BF37272"/>
    <w:rsid w:val="3BFE4FD6"/>
    <w:rsid w:val="3C024457"/>
    <w:rsid w:val="3C024FD3"/>
    <w:rsid w:val="3C030FCE"/>
    <w:rsid w:val="3C0A62B5"/>
    <w:rsid w:val="3C0A8B4D"/>
    <w:rsid w:val="3C0E9D74"/>
    <w:rsid w:val="3C1079C6"/>
    <w:rsid w:val="3C121251"/>
    <w:rsid w:val="3C1508B9"/>
    <w:rsid w:val="3C17BE66"/>
    <w:rsid w:val="3C188C46"/>
    <w:rsid w:val="3C1957AE"/>
    <w:rsid w:val="3C1B557E"/>
    <w:rsid w:val="3C22530E"/>
    <w:rsid w:val="3C2393BB"/>
    <w:rsid w:val="3C277C91"/>
    <w:rsid w:val="3C27FEFC"/>
    <w:rsid w:val="3C29BB1B"/>
    <w:rsid w:val="3C2A7B7A"/>
    <w:rsid w:val="3C2D207F"/>
    <w:rsid w:val="3C2EBFF9"/>
    <w:rsid w:val="3C333B3D"/>
    <w:rsid w:val="3C35275C"/>
    <w:rsid w:val="3C37D893"/>
    <w:rsid w:val="3C38306D"/>
    <w:rsid w:val="3C396E35"/>
    <w:rsid w:val="3C3AB2BB"/>
    <w:rsid w:val="3C3ECA8F"/>
    <w:rsid w:val="3C4494B2"/>
    <w:rsid w:val="3C44AE53"/>
    <w:rsid w:val="3C46EAC6"/>
    <w:rsid w:val="3C513A86"/>
    <w:rsid w:val="3C51D224"/>
    <w:rsid w:val="3C5247A6"/>
    <w:rsid w:val="3C5589F1"/>
    <w:rsid w:val="3C58987D"/>
    <w:rsid w:val="3C5994EB"/>
    <w:rsid w:val="3C5AB20B"/>
    <w:rsid w:val="3C5ABC05"/>
    <w:rsid w:val="3C61CE43"/>
    <w:rsid w:val="3C62A909"/>
    <w:rsid w:val="3C6C2BC8"/>
    <w:rsid w:val="3C712955"/>
    <w:rsid w:val="3C72C6C5"/>
    <w:rsid w:val="3C77B4F7"/>
    <w:rsid w:val="3C78740A"/>
    <w:rsid w:val="3C7BE11E"/>
    <w:rsid w:val="3C7BFB8E"/>
    <w:rsid w:val="3C835FDF"/>
    <w:rsid w:val="3C85876D"/>
    <w:rsid w:val="3C865CA2"/>
    <w:rsid w:val="3C88EFD7"/>
    <w:rsid w:val="3C92134C"/>
    <w:rsid w:val="3C92C897"/>
    <w:rsid w:val="3C93F16C"/>
    <w:rsid w:val="3C9853FA"/>
    <w:rsid w:val="3C9F25AA"/>
    <w:rsid w:val="3C9FF858"/>
    <w:rsid w:val="3CA04092"/>
    <w:rsid w:val="3CA0DE17"/>
    <w:rsid w:val="3CA5F29D"/>
    <w:rsid w:val="3CA68D92"/>
    <w:rsid w:val="3CA882A3"/>
    <w:rsid w:val="3CA964D1"/>
    <w:rsid w:val="3CA997F1"/>
    <w:rsid w:val="3CAA88AF"/>
    <w:rsid w:val="3CB0F593"/>
    <w:rsid w:val="3CB23DE7"/>
    <w:rsid w:val="3CBCBD5B"/>
    <w:rsid w:val="3CBEF5DC"/>
    <w:rsid w:val="3CBF7758"/>
    <w:rsid w:val="3CBF99A3"/>
    <w:rsid w:val="3CC60C64"/>
    <w:rsid w:val="3CC70272"/>
    <w:rsid w:val="3CC87F77"/>
    <w:rsid w:val="3CC8A5C5"/>
    <w:rsid w:val="3CC8AECC"/>
    <w:rsid w:val="3CC97DD1"/>
    <w:rsid w:val="3CCA37B1"/>
    <w:rsid w:val="3CCD28EB"/>
    <w:rsid w:val="3CCF29BD"/>
    <w:rsid w:val="3CCF3686"/>
    <w:rsid w:val="3CD29DC1"/>
    <w:rsid w:val="3CD2E167"/>
    <w:rsid w:val="3CD414E6"/>
    <w:rsid w:val="3CD4AC80"/>
    <w:rsid w:val="3CD668FE"/>
    <w:rsid w:val="3CD72C26"/>
    <w:rsid w:val="3CDC0BF9"/>
    <w:rsid w:val="3CDC1287"/>
    <w:rsid w:val="3CDFA4D1"/>
    <w:rsid w:val="3CE05288"/>
    <w:rsid w:val="3CE0DBD1"/>
    <w:rsid w:val="3CE2530A"/>
    <w:rsid w:val="3CE7C1F7"/>
    <w:rsid w:val="3CEAA324"/>
    <w:rsid w:val="3CF1215F"/>
    <w:rsid w:val="3CF2CD1E"/>
    <w:rsid w:val="3CF3A80C"/>
    <w:rsid w:val="3CFBAD4D"/>
    <w:rsid w:val="3CFF9B95"/>
    <w:rsid w:val="3D00D517"/>
    <w:rsid w:val="3D0135A9"/>
    <w:rsid w:val="3D076CFC"/>
    <w:rsid w:val="3D0F0588"/>
    <w:rsid w:val="3D1ADC52"/>
    <w:rsid w:val="3D1D0C1D"/>
    <w:rsid w:val="3D1F00D4"/>
    <w:rsid w:val="3D235D99"/>
    <w:rsid w:val="3D23C1DD"/>
    <w:rsid w:val="3D263E37"/>
    <w:rsid w:val="3D292AF4"/>
    <w:rsid w:val="3D29F2FE"/>
    <w:rsid w:val="3D2EA29B"/>
    <w:rsid w:val="3D2F8A3D"/>
    <w:rsid w:val="3D2FD675"/>
    <w:rsid w:val="3D321392"/>
    <w:rsid w:val="3D34D998"/>
    <w:rsid w:val="3D364A0A"/>
    <w:rsid w:val="3D3EF99A"/>
    <w:rsid w:val="3D4652FA"/>
    <w:rsid w:val="3D46EB94"/>
    <w:rsid w:val="3D499AE2"/>
    <w:rsid w:val="3D4A54F2"/>
    <w:rsid w:val="3D4B74F5"/>
    <w:rsid w:val="3D4D62DD"/>
    <w:rsid w:val="3D4F9A4B"/>
    <w:rsid w:val="3D503551"/>
    <w:rsid w:val="3D504F49"/>
    <w:rsid w:val="3D524D6F"/>
    <w:rsid w:val="3D545851"/>
    <w:rsid w:val="3D58EA89"/>
    <w:rsid w:val="3D5BB7C5"/>
    <w:rsid w:val="3D61F3D3"/>
    <w:rsid w:val="3D6451E4"/>
    <w:rsid w:val="3D67A873"/>
    <w:rsid w:val="3D67D46D"/>
    <w:rsid w:val="3D67E881"/>
    <w:rsid w:val="3D6959CF"/>
    <w:rsid w:val="3D6FE17B"/>
    <w:rsid w:val="3D70F20F"/>
    <w:rsid w:val="3D71F685"/>
    <w:rsid w:val="3D72D2C2"/>
    <w:rsid w:val="3D740146"/>
    <w:rsid w:val="3D79A9CF"/>
    <w:rsid w:val="3D7EF74B"/>
    <w:rsid w:val="3D81190A"/>
    <w:rsid w:val="3D818FE9"/>
    <w:rsid w:val="3D81F253"/>
    <w:rsid w:val="3D83C357"/>
    <w:rsid w:val="3D876E79"/>
    <w:rsid w:val="3D9119D0"/>
    <w:rsid w:val="3D9282B8"/>
    <w:rsid w:val="3D953976"/>
    <w:rsid w:val="3D968FBF"/>
    <w:rsid w:val="3D98A095"/>
    <w:rsid w:val="3D9BBF31"/>
    <w:rsid w:val="3D9E1455"/>
    <w:rsid w:val="3D9E50B2"/>
    <w:rsid w:val="3DA97A6C"/>
    <w:rsid w:val="3DAC7116"/>
    <w:rsid w:val="3DAFE0FD"/>
    <w:rsid w:val="3DB86590"/>
    <w:rsid w:val="3DB957E9"/>
    <w:rsid w:val="3DB99C66"/>
    <w:rsid w:val="3DBB2C78"/>
    <w:rsid w:val="3DC15646"/>
    <w:rsid w:val="3DC22858"/>
    <w:rsid w:val="3DC65760"/>
    <w:rsid w:val="3DC6A465"/>
    <w:rsid w:val="3DCD07DC"/>
    <w:rsid w:val="3DD9E48C"/>
    <w:rsid w:val="3DE47C5B"/>
    <w:rsid w:val="3DE8F0A6"/>
    <w:rsid w:val="3DEC7E16"/>
    <w:rsid w:val="3DEDD9D4"/>
    <w:rsid w:val="3DF562D2"/>
    <w:rsid w:val="3DFA3A4C"/>
    <w:rsid w:val="3E008A65"/>
    <w:rsid w:val="3E015900"/>
    <w:rsid w:val="3E023782"/>
    <w:rsid w:val="3E05F6C4"/>
    <w:rsid w:val="3E060743"/>
    <w:rsid w:val="3E07DFDD"/>
    <w:rsid w:val="3E094CC3"/>
    <w:rsid w:val="3E0BFDD0"/>
    <w:rsid w:val="3E0CE711"/>
    <w:rsid w:val="3E0DF778"/>
    <w:rsid w:val="3E14145A"/>
    <w:rsid w:val="3E157D95"/>
    <w:rsid w:val="3E16E55D"/>
    <w:rsid w:val="3E174D7E"/>
    <w:rsid w:val="3E17A47E"/>
    <w:rsid w:val="3E19ED6C"/>
    <w:rsid w:val="3E1BC98C"/>
    <w:rsid w:val="3E1C64B1"/>
    <w:rsid w:val="3E260864"/>
    <w:rsid w:val="3E271B74"/>
    <w:rsid w:val="3E272E77"/>
    <w:rsid w:val="3E29C2E7"/>
    <w:rsid w:val="3E29F6E3"/>
    <w:rsid w:val="3E2B1A4D"/>
    <w:rsid w:val="3E2F8FB9"/>
    <w:rsid w:val="3E2FA8D0"/>
    <w:rsid w:val="3E35B963"/>
    <w:rsid w:val="3E367C3A"/>
    <w:rsid w:val="3E39B597"/>
    <w:rsid w:val="3E3A4512"/>
    <w:rsid w:val="3E3C3F03"/>
    <w:rsid w:val="3E3C64BE"/>
    <w:rsid w:val="3E3DDD82"/>
    <w:rsid w:val="3E3E8EB1"/>
    <w:rsid w:val="3E4848BB"/>
    <w:rsid w:val="3E4C534F"/>
    <w:rsid w:val="3E4DB016"/>
    <w:rsid w:val="3E4F40A6"/>
    <w:rsid w:val="3E539AE8"/>
    <w:rsid w:val="3E559F46"/>
    <w:rsid w:val="3E597FEB"/>
    <w:rsid w:val="3E5C1F77"/>
    <w:rsid w:val="3E5FE380"/>
    <w:rsid w:val="3E600A74"/>
    <w:rsid w:val="3E61D321"/>
    <w:rsid w:val="3E69F1BA"/>
    <w:rsid w:val="3E6F8B6F"/>
    <w:rsid w:val="3E6FF02C"/>
    <w:rsid w:val="3E732A0C"/>
    <w:rsid w:val="3E7B1EA6"/>
    <w:rsid w:val="3E7C0150"/>
    <w:rsid w:val="3E7C40E5"/>
    <w:rsid w:val="3E7C9AAA"/>
    <w:rsid w:val="3E82ED7F"/>
    <w:rsid w:val="3E8C2A75"/>
    <w:rsid w:val="3E8FCDFC"/>
    <w:rsid w:val="3E93EC25"/>
    <w:rsid w:val="3E97DF94"/>
    <w:rsid w:val="3E9AE56F"/>
    <w:rsid w:val="3EA14F7B"/>
    <w:rsid w:val="3EA7425B"/>
    <w:rsid w:val="3EAF6636"/>
    <w:rsid w:val="3EB0B71F"/>
    <w:rsid w:val="3EB6FA07"/>
    <w:rsid w:val="3EB9AFD5"/>
    <w:rsid w:val="3EBDB258"/>
    <w:rsid w:val="3EBF6D86"/>
    <w:rsid w:val="3EC47281"/>
    <w:rsid w:val="3ECC08A1"/>
    <w:rsid w:val="3ED826C3"/>
    <w:rsid w:val="3EDB21E1"/>
    <w:rsid w:val="3EDE107F"/>
    <w:rsid w:val="3EE6C580"/>
    <w:rsid w:val="3EE73D4A"/>
    <w:rsid w:val="3EE7C3AD"/>
    <w:rsid w:val="3EE927B4"/>
    <w:rsid w:val="3EEA704B"/>
    <w:rsid w:val="3EED7545"/>
    <w:rsid w:val="3EF2205D"/>
    <w:rsid w:val="3EF39BD0"/>
    <w:rsid w:val="3EF62A8E"/>
    <w:rsid w:val="3EF72436"/>
    <w:rsid w:val="3EF7CFFB"/>
    <w:rsid w:val="3EF8F45F"/>
    <w:rsid w:val="3EF93EB1"/>
    <w:rsid w:val="3EFA63D4"/>
    <w:rsid w:val="3EFC15CB"/>
    <w:rsid w:val="3EFDC3C9"/>
    <w:rsid w:val="3F00D548"/>
    <w:rsid w:val="3F0595A4"/>
    <w:rsid w:val="3F095160"/>
    <w:rsid w:val="3F096339"/>
    <w:rsid w:val="3F113A57"/>
    <w:rsid w:val="3F11BAEA"/>
    <w:rsid w:val="3F12CE6B"/>
    <w:rsid w:val="3F153F28"/>
    <w:rsid w:val="3F1ABDA4"/>
    <w:rsid w:val="3F1D323E"/>
    <w:rsid w:val="3F1E2392"/>
    <w:rsid w:val="3F1F6262"/>
    <w:rsid w:val="3F20AFE9"/>
    <w:rsid w:val="3F20D987"/>
    <w:rsid w:val="3F22781F"/>
    <w:rsid w:val="3F2309B8"/>
    <w:rsid w:val="3F26AA4E"/>
    <w:rsid w:val="3F2E3FB3"/>
    <w:rsid w:val="3F33766B"/>
    <w:rsid w:val="3F373BC9"/>
    <w:rsid w:val="3F3CB797"/>
    <w:rsid w:val="3F3EA06F"/>
    <w:rsid w:val="3F3FDE9A"/>
    <w:rsid w:val="3F40DD9F"/>
    <w:rsid w:val="3F413934"/>
    <w:rsid w:val="3F41A769"/>
    <w:rsid w:val="3F4281A4"/>
    <w:rsid w:val="3F43FD20"/>
    <w:rsid w:val="3F46D644"/>
    <w:rsid w:val="3F48AEC5"/>
    <w:rsid w:val="3F4B6DAA"/>
    <w:rsid w:val="3F57C394"/>
    <w:rsid w:val="3F5862A0"/>
    <w:rsid w:val="3F5B217F"/>
    <w:rsid w:val="3F5BD267"/>
    <w:rsid w:val="3F6A5E4C"/>
    <w:rsid w:val="3F6E9B35"/>
    <w:rsid w:val="3F72D68E"/>
    <w:rsid w:val="3F79D128"/>
    <w:rsid w:val="3F7D5516"/>
    <w:rsid w:val="3F7D8B8B"/>
    <w:rsid w:val="3F7F25FC"/>
    <w:rsid w:val="3F80FD86"/>
    <w:rsid w:val="3F81B970"/>
    <w:rsid w:val="3F838D9A"/>
    <w:rsid w:val="3F851DD8"/>
    <w:rsid w:val="3F873071"/>
    <w:rsid w:val="3F8D268D"/>
    <w:rsid w:val="3F8E6AA0"/>
    <w:rsid w:val="3F8FF39F"/>
    <w:rsid w:val="3F913926"/>
    <w:rsid w:val="3FA60758"/>
    <w:rsid w:val="3FA6F873"/>
    <w:rsid w:val="3FAF6F24"/>
    <w:rsid w:val="3FB104B4"/>
    <w:rsid w:val="3FB34F94"/>
    <w:rsid w:val="3FB3A176"/>
    <w:rsid w:val="3FB4CD92"/>
    <w:rsid w:val="3FB7A1F5"/>
    <w:rsid w:val="3FC0A7D7"/>
    <w:rsid w:val="3FC54973"/>
    <w:rsid w:val="3FC609FB"/>
    <w:rsid w:val="3FC774AE"/>
    <w:rsid w:val="3FC8452A"/>
    <w:rsid w:val="3FCB0696"/>
    <w:rsid w:val="3FD02FCA"/>
    <w:rsid w:val="3FD2489C"/>
    <w:rsid w:val="3FDBECC4"/>
    <w:rsid w:val="3FE1FC88"/>
    <w:rsid w:val="3FE2BCE1"/>
    <w:rsid w:val="3FE2F616"/>
    <w:rsid w:val="3FF32A9F"/>
    <w:rsid w:val="3FFB7EB9"/>
    <w:rsid w:val="3FFBC842"/>
    <w:rsid w:val="3FFD697A"/>
    <w:rsid w:val="3FFD9DAE"/>
    <w:rsid w:val="3FFDF50E"/>
    <w:rsid w:val="3FFF61B9"/>
    <w:rsid w:val="3FFF7163"/>
    <w:rsid w:val="400A6FB6"/>
    <w:rsid w:val="400BE056"/>
    <w:rsid w:val="400BFB94"/>
    <w:rsid w:val="400C97A2"/>
    <w:rsid w:val="40147B8F"/>
    <w:rsid w:val="40252E16"/>
    <w:rsid w:val="4025B60B"/>
    <w:rsid w:val="40260224"/>
    <w:rsid w:val="402A8ADC"/>
    <w:rsid w:val="402B2F8B"/>
    <w:rsid w:val="402DB2B6"/>
    <w:rsid w:val="402F638F"/>
    <w:rsid w:val="4030C4BC"/>
    <w:rsid w:val="4039D133"/>
    <w:rsid w:val="403C5529"/>
    <w:rsid w:val="403D9B04"/>
    <w:rsid w:val="403FAD91"/>
    <w:rsid w:val="403FEC94"/>
    <w:rsid w:val="40530D38"/>
    <w:rsid w:val="40558930"/>
    <w:rsid w:val="4056C7E2"/>
    <w:rsid w:val="4059EE6B"/>
    <w:rsid w:val="40630900"/>
    <w:rsid w:val="406424B7"/>
    <w:rsid w:val="406969A2"/>
    <w:rsid w:val="406A9D3E"/>
    <w:rsid w:val="406B2669"/>
    <w:rsid w:val="406BF555"/>
    <w:rsid w:val="40706A23"/>
    <w:rsid w:val="40732108"/>
    <w:rsid w:val="407495F0"/>
    <w:rsid w:val="4076DE53"/>
    <w:rsid w:val="40773AD2"/>
    <w:rsid w:val="40782E73"/>
    <w:rsid w:val="407B62FE"/>
    <w:rsid w:val="4080D61F"/>
    <w:rsid w:val="40829224"/>
    <w:rsid w:val="4085487D"/>
    <w:rsid w:val="4087933B"/>
    <w:rsid w:val="4087D6CC"/>
    <w:rsid w:val="4087F020"/>
    <w:rsid w:val="4088F8F9"/>
    <w:rsid w:val="4091F64D"/>
    <w:rsid w:val="40936C20"/>
    <w:rsid w:val="4094915E"/>
    <w:rsid w:val="4094B7AE"/>
    <w:rsid w:val="40A75A6E"/>
    <w:rsid w:val="40ACB127"/>
    <w:rsid w:val="40ADBAA9"/>
    <w:rsid w:val="40AF9E23"/>
    <w:rsid w:val="40B24839"/>
    <w:rsid w:val="40B2C6CD"/>
    <w:rsid w:val="40B59980"/>
    <w:rsid w:val="40B8CFBE"/>
    <w:rsid w:val="40B9BDAB"/>
    <w:rsid w:val="40BF3E78"/>
    <w:rsid w:val="40C05A23"/>
    <w:rsid w:val="40C1944B"/>
    <w:rsid w:val="40C5884A"/>
    <w:rsid w:val="40CB619A"/>
    <w:rsid w:val="40CD8B46"/>
    <w:rsid w:val="40D2F8A6"/>
    <w:rsid w:val="40D35D45"/>
    <w:rsid w:val="40D54F6B"/>
    <w:rsid w:val="40D648A2"/>
    <w:rsid w:val="40DA9FDA"/>
    <w:rsid w:val="40DFD32D"/>
    <w:rsid w:val="40E0DFEB"/>
    <w:rsid w:val="40EAD561"/>
    <w:rsid w:val="40ED7881"/>
    <w:rsid w:val="40EDD93B"/>
    <w:rsid w:val="40EDF6CC"/>
    <w:rsid w:val="40F07CEA"/>
    <w:rsid w:val="40F0D7D2"/>
    <w:rsid w:val="40F10744"/>
    <w:rsid w:val="40F122D9"/>
    <w:rsid w:val="40F4F93C"/>
    <w:rsid w:val="40F6B050"/>
    <w:rsid w:val="40F709DF"/>
    <w:rsid w:val="40FA9FDC"/>
    <w:rsid w:val="41022ECC"/>
    <w:rsid w:val="41024E6E"/>
    <w:rsid w:val="4105DD4C"/>
    <w:rsid w:val="410BC964"/>
    <w:rsid w:val="410C6CCA"/>
    <w:rsid w:val="410DCC67"/>
    <w:rsid w:val="4111FDEA"/>
    <w:rsid w:val="4115103C"/>
    <w:rsid w:val="4117DB6F"/>
    <w:rsid w:val="4125ADF3"/>
    <w:rsid w:val="41260BC5"/>
    <w:rsid w:val="4126E77A"/>
    <w:rsid w:val="41275CAE"/>
    <w:rsid w:val="41282E68"/>
    <w:rsid w:val="412A034B"/>
    <w:rsid w:val="412B8470"/>
    <w:rsid w:val="412F3DC5"/>
    <w:rsid w:val="413698CB"/>
    <w:rsid w:val="4138D510"/>
    <w:rsid w:val="413977D2"/>
    <w:rsid w:val="413DB14C"/>
    <w:rsid w:val="413DF407"/>
    <w:rsid w:val="414973CB"/>
    <w:rsid w:val="4149B0BC"/>
    <w:rsid w:val="414C0DE5"/>
    <w:rsid w:val="41517F49"/>
    <w:rsid w:val="415CF2FA"/>
    <w:rsid w:val="41691FC7"/>
    <w:rsid w:val="416F8B5E"/>
    <w:rsid w:val="41742952"/>
    <w:rsid w:val="417497AE"/>
    <w:rsid w:val="41765635"/>
    <w:rsid w:val="41766CB7"/>
    <w:rsid w:val="4176AF54"/>
    <w:rsid w:val="41787E77"/>
    <w:rsid w:val="417A0BA4"/>
    <w:rsid w:val="417E30B8"/>
    <w:rsid w:val="4180A9B9"/>
    <w:rsid w:val="4181C04D"/>
    <w:rsid w:val="4186A6DF"/>
    <w:rsid w:val="418900D7"/>
    <w:rsid w:val="418A52D5"/>
    <w:rsid w:val="418C5393"/>
    <w:rsid w:val="41907ED6"/>
    <w:rsid w:val="4194BD19"/>
    <w:rsid w:val="419AB1A1"/>
    <w:rsid w:val="419B5B1F"/>
    <w:rsid w:val="419E7594"/>
    <w:rsid w:val="41A1FE86"/>
    <w:rsid w:val="41A537DC"/>
    <w:rsid w:val="41AB0F11"/>
    <w:rsid w:val="41ABDCF0"/>
    <w:rsid w:val="41AFD7B8"/>
    <w:rsid w:val="41B36A30"/>
    <w:rsid w:val="41B72C26"/>
    <w:rsid w:val="41B8EFF4"/>
    <w:rsid w:val="41B9625B"/>
    <w:rsid w:val="41BA0921"/>
    <w:rsid w:val="41C2417A"/>
    <w:rsid w:val="41C9A5A0"/>
    <w:rsid w:val="41CFD8D1"/>
    <w:rsid w:val="41D4FE7E"/>
    <w:rsid w:val="41D76E9F"/>
    <w:rsid w:val="41D7D708"/>
    <w:rsid w:val="41D9F10C"/>
    <w:rsid w:val="41DDDB93"/>
    <w:rsid w:val="41DDF7CA"/>
    <w:rsid w:val="41DFC0C1"/>
    <w:rsid w:val="41E11031"/>
    <w:rsid w:val="41E58800"/>
    <w:rsid w:val="41E7373A"/>
    <w:rsid w:val="41E78127"/>
    <w:rsid w:val="41E97FF2"/>
    <w:rsid w:val="41EF8943"/>
    <w:rsid w:val="41F04512"/>
    <w:rsid w:val="41F0CA16"/>
    <w:rsid w:val="41F1776C"/>
    <w:rsid w:val="41F5A953"/>
    <w:rsid w:val="41F6ABE9"/>
    <w:rsid w:val="41FB3800"/>
    <w:rsid w:val="41FB5AAD"/>
    <w:rsid w:val="41FCEBBB"/>
    <w:rsid w:val="41FDE7FA"/>
    <w:rsid w:val="42019A67"/>
    <w:rsid w:val="4206B371"/>
    <w:rsid w:val="4216F466"/>
    <w:rsid w:val="4229C6BA"/>
    <w:rsid w:val="422A8583"/>
    <w:rsid w:val="422B7A08"/>
    <w:rsid w:val="422DA296"/>
    <w:rsid w:val="422E6883"/>
    <w:rsid w:val="422EDCCA"/>
    <w:rsid w:val="42367AA0"/>
    <w:rsid w:val="423913B5"/>
    <w:rsid w:val="423936CF"/>
    <w:rsid w:val="424034B7"/>
    <w:rsid w:val="42450519"/>
    <w:rsid w:val="42464F5F"/>
    <w:rsid w:val="424FF076"/>
    <w:rsid w:val="42543971"/>
    <w:rsid w:val="425B4465"/>
    <w:rsid w:val="425C88A7"/>
    <w:rsid w:val="426091DF"/>
    <w:rsid w:val="4265C90F"/>
    <w:rsid w:val="4269ED16"/>
    <w:rsid w:val="426A56CE"/>
    <w:rsid w:val="426E0862"/>
    <w:rsid w:val="42735FB4"/>
    <w:rsid w:val="427A8DBC"/>
    <w:rsid w:val="427D6D7F"/>
    <w:rsid w:val="4285C45F"/>
    <w:rsid w:val="42864480"/>
    <w:rsid w:val="428864A6"/>
    <w:rsid w:val="428B1A37"/>
    <w:rsid w:val="428D355F"/>
    <w:rsid w:val="428DC68C"/>
    <w:rsid w:val="42948CC3"/>
    <w:rsid w:val="4295301E"/>
    <w:rsid w:val="4295E945"/>
    <w:rsid w:val="429A33D1"/>
    <w:rsid w:val="429BF3F9"/>
    <w:rsid w:val="429C3E71"/>
    <w:rsid w:val="429F135B"/>
    <w:rsid w:val="42A0D3DC"/>
    <w:rsid w:val="42AE33DE"/>
    <w:rsid w:val="42B2479B"/>
    <w:rsid w:val="42BBCF05"/>
    <w:rsid w:val="42C30E93"/>
    <w:rsid w:val="42D597CF"/>
    <w:rsid w:val="42D59F4F"/>
    <w:rsid w:val="42D69F65"/>
    <w:rsid w:val="42D8359B"/>
    <w:rsid w:val="42E36FF5"/>
    <w:rsid w:val="42E6E90F"/>
    <w:rsid w:val="42F1C7EE"/>
    <w:rsid w:val="42F58F8D"/>
    <w:rsid w:val="42F61EBD"/>
    <w:rsid w:val="42FD426F"/>
    <w:rsid w:val="42FFC086"/>
    <w:rsid w:val="42FFFB37"/>
    <w:rsid w:val="4304F34D"/>
    <w:rsid w:val="4305DE95"/>
    <w:rsid w:val="43084A5E"/>
    <w:rsid w:val="43091689"/>
    <w:rsid w:val="430B46B4"/>
    <w:rsid w:val="430E0689"/>
    <w:rsid w:val="4315FE1A"/>
    <w:rsid w:val="4317FAEB"/>
    <w:rsid w:val="431E8B25"/>
    <w:rsid w:val="43224B6E"/>
    <w:rsid w:val="4325D39A"/>
    <w:rsid w:val="432CEC3E"/>
    <w:rsid w:val="43301996"/>
    <w:rsid w:val="4338A725"/>
    <w:rsid w:val="4338DD1D"/>
    <w:rsid w:val="433CDB71"/>
    <w:rsid w:val="433DFEA2"/>
    <w:rsid w:val="43434B4B"/>
    <w:rsid w:val="4343701A"/>
    <w:rsid w:val="43447046"/>
    <w:rsid w:val="4345F895"/>
    <w:rsid w:val="43468A60"/>
    <w:rsid w:val="43470728"/>
    <w:rsid w:val="434BD52E"/>
    <w:rsid w:val="43510632"/>
    <w:rsid w:val="4352B07C"/>
    <w:rsid w:val="4352D6EE"/>
    <w:rsid w:val="4359670E"/>
    <w:rsid w:val="43672238"/>
    <w:rsid w:val="43673EA3"/>
    <w:rsid w:val="43696374"/>
    <w:rsid w:val="436DD534"/>
    <w:rsid w:val="436DFAD5"/>
    <w:rsid w:val="436F21E5"/>
    <w:rsid w:val="4376231A"/>
    <w:rsid w:val="4376616F"/>
    <w:rsid w:val="437C93CB"/>
    <w:rsid w:val="437CA6DA"/>
    <w:rsid w:val="43819C74"/>
    <w:rsid w:val="438577AC"/>
    <w:rsid w:val="4386B66A"/>
    <w:rsid w:val="438BA495"/>
    <w:rsid w:val="438CF457"/>
    <w:rsid w:val="438D0454"/>
    <w:rsid w:val="439520CA"/>
    <w:rsid w:val="43962E03"/>
    <w:rsid w:val="43992C53"/>
    <w:rsid w:val="43992DF4"/>
    <w:rsid w:val="4399A830"/>
    <w:rsid w:val="4399D465"/>
    <w:rsid w:val="4399EB8C"/>
    <w:rsid w:val="439D80A8"/>
    <w:rsid w:val="439E24FB"/>
    <w:rsid w:val="439FFEFC"/>
    <w:rsid w:val="43A06491"/>
    <w:rsid w:val="43A14C11"/>
    <w:rsid w:val="43A84560"/>
    <w:rsid w:val="43AA26F7"/>
    <w:rsid w:val="43B3C6B5"/>
    <w:rsid w:val="43B8D240"/>
    <w:rsid w:val="43BFE1C1"/>
    <w:rsid w:val="43C132DC"/>
    <w:rsid w:val="43C2F798"/>
    <w:rsid w:val="43C79CA8"/>
    <w:rsid w:val="43C97FE0"/>
    <w:rsid w:val="43CB3646"/>
    <w:rsid w:val="43CD1921"/>
    <w:rsid w:val="43D3D18E"/>
    <w:rsid w:val="43D5DA39"/>
    <w:rsid w:val="43D815A5"/>
    <w:rsid w:val="43D88B07"/>
    <w:rsid w:val="43DAB854"/>
    <w:rsid w:val="43E26883"/>
    <w:rsid w:val="43EA480E"/>
    <w:rsid w:val="43F34E53"/>
    <w:rsid w:val="43F53CE7"/>
    <w:rsid w:val="43F58150"/>
    <w:rsid w:val="43F6B1B7"/>
    <w:rsid w:val="43FBBC52"/>
    <w:rsid w:val="4401EF86"/>
    <w:rsid w:val="44054B9B"/>
    <w:rsid w:val="44054E06"/>
    <w:rsid w:val="4408246D"/>
    <w:rsid w:val="44087B7B"/>
    <w:rsid w:val="4408FBB6"/>
    <w:rsid w:val="440940F0"/>
    <w:rsid w:val="440EA084"/>
    <w:rsid w:val="440EC5A4"/>
    <w:rsid w:val="4412BFDD"/>
    <w:rsid w:val="4413600F"/>
    <w:rsid w:val="441BE289"/>
    <w:rsid w:val="441F449E"/>
    <w:rsid w:val="442231CA"/>
    <w:rsid w:val="44291AC5"/>
    <w:rsid w:val="442DA304"/>
    <w:rsid w:val="4434686C"/>
    <w:rsid w:val="44390B36"/>
    <w:rsid w:val="443BFC68"/>
    <w:rsid w:val="4441B3F6"/>
    <w:rsid w:val="44488FAA"/>
    <w:rsid w:val="444E0110"/>
    <w:rsid w:val="444E89C8"/>
    <w:rsid w:val="445463A6"/>
    <w:rsid w:val="445567DE"/>
    <w:rsid w:val="4459F09F"/>
    <w:rsid w:val="445AD1E1"/>
    <w:rsid w:val="445C9982"/>
    <w:rsid w:val="445F6784"/>
    <w:rsid w:val="4461558B"/>
    <w:rsid w:val="4461BBDB"/>
    <w:rsid w:val="4462F8E7"/>
    <w:rsid w:val="446303F4"/>
    <w:rsid w:val="44634E9E"/>
    <w:rsid w:val="446453F5"/>
    <w:rsid w:val="4466BAFE"/>
    <w:rsid w:val="4466D955"/>
    <w:rsid w:val="44718B27"/>
    <w:rsid w:val="4473FD39"/>
    <w:rsid w:val="4479728E"/>
    <w:rsid w:val="447A6679"/>
    <w:rsid w:val="44834AF5"/>
    <w:rsid w:val="4484D036"/>
    <w:rsid w:val="4484F10B"/>
    <w:rsid w:val="448B4DA6"/>
    <w:rsid w:val="448FB29B"/>
    <w:rsid w:val="448FBB72"/>
    <w:rsid w:val="4490615E"/>
    <w:rsid w:val="4497B4F5"/>
    <w:rsid w:val="449DE7D6"/>
    <w:rsid w:val="449E7A0F"/>
    <w:rsid w:val="44A11F6D"/>
    <w:rsid w:val="44A1AD53"/>
    <w:rsid w:val="44A2D595"/>
    <w:rsid w:val="44A33906"/>
    <w:rsid w:val="44A79698"/>
    <w:rsid w:val="44AA4DBD"/>
    <w:rsid w:val="44AC417E"/>
    <w:rsid w:val="44AFD2C9"/>
    <w:rsid w:val="44B20DA8"/>
    <w:rsid w:val="44B36660"/>
    <w:rsid w:val="44B52E65"/>
    <w:rsid w:val="44B9FBFD"/>
    <w:rsid w:val="44BBEB26"/>
    <w:rsid w:val="44BE9E10"/>
    <w:rsid w:val="44BF7F80"/>
    <w:rsid w:val="44C2B834"/>
    <w:rsid w:val="44C42E1B"/>
    <w:rsid w:val="44CA4672"/>
    <w:rsid w:val="44CEC84C"/>
    <w:rsid w:val="44D02AC7"/>
    <w:rsid w:val="44D19FE1"/>
    <w:rsid w:val="44D407E4"/>
    <w:rsid w:val="44D86F53"/>
    <w:rsid w:val="44DBB431"/>
    <w:rsid w:val="44DC961B"/>
    <w:rsid w:val="44DE56F3"/>
    <w:rsid w:val="44E03250"/>
    <w:rsid w:val="44E1930D"/>
    <w:rsid w:val="44E61231"/>
    <w:rsid w:val="44E8F794"/>
    <w:rsid w:val="44F72FF5"/>
    <w:rsid w:val="44F76D81"/>
    <w:rsid w:val="44FCB37E"/>
    <w:rsid w:val="450083B5"/>
    <w:rsid w:val="45025480"/>
    <w:rsid w:val="4502752D"/>
    <w:rsid w:val="45080D88"/>
    <w:rsid w:val="45095718"/>
    <w:rsid w:val="45120B05"/>
    <w:rsid w:val="451871BA"/>
    <w:rsid w:val="451A326A"/>
    <w:rsid w:val="4520A751"/>
    <w:rsid w:val="452C6C97"/>
    <w:rsid w:val="45301B9C"/>
    <w:rsid w:val="45303D91"/>
    <w:rsid w:val="45342095"/>
    <w:rsid w:val="45413474"/>
    <w:rsid w:val="45431D68"/>
    <w:rsid w:val="45433B4A"/>
    <w:rsid w:val="4544156B"/>
    <w:rsid w:val="45481D23"/>
    <w:rsid w:val="454900E7"/>
    <w:rsid w:val="454E1295"/>
    <w:rsid w:val="45505512"/>
    <w:rsid w:val="455272B2"/>
    <w:rsid w:val="4552D2A8"/>
    <w:rsid w:val="45537CF6"/>
    <w:rsid w:val="4553A096"/>
    <w:rsid w:val="4553D99A"/>
    <w:rsid w:val="455A1E04"/>
    <w:rsid w:val="455C6247"/>
    <w:rsid w:val="455E45E8"/>
    <w:rsid w:val="455EC61B"/>
    <w:rsid w:val="4561F4CA"/>
    <w:rsid w:val="45641356"/>
    <w:rsid w:val="45696BF8"/>
    <w:rsid w:val="456E35D5"/>
    <w:rsid w:val="45707674"/>
    <w:rsid w:val="45764100"/>
    <w:rsid w:val="457C1D46"/>
    <w:rsid w:val="457FF8A5"/>
    <w:rsid w:val="45848730"/>
    <w:rsid w:val="4589D0C6"/>
    <w:rsid w:val="458CCB85"/>
    <w:rsid w:val="4592301A"/>
    <w:rsid w:val="45951D24"/>
    <w:rsid w:val="45999315"/>
    <w:rsid w:val="459A5D6B"/>
    <w:rsid w:val="45A31B1E"/>
    <w:rsid w:val="45A5376D"/>
    <w:rsid w:val="45A54274"/>
    <w:rsid w:val="45A6DC60"/>
    <w:rsid w:val="45AD33D0"/>
    <w:rsid w:val="45B24265"/>
    <w:rsid w:val="45B28A04"/>
    <w:rsid w:val="45B2AF02"/>
    <w:rsid w:val="45B33AFA"/>
    <w:rsid w:val="45B77CB1"/>
    <w:rsid w:val="45B7B6B1"/>
    <w:rsid w:val="45B8E624"/>
    <w:rsid w:val="45BD09AF"/>
    <w:rsid w:val="45C59154"/>
    <w:rsid w:val="45C5FFC2"/>
    <w:rsid w:val="45C6785A"/>
    <w:rsid w:val="45C8D129"/>
    <w:rsid w:val="45CEF5E4"/>
    <w:rsid w:val="45D11CE6"/>
    <w:rsid w:val="45D41A37"/>
    <w:rsid w:val="45D4D8B0"/>
    <w:rsid w:val="45D530D9"/>
    <w:rsid w:val="45D737D9"/>
    <w:rsid w:val="45DA47AB"/>
    <w:rsid w:val="45DB1304"/>
    <w:rsid w:val="45DD08A0"/>
    <w:rsid w:val="45DEF943"/>
    <w:rsid w:val="45DFDAA4"/>
    <w:rsid w:val="45E5F618"/>
    <w:rsid w:val="45E64FAC"/>
    <w:rsid w:val="45E97391"/>
    <w:rsid w:val="45EA2506"/>
    <w:rsid w:val="45EBAA75"/>
    <w:rsid w:val="45F0FB41"/>
    <w:rsid w:val="45F57F10"/>
    <w:rsid w:val="45F87CEF"/>
    <w:rsid w:val="45FA0C05"/>
    <w:rsid w:val="45FBAF4F"/>
    <w:rsid w:val="45FDF15B"/>
    <w:rsid w:val="45FFFBC1"/>
    <w:rsid w:val="4604B872"/>
    <w:rsid w:val="4606E732"/>
    <w:rsid w:val="460ABA11"/>
    <w:rsid w:val="460D603B"/>
    <w:rsid w:val="46166A2E"/>
    <w:rsid w:val="4617FA7B"/>
    <w:rsid w:val="46192915"/>
    <w:rsid w:val="461CFCC5"/>
    <w:rsid w:val="462221FE"/>
    <w:rsid w:val="46238F7C"/>
    <w:rsid w:val="4623C45F"/>
    <w:rsid w:val="4629467E"/>
    <w:rsid w:val="462B2D28"/>
    <w:rsid w:val="462FEC36"/>
    <w:rsid w:val="4633D4E6"/>
    <w:rsid w:val="4634B2BC"/>
    <w:rsid w:val="46392456"/>
    <w:rsid w:val="4639619F"/>
    <w:rsid w:val="46397CC7"/>
    <w:rsid w:val="463FD624"/>
    <w:rsid w:val="4642CA87"/>
    <w:rsid w:val="464DE1E8"/>
    <w:rsid w:val="464DE2DE"/>
    <w:rsid w:val="46504AF2"/>
    <w:rsid w:val="4651A997"/>
    <w:rsid w:val="465466AB"/>
    <w:rsid w:val="46546B64"/>
    <w:rsid w:val="465956E0"/>
    <w:rsid w:val="465A7B0F"/>
    <w:rsid w:val="465B2086"/>
    <w:rsid w:val="465DA813"/>
    <w:rsid w:val="4660CF1E"/>
    <w:rsid w:val="46619BED"/>
    <w:rsid w:val="4662B564"/>
    <w:rsid w:val="4665B5F8"/>
    <w:rsid w:val="4669C119"/>
    <w:rsid w:val="466B4EB9"/>
    <w:rsid w:val="466BDC19"/>
    <w:rsid w:val="466F72CD"/>
    <w:rsid w:val="466FA9B0"/>
    <w:rsid w:val="466FD08A"/>
    <w:rsid w:val="4671CF72"/>
    <w:rsid w:val="46783CCA"/>
    <w:rsid w:val="468289B7"/>
    <w:rsid w:val="468B2A2D"/>
    <w:rsid w:val="4691E2F4"/>
    <w:rsid w:val="46933E2E"/>
    <w:rsid w:val="4697705B"/>
    <w:rsid w:val="4698C950"/>
    <w:rsid w:val="4699091E"/>
    <w:rsid w:val="46A542CD"/>
    <w:rsid w:val="46AF9E44"/>
    <w:rsid w:val="46B2D1E0"/>
    <w:rsid w:val="46B43199"/>
    <w:rsid w:val="46BB37E7"/>
    <w:rsid w:val="46CA8840"/>
    <w:rsid w:val="46CD8DF6"/>
    <w:rsid w:val="46D43974"/>
    <w:rsid w:val="46D97362"/>
    <w:rsid w:val="46D9791A"/>
    <w:rsid w:val="46DB3206"/>
    <w:rsid w:val="46DED44A"/>
    <w:rsid w:val="46E1A49D"/>
    <w:rsid w:val="46E24B90"/>
    <w:rsid w:val="46E25B42"/>
    <w:rsid w:val="46E5DA29"/>
    <w:rsid w:val="46E71034"/>
    <w:rsid w:val="46F49859"/>
    <w:rsid w:val="46F56172"/>
    <w:rsid w:val="46F5742F"/>
    <w:rsid w:val="46F7D9A1"/>
    <w:rsid w:val="46F7EAC1"/>
    <w:rsid w:val="46FDC1C1"/>
    <w:rsid w:val="46FE2C98"/>
    <w:rsid w:val="46FEF636"/>
    <w:rsid w:val="470080CB"/>
    <w:rsid w:val="47026C06"/>
    <w:rsid w:val="47038B2A"/>
    <w:rsid w:val="47047B4F"/>
    <w:rsid w:val="47059F1B"/>
    <w:rsid w:val="470A61F7"/>
    <w:rsid w:val="470B4D16"/>
    <w:rsid w:val="471050AF"/>
    <w:rsid w:val="471D51CA"/>
    <w:rsid w:val="4722004E"/>
    <w:rsid w:val="4728CC6E"/>
    <w:rsid w:val="472BA233"/>
    <w:rsid w:val="4730D69A"/>
    <w:rsid w:val="47328D8A"/>
    <w:rsid w:val="473A0B18"/>
    <w:rsid w:val="473D3F07"/>
    <w:rsid w:val="473EC601"/>
    <w:rsid w:val="47434C96"/>
    <w:rsid w:val="474784C5"/>
    <w:rsid w:val="47495F8D"/>
    <w:rsid w:val="474EC189"/>
    <w:rsid w:val="4751FB1D"/>
    <w:rsid w:val="475314D2"/>
    <w:rsid w:val="4760E6B6"/>
    <w:rsid w:val="4761691D"/>
    <w:rsid w:val="47644B18"/>
    <w:rsid w:val="47647CD4"/>
    <w:rsid w:val="476D07B6"/>
    <w:rsid w:val="476E59C6"/>
    <w:rsid w:val="477092D3"/>
    <w:rsid w:val="477112AA"/>
    <w:rsid w:val="47744A26"/>
    <w:rsid w:val="4777F195"/>
    <w:rsid w:val="4777FA42"/>
    <w:rsid w:val="47790AC6"/>
    <w:rsid w:val="477A25A6"/>
    <w:rsid w:val="477C7C20"/>
    <w:rsid w:val="477D3775"/>
    <w:rsid w:val="478523A9"/>
    <w:rsid w:val="478A5DBE"/>
    <w:rsid w:val="4792377E"/>
    <w:rsid w:val="4795FEF1"/>
    <w:rsid w:val="4796A2B7"/>
    <w:rsid w:val="479CAF02"/>
    <w:rsid w:val="479CBD37"/>
    <w:rsid w:val="479D3BFD"/>
    <w:rsid w:val="479DCAD9"/>
    <w:rsid w:val="47A50FDE"/>
    <w:rsid w:val="47A61D13"/>
    <w:rsid w:val="47A948EF"/>
    <w:rsid w:val="47AA937B"/>
    <w:rsid w:val="47B16F21"/>
    <w:rsid w:val="47BB533C"/>
    <w:rsid w:val="47BF4358"/>
    <w:rsid w:val="47C6AFF5"/>
    <w:rsid w:val="47CA7782"/>
    <w:rsid w:val="47CB6294"/>
    <w:rsid w:val="47CB82B6"/>
    <w:rsid w:val="47CD5BF0"/>
    <w:rsid w:val="47D014E1"/>
    <w:rsid w:val="47D2C6EA"/>
    <w:rsid w:val="47D36238"/>
    <w:rsid w:val="47D50136"/>
    <w:rsid w:val="47D589EE"/>
    <w:rsid w:val="47D85E95"/>
    <w:rsid w:val="47DC8F8C"/>
    <w:rsid w:val="47DF33D7"/>
    <w:rsid w:val="47E01089"/>
    <w:rsid w:val="47E02BAF"/>
    <w:rsid w:val="47E1FF96"/>
    <w:rsid w:val="47E696C3"/>
    <w:rsid w:val="47E704AF"/>
    <w:rsid w:val="47EDA527"/>
    <w:rsid w:val="47EFED7B"/>
    <w:rsid w:val="47F1597B"/>
    <w:rsid w:val="47F1DF7C"/>
    <w:rsid w:val="47F9290A"/>
    <w:rsid w:val="47FEDEAA"/>
    <w:rsid w:val="47FF8A8B"/>
    <w:rsid w:val="48014538"/>
    <w:rsid w:val="48015217"/>
    <w:rsid w:val="48067F71"/>
    <w:rsid w:val="48085CE6"/>
    <w:rsid w:val="480A0BB3"/>
    <w:rsid w:val="480A9BBB"/>
    <w:rsid w:val="480C93A5"/>
    <w:rsid w:val="480FE511"/>
    <w:rsid w:val="48104CD5"/>
    <w:rsid w:val="481502C8"/>
    <w:rsid w:val="48153272"/>
    <w:rsid w:val="481ED617"/>
    <w:rsid w:val="481F6B10"/>
    <w:rsid w:val="481FABF8"/>
    <w:rsid w:val="48205F0C"/>
    <w:rsid w:val="48218F9C"/>
    <w:rsid w:val="482C68A8"/>
    <w:rsid w:val="483523C8"/>
    <w:rsid w:val="483608D2"/>
    <w:rsid w:val="48398893"/>
    <w:rsid w:val="483C5715"/>
    <w:rsid w:val="484038CB"/>
    <w:rsid w:val="484125D3"/>
    <w:rsid w:val="48441E40"/>
    <w:rsid w:val="4848A5A0"/>
    <w:rsid w:val="4848B9F3"/>
    <w:rsid w:val="4849ABF0"/>
    <w:rsid w:val="484D04D4"/>
    <w:rsid w:val="484D187F"/>
    <w:rsid w:val="485009A9"/>
    <w:rsid w:val="485044A8"/>
    <w:rsid w:val="485423FE"/>
    <w:rsid w:val="4855A400"/>
    <w:rsid w:val="4858E804"/>
    <w:rsid w:val="485CA9B9"/>
    <w:rsid w:val="485D4F34"/>
    <w:rsid w:val="485FECC3"/>
    <w:rsid w:val="486B1ED4"/>
    <w:rsid w:val="4873ACE6"/>
    <w:rsid w:val="4877E4F0"/>
    <w:rsid w:val="4878FFDE"/>
    <w:rsid w:val="4879A4DB"/>
    <w:rsid w:val="487AFD37"/>
    <w:rsid w:val="487CEEF8"/>
    <w:rsid w:val="48876972"/>
    <w:rsid w:val="4887DFA8"/>
    <w:rsid w:val="488C6B22"/>
    <w:rsid w:val="488F2BC5"/>
    <w:rsid w:val="48917329"/>
    <w:rsid w:val="4892524A"/>
    <w:rsid w:val="489426F4"/>
    <w:rsid w:val="489950DF"/>
    <w:rsid w:val="489B27C0"/>
    <w:rsid w:val="489BE164"/>
    <w:rsid w:val="489E86D0"/>
    <w:rsid w:val="489F2390"/>
    <w:rsid w:val="48A26DF2"/>
    <w:rsid w:val="48A2949B"/>
    <w:rsid w:val="48A45D31"/>
    <w:rsid w:val="48A49168"/>
    <w:rsid w:val="48A4E98C"/>
    <w:rsid w:val="48A868A3"/>
    <w:rsid w:val="48A9D403"/>
    <w:rsid w:val="48AEA23A"/>
    <w:rsid w:val="48B87510"/>
    <w:rsid w:val="48B9EA3D"/>
    <w:rsid w:val="48BBF11C"/>
    <w:rsid w:val="48BFF05E"/>
    <w:rsid w:val="48C00BD0"/>
    <w:rsid w:val="48C12919"/>
    <w:rsid w:val="48C2F611"/>
    <w:rsid w:val="48C47560"/>
    <w:rsid w:val="48C90072"/>
    <w:rsid w:val="48CA9B1A"/>
    <w:rsid w:val="48D4F260"/>
    <w:rsid w:val="48D594D0"/>
    <w:rsid w:val="48D79335"/>
    <w:rsid w:val="48DAB281"/>
    <w:rsid w:val="48DEEE09"/>
    <w:rsid w:val="48E12F22"/>
    <w:rsid w:val="48E15FD0"/>
    <w:rsid w:val="48E3D6A6"/>
    <w:rsid w:val="48E6053C"/>
    <w:rsid w:val="48E79665"/>
    <w:rsid w:val="48ED90C2"/>
    <w:rsid w:val="48EEB4F0"/>
    <w:rsid w:val="48F138A8"/>
    <w:rsid w:val="48F6B2E2"/>
    <w:rsid w:val="48F90EBF"/>
    <w:rsid w:val="48FB65A1"/>
    <w:rsid w:val="4904B182"/>
    <w:rsid w:val="490509CB"/>
    <w:rsid w:val="4905B573"/>
    <w:rsid w:val="4907EE48"/>
    <w:rsid w:val="4909A025"/>
    <w:rsid w:val="4910B2EB"/>
    <w:rsid w:val="49112A49"/>
    <w:rsid w:val="49117735"/>
    <w:rsid w:val="491300E9"/>
    <w:rsid w:val="49140180"/>
    <w:rsid w:val="49157DF6"/>
    <w:rsid w:val="49198351"/>
    <w:rsid w:val="491B03A8"/>
    <w:rsid w:val="491B9927"/>
    <w:rsid w:val="491EE628"/>
    <w:rsid w:val="4928970E"/>
    <w:rsid w:val="492D583A"/>
    <w:rsid w:val="4930B6B7"/>
    <w:rsid w:val="493150BA"/>
    <w:rsid w:val="4933910C"/>
    <w:rsid w:val="49353E46"/>
    <w:rsid w:val="49356F61"/>
    <w:rsid w:val="493CB48C"/>
    <w:rsid w:val="4941D797"/>
    <w:rsid w:val="49429D28"/>
    <w:rsid w:val="4947ADCE"/>
    <w:rsid w:val="494913F4"/>
    <w:rsid w:val="49535AA3"/>
    <w:rsid w:val="495C19D7"/>
    <w:rsid w:val="49642CE3"/>
    <w:rsid w:val="4966CB17"/>
    <w:rsid w:val="496D0218"/>
    <w:rsid w:val="496D499E"/>
    <w:rsid w:val="496DF363"/>
    <w:rsid w:val="4971DD95"/>
    <w:rsid w:val="4972B629"/>
    <w:rsid w:val="4979879F"/>
    <w:rsid w:val="497FB345"/>
    <w:rsid w:val="4987292E"/>
    <w:rsid w:val="49899A55"/>
    <w:rsid w:val="498AD713"/>
    <w:rsid w:val="498B2929"/>
    <w:rsid w:val="498BB026"/>
    <w:rsid w:val="498C6AB5"/>
    <w:rsid w:val="498FEAD2"/>
    <w:rsid w:val="49941E87"/>
    <w:rsid w:val="49947CDD"/>
    <w:rsid w:val="4994E5FE"/>
    <w:rsid w:val="499599A9"/>
    <w:rsid w:val="499B1E5A"/>
    <w:rsid w:val="499E648C"/>
    <w:rsid w:val="49A36C5A"/>
    <w:rsid w:val="49ACAA10"/>
    <w:rsid w:val="49B2C5D6"/>
    <w:rsid w:val="49B3B759"/>
    <w:rsid w:val="49B707ED"/>
    <w:rsid w:val="49B99570"/>
    <w:rsid w:val="49BF94C0"/>
    <w:rsid w:val="49C10CFC"/>
    <w:rsid w:val="49C64273"/>
    <w:rsid w:val="49C7ADCD"/>
    <w:rsid w:val="49CC0219"/>
    <w:rsid w:val="49CC0237"/>
    <w:rsid w:val="49CC7D4F"/>
    <w:rsid w:val="49CE7B53"/>
    <w:rsid w:val="49D181B2"/>
    <w:rsid w:val="49D1D41F"/>
    <w:rsid w:val="49D1F985"/>
    <w:rsid w:val="49DFD348"/>
    <w:rsid w:val="49E0A982"/>
    <w:rsid w:val="49E29409"/>
    <w:rsid w:val="49EC672F"/>
    <w:rsid w:val="49F08A37"/>
    <w:rsid w:val="49F47B0C"/>
    <w:rsid w:val="49F6EAFA"/>
    <w:rsid w:val="49FA0C1A"/>
    <w:rsid w:val="49FC36D4"/>
    <w:rsid w:val="49FD16BD"/>
    <w:rsid w:val="49FED33A"/>
    <w:rsid w:val="4A00FB1C"/>
    <w:rsid w:val="4A043EE5"/>
    <w:rsid w:val="4A052C19"/>
    <w:rsid w:val="4A05B51E"/>
    <w:rsid w:val="4A06A14F"/>
    <w:rsid w:val="4A0CF25D"/>
    <w:rsid w:val="4A10C326"/>
    <w:rsid w:val="4A11D790"/>
    <w:rsid w:val="4A13A0A4"/>
    <w:rsid w:val="4A17BE2D"/>
    <w:rsid w:val="4A21B330"/>
    <w:rsid w:val="4A2336B7"/>
    <w:rsid w:val="4A280A11"/>
    <w:rsid w:val="4A28346A"/>
    <w:rsid w:val="4A2C940C"/>
    <w:rsid w:val="4A32E87A"/>
    <w:rsid w:val="4A3CD0B7"/>
    <w:rsid w:val="4A401E3C"/>
    <w:rsid w:val="4A48FE22"/>
    <w:rsid w:val="4A49A1EB"/>
    <w:rsid w:val="4A4ECFFB"/>
    <w:rsid w:val="4A4FB5F6"/>
    <w:rsid w:val="4A518B9E"/>
    <w:rsid w:val="4A56D31D"/>
    <w:rsid w:val="4A57A809"/>
    <w:rsid w:val="4A58A35F"/>
    <w:rsid w:val="4A618C1F"/>
    <w:rsid w:val="4A623857"/>
    <w:rsid w:val="4A648787"/>
    <w:rsid w:val="4A680C63"/>
    <w:rsid w:val="4A693976"/>
    <w:rsid w:val="4A6C8F7C"/>
    <w:rsid w:val="4A6CF32C"/>
    <w:rsid w:val="4A723881"/>
    <w:rsid w:val="4A72AE02"/>
    <w:rsid w:val="4A768ACB"/>
    <w:rsid w:val="4A7B33DB"/>
    <w:rsid w:val="4A8081A4"/>
    <w:rsid w:val="4A8337F4"/>
    <w:rsid w:val="4A834C99"/>
    <w:rsid w:val="4A85C824"/>
    <w:rsid w:val="4A8AB20B"/>
    <w:rsid w:val="4A92A2DF"/>
    <w:rsid w:val="4A930956"/>
    <w:rsid w:val="4A9F4328"/>
    <w:rsid w:val="4AA21B54"/>
    <w:rsid w:val="4AA4BF35"/>
    <w:rsid w:val="4AA610C7"/>
    <w:rsid w:val="4AA8BDE4"/>
    <w:rsid w:val="4AAA7011"/>
    <w:rsid w:val="4AAAB7D3"/>
    <w:rsid w:val="4AAAE4AB"/>
    <w:rsid w:val="4AAE0799"/>
    <w:rsid w:val="4AAFE781"/>
    <w:rsid w:val="4AAFF74B"/>
    <w:rsid w:val="4AB7DC73"/>
    <w:rsid w:val="4AB8D97A"/>
    <w:rsid w:val="4ABC2878"/>
    <w:rsid w:val="4AC40BE3"/>
    <w:rsid w:val="4ACCCB59"/>
    <w:rsid w:val="4AD40E3B"/>
    <w:rsid w:val="4AD4127F"/>
    <w:rsid w:val="4AD600E6"/>
    <w:rsid w:val="4AD6925F"/>
    <w:rsid w:val="4ADCEB65"/>
    <w:rsid w:val="4ADF90C9"/>
    <w:rsid w:val="4ADFD909"/>
    <w:rsid w:val="4AE6B6A3"/>
    <w:rsid w:val="4AE93CFA"/>
    <w:rsid w:val="4AEBF0D0"/>
    <w:rsid w:val="4AEF06D0"/>
    <w:rsid w:val="4AF25B3F"/>
    <w:rsid w:val="4AF509FB"/>
    <w:rsid w:val="4AFEDF3E"/>
    <w:rsid w:val="4B005876"/>
    <w:rsid w:val="4B00CE61"/>
    <w:rsid w:val="4B068EBC"/>
    <w:rsid w:val="4B06B96D"/>
    <w:rsid w:val="4B0B6DC4"/>
    <w:rsid w:val="4B0BCE8F"/>
    <w:rsid w:val="4B0D1BCD"/>
    <w:rsid w:val="4B1268A5"/>
    <w:rsid w:val="4B135B52"/>
    <w:rsid w:val="4B1930BD"/>
    <w:rsid w:val="4B1A0246"/>
    <w:rsid w:val="4B1CDDFE"/>
    <w:rsid w:val="4B1D3E8D"/>
    <w:rsid w:val="4B1E576E"/>
    <w:rsid w:val="4B2965A9"/>
    <w:rsid w:val="4B2AD5A6"/>
    <w:rsid w:val="4B33E0F3"/>
    <w:rsid w:val="4B345353"/>
    <w:rsid w:val="4B355496"/>
    <w:rsid w:val="4B37E002"/>
    <w:rsid w:val="4B385B0F"/>
    <w:rsid w:val="4B4085AA"/>
    <w:rsid w:val="4B42EF1A"/>
    <w:rsid w:val="4B4B269E"/>
    <w:rsid w:val="4B4E43B8"/>
    <w:rsid w:val="4B51CEE2"/>
    <w:rsid w:val="4B51EC1D"/>
    <w:rsid w:val="4B5267C0"/>
    <w:rsid w:val="4B53F97A"/>
    <w:rsid w:val="4B599682"/>
    <w:rsid w:val="4B6119B1"/>
    <w:rsid w:val="4B6190F4"/>
    <w:rsid w:val="4B644E3E"/>
    <w:rsid w:val="4B67BC06"/>
    <w:rsid w:val="4B6A7FE5"/>
    <w:rsid w:val="4B6BC491"/>
    <w:rsid w:val="4B6EF025"/>
    <w:rsid w:val="4B71098B"/>
    <w:rsid w:val="4B720BB0"/>
    <w:rsid w:val="4B737244"/>
    <w:rsid w:val="4B74C6DC"/>
    <w:rsid w:val="4B7C1363"/>
    <w:rsid w:val="4B7CB3AF"/>
    <w:rsid w:val="4B819B22"/>
    <w:rsid w:val="4B845286"/>
    <w:rsid w:val="4B89DF40"/>
    <w:rsid w:val="4B8B0314"/>
    <w:rsid w:val="4B8B7BBD"/>
    <w:rsid w:val="4B8BBFB3"/>
    <w:rsid w:val="4B8C6C77"/>
    <w:rsid w:val="4B8C992F"/>
    <w:rsid w:val="4BA34276"/>
    <w:rsid w:val="4BA3E5D4"/>
    <w:rsid w:val="4BA65DAB"/>
    <w:rsid w:val="4BA8CBF3"/>
    <w:rsid w:val="4BAB7904"/>
    <w:rsid w:val="4BAB88BB"/>
    <w:rsid w:val="4BAC3684"/>
    <w:rsid w:val="4BB1599D"/>
    <w:rsid w:val="4BB3FCC8"/>
    <w:rsid w:val="4BB55BF8"/>
    <w:rsid w:val="4BB71129"/>
    <w:rsid w:val="4BCD12EF"/>
    <w:rsid w:val="4BCD2332"/>
    <w:rsid w:val="4BCDD6EF"/>
    <w:rsid w:val="4BD02804"/>
    <w:rsid w:val="4BD75018"/>
    <w:rsid w:val="4BD75279"/>
    <w:rsid w:val="4BD77EE5"/>
    <w:rsid w:val="4BD87513"/>
    <w:rsid w:val="4BDB0AE2"/>
    <w:rsid w:val="4BDDD5F9"/>
    <w:rsid w:val="4BDE2A5B"/>
    <w:rsid w:val="4BDF93F2"/>
    <w:rsid w:val="4BE5A9CB"/>
    <w:rsid w:val="4BEC31AD"/>
    <w:rsid w:val="4BED80F8"/>
    <w:rsid w:val="4BEE0E8B"/>
    <w:rsid w:val="4BF0A4E9"/>
    <w:rsid w:val="4BF155E6"/>
    <w:rsid w:val="4BF396B9"/>
    <w:rsid w:val="4BF3CA24"/>
    <w:rsid w:val="4BF602E8"/>
    <w:rsid w:val="4BFEAE7D"/>
    <w:rsid w:val="4C00EB55"/>
    <w:rsid w:val="4C03CE52"/>
    <w:rsid w:val="4C06101B"/>
    <w:rsid w:val="4C07B95F"/>
    <w:rsid w:val="4C08F61D"/>
    <w:rsid w:val="4C09872A"/>
    <w:rsid w:val="4C0CA1D8"/>
    <w:rsid w:val="4C0DCFB5"/>
    <w:rsid w:val="4C1417DE"/>
    <w:rsid w:val="4C1658ED"/>
    <w:rsid w:val="4C17D4CF"/>
    <w:rsid w:val="4C18CD0E"/>
    <w:rsid w:val="4C193CA7"/>
    <w:rsid w:val="4C20CB3E"/>
    <w:rsid w:val="4C21FBB0"/>
    <w:rsid w:val="4C2253F3"/>
    <w:rsid w:val="4C24BB79"/>
    <w:rsid w:val="4C275582"/>
    <w:rsid w:val="4C27F8C1"/>
    <w:rsid w:val="4C2A2744"/>
    <w:rsid w:val="4C2D1BEE"/>
    <w:rsid w:val="4C2EA044"/>
    <w:rsid w:val="4C2F73CC"/>
    <w:rsid w:val="4C3170C9"/>
    <w:rsid w:val="4C34E418"/>
    <w:rsid w:val="4C3BE6F8"/>
    <w:rsid w:val="4C3F358C"/>
    <w:rsid w:val="4C3F8C31"/>
    <w:rsid w:val="4C4769D3"/>
    <w:rsid w:val="4C4CEB35"/>
    <w:rsid w:val="4C4D52DC"/>
    <w:rsid w:val="4C4FE06A"/>
    <w:rsid w:val="4C5059B9"/>
    <w:rsid w:val="4C5261F9"/>
    <w:rsid w:val="4C5B1CC7"/>
    <w:rsid w:val="4C5E5F2B"/>
    <w:rsid w:val="4C632FBF"/>
    <w:rsid w:val="4C668CB3"/>
    <w:rsid w:val="4C6F6762"/>
    <w:rsid w:val="4C74824A"/>
    <w:rsid w:val="4C805B62"/>
    <w:rsid w:val="4C8215C9"/>
    <w:rsid w:val="4C82A101"/>
    <w:rsid w:val="4C82AD8B"/>
    <w:rsid w:val="4C8322F7"/>
    <w:rsid w:val="4C843938"/>
    <w:rsid w:val="4C8839FC"/>
    <w:rsid w:val="4C898973"/>
    <w:rsid w:val="4C918256"/>
    <w:rsid w:val="4C931634"/>
    <w:rsid w:val="4C9B5482"/>
    <w:rsid w:val="4C9D2129"/>
    <w:rsid w:val="4CA12E64"/>
    <w:rsid w:val="4CA218F3"/>
    <w:rsid w:val="4CA284B9"/>
    <w:rsid w:val="4CA4E665"/>
    <w:rsid w:val="4CAF6EA1"/>
    <w:rsid w:val="4CB1B7A7"/>
    <w:rsid w:val="4CB58A1C"/>
    <w:rsid w:val="4CB629ED"/>
    <w:rsid w:val="4CB64FCB"/>
    <w:rsid w:val="4CB6EF5B"/>
    <w:rsid w:val="4CC1B69F"/>
    <w:rsid w:val="4CC89A99"/>
    <w:rsid w:val="4CCC8118"/>
    <w:rsid w:val="4CD4CDE7"/>
    <w:rsid w:val="4CD5704F"/>
    <w:rsid w:val="4CD5A288"/>
    <w:rsid w:val="4CD66F96"/>
    <w:rsid w:val="4CD78A7C"/>
    <w:rsid w:val="4CDBC2D6"/>
    <w:rsid w:val="4CDCCD6A"/>
    <w:rsid w:val="4CDCDA06"/>
    <w:rsid w:val="4CE1082C"/>
    <w:rsid w:val="4CE14496"/>
    <w:rsid w:val="4CE6BADB"/>
    <w:rsid w:val="4CE8E9FF"/>
    <w:rsid w:val="4CEC1B72"/>
    <w:rsid w:val="4CECB5E0"/>
    <w:rsid w:val="4CEF7BF4"/>
    <w:rsid w:val="4CF1031A"/>
    <w:rsid w:val="4CF12DD5"/>
    <w:rsid w:val="4CF16F34"/>
    <w:rsid w:val="4CF24B7D"/>
    <w:rsid w:val="4CF99C30"/>
    <w:rsid w:val="4CFA720F"/>
    <w:rsid w:val="4CFB1E10"/>
    <w:rsid w:val="4D029191"/>
    <w:rsid w:val="4D06613A"/>
    <w:rsid w:val="4D085C82"/>
    <w:rsid w:val="4D088543"/>
    <w:rsid w:val="4D0A0A1A"/>
    <w:rsid w:val="4D0BDFA4"/>
    <w:rsid w:val="4D0CF374"/>
    <w:rsid w:val="4D0EF914"/>
    <w:rsid w:val="4D0F95D0"/>
    <w:rsid w:val="4D105888"/>
    <w:rsid w:val="4D10CB0B"/>
    <w:rsid w:val="4D1300F1"/>
    <w:rsid w:val="4D25F629"/>
    <w:rsid w:val="4D275F76"/>
    <w:rsid w:val="4D277645"/>
    <w:rsid w:val="4D27D370"/>
    <w:rsid w:val="4D282B51"/>
    <w:rsid w:val="4D290282"/>
    <w:rsid w:val="4D29C7A6"/>
    <w:rsid w:val="4D2B4C77"/>
    <w:rsid w:val="4D2BFDFD"/>
    <w:rsid w:val="4D2DA405"/>
    <w:rsid w:val="4D2E938F"/>
    <w:rsid w:val="4D2F099B"/>
    <w:rsid w:val="4D3021B1"/>
    <w:rsid w:val="4D34C046"/>
    <w:rsid w:val="4D3B997A"/>
    <w:rsid w:val="4D40463C"/>
    <w:rsid w:val="4D410106"/>
    <w:rsid w:val="4D4722F4"/>
    <w:rsid w:val="4D4A29DF"/>
    <w:rsid w:val="4D4B44CE"/>
    <w:rsid w:val="4D4DE522"/>
    <w:rsid w:val="4D503188"/>
    <w:rsid w:val="4D519815"/>
    <w:rsid w:val="4D523D02"/>
    <w:rsid w:val="4D567CC5"/>
    <w:rsid w:val="4D5C2A57"/>
    <w:rsid w:val="4D5C9119"/>
    <w:rsid w:val="4D5D77C3"/>
    <w:rsid w:val="4D61DF05"/>
    <w:rsid w:val="4D62A3FA"/>
    <w:rsid w:val="4D646930"/>
    <w:rsid w:val="4D671D8C"/>
    <w:rsid w:val="4D74C0F8"/>
    <w:rsid w:val="4D79796C"/>
    <w:rsid w:val="4D7A37CB"/>
    <w:rsid w:val="4D7B586C"/>
    <w:rsid w:val="4D7CA780"/>
    <w:rsid w:val="4D7F0716"/>
    <w:rsid w:val="4D820A2F"/>
    <w:rsid w:val="4D823C72"/>
    <w:rsid w:val="4D8436FC"/>
    <w:rsid w:val="4D8C58ED"/>
    <w:rsid w:val="4D8CD525"/>
    <w:rsid w:val="4D8E786A"/>
    <w:rsid w:val="4D92DB74"/>
    <w:rsid w:val="4D979C53"/>
    <w:rsid w:val="4D98CB81"/>
    <w:rsid w:val="4D9CAC3E"/>
    <w:rsid w:val="4D9DEAE6"/>
    <w:rsid w:val="4DA04FC4"/>
    <w:rsid w:val="4DA08682"/>
    <w:rsid w:val="4DA16316"/>
    <w:rsid w:val="4DA4E7B1"/>
    <w:rsid w:val="4DABAAF1"/>
    <w:rsid w:val="4DAEDB36"/>
    <w:rsid w:val="4DB0B29F"/>
    <w:rsid w:val="4DB1F5BD"/>
    <w:rsid w:val="4DB24EFD"/>
    <w:rsid w:val="4DBDF0EF"/>
    <w:rsid w:val="4DC73588"/>
    <w:rsid w:val="4DD205ED"/>
    <w:rsid w:val="4DD34732"/>
    <w:rsid w:val="4DD4212B"/>
    <w:rsid w:val="4DD83E3D"/>
    <w:rsid w:val="4DDAF4E9"/>
    <w:rsid w:val="4DDCE871"/>
    <w:rsid w:val="4DDDE8F1"/>
    <w:rsid w:val="4DE1E6F1"/>
    <w:rsid w:val="4DE25E4C"/>
    <w:rsid w:val="4DE84676"/>
    <w:rsid w:val="4DE8F418"/>
    <w:rsid w:val="4DF06667"/>
    <w:rsid w:val="4DF2ED99"/>
    <w:rsid w:val="4DF3A684"/>
    <w:rsid w:val="4DF60432"/>
    <w:rsid w:val="4DF78473"/>
    <w:rsid w:val="4DF96392"/>
    <w:rsid w:val="4DFAA9D0"/>
    <w:rsid w:val="4DFE89E1"/>
    <w:rsid w:val="4DFF4A48"/>
    <w:rsid w:val="4E016207"/>
    <w:rsid w:val="4E019929"/>
    <w:rsid w:val="4E05B421"/>
    <w:rsid w:val="4E05BF34"/>
    <w:rsid w:val="4E06C11E"/>
    <w:rsid w:val="4E0C200D"/>
    <w:rsid w:val="4E11118A"/>
    <w:rsid w:val="4E11C4A0"/>
    <w:rsid w:val="4E1C92F8"/>
    <w:rsid w:val="4E1CD05C"/>
    <w:rsid w:val="4E1D6513"/>
    <w:rsid w:val="4E1FA7D5"/>
    <w:rsid w:val="4E240F64"/>
    <w:rsid w:val="4E2791B4"/>
    <w:rsid w:val="4E2A0026"/>
    <w:rsid w:val="4E2E0227"/>
    <w:rsid w:val="4E303F9C"/>
    <w:rsid w:val="4E317E13"/>
    <w:rsid w:val="4E32BC89"/>
    <w:rsid w:val="4E3B9466"/>
    <w:rsid w:val="4E3C4C72"/>
    <w:rsid w:val="4E418375"/>
    <w:rsid w:val="4E4A66E4"/>
    <w:rsid w:val="4E4D0428"/>
    <w:rsid w:val="4E4E05E7"/>
    <w:rsid w:val="4E4E618A"/>
    <w:rsid w:val="4E4E8D53"/>
    <w:rsid w:val="4E50239A"/>
    <w:rsid w:val="4E5342C2"/>
    <w:rsid w:val="4E564F93"/>
    <w:rsid w:val="4E5A4485"/>
    <w:rsid w:val="4E5A9CEB"/>
    <w:rsid w:val="4E5D4C1F"/>
    <w:rsid w:val="4E61A549"/>
    <w:rsid w:val="4E63964D"/>
    <w:rsid w:val="4E6693A3"/>
    <w:rsid w:val="4E67CBFA"/>
    <w:rsid w:val="4E6A8CA1"/>
    <w:rsid w:val="4E78BC27"/>
    <w:rsid w:val="4E790BD1"/>
    <w:rsid w:val="4E7F2E70"/>
    <w:rsid w:val="4E80536A"/>
    <w:rsid w:val="4E8ACF46"/>
    <w:rsid w:val="4E8BCD20"/>
    <w:rsid w:val="4E930D0D"/>
    <w:rsid w:val="4E93EA85"/>
    <w:rsid w:val="4E94D8BE"/>
    <w:rsid w:val="4E9813FF"/>
    <w:rsid w:val="4E9F3A31"/>
    <w:rsid w:val="4EA16B41"/>
    <w:rsid w:val="4EA9333F"/>
    <w:rsid w:val="4EAB39C8"/>
    <w:rsid w:val="4EAF224F"/>
    <w:rsid w:val="4EB65345"/>
    <w:rsid w:val="4EB99E33"/>
    <w:rsid w:val="4EBE4D39"/>
    <w:rsid w:val="4EBE93E3"/>
    <w:rsid w:val="4EBE9D4C"/>
    <w:rsid w:val="4EC48632"/>
    <w:rsid w:val="4EC4CDBE"/>
    <w:rsid w:val="4EC7B0EE"/>
    <w:rsid w:val="4EC8CC86"/>
    <w:rsid w:val="4ECAD3ED"/>
    <w:rsid w:val="4ECDA11C"/>
    <w:rsid w:val="4ECE6F3D"/>
    <w:rsid w:val="4ECE7B28"/>
    <w:rsid w:val="4ECED4D7"/>
    <w:rsid w:val="4ED5F090"/>
    <w:rsid w:val="4ED68ABE"/>
    <w:rsid w:val="4ED7CFAB"/>
    <w:rsid w:val="4EDA2FC1"/>
    <w:rsid w:val="4EDC5996"/>
    <w:rsid w:val="4EDE9F60"/>
    <w:rsid w:val="4EE31300"/>
    <w:rsid w:val="4EE794F0"/>
    <w:rsid w:val="4EEAD38C"/>
    <w:rsid w:val="4EF13BE8"/>
    <w:rsid w:val="4EF13C7B"/>
    <w:rsid w:val="4EF152ED"/>
    <w:rsid w:val="4EFA6954"/>
    <w:rsid w:val="4EFF0DAC"/>
    <w:rsid w:val="4F031B5F"/>
    <w:rsid w:val="4F053C8E"/>
    <w:rsid w:val="4F07CA97"/>
    <w:rsid w:val="4F09FB91"/>
    <w:rsid w:val="4F0F58E1"/>
    <w:rsid w:val="4F0F8DDE"/>
    <w:rsid w:val="4F0FA7A1"/>
    <w:rsid w:val="4F10439E"/>
    <w:rsid w:val="4F1AF396"/>
    <w:rsid w:val="4F1FAF61"/>
    <w:rsid w:val="4F21A71F"/>
    <w:rsid w:val="4F248CBE"/>
    <w:rsid w:val="4F2515C6"/>
    <w:rsid w:val="4F2B5B62"/>
    <w:rsid w:val="4F31AAAC"/>
    <w:rsid w:val="4F360D8D"/>
    <w:rsid w:val="4F3A409C"/>
    <w:rsid w:val="4F3ABEB8"/>
    <w:rsid w:val="4F411F2B"/>
    <w:rsid w:val="4F43391C"/>
    <w:rsid w:val="4F5165CB"/>
    <w:rsid w:val="4F51866F"/>
    <w:rsid w:val="4F54B8BA"/>
    <w:rsid w:val="4F59A596"/>
    <w:rsid w:val="4F5A3728"/>
    <w:rsid w:val="4F5DF235"/>
    <w:rsid w:val="4F626F7C"/>
    <w:rsid w:val="4F63AD91"/>
    <w:rsid w:val="4F64DD74"/>
    <w:rsid w:val="4F715E91"/>
    <w:rsid w:val="4F72D40B"/>
    <w:rsid w:val="4F75BF16"/>
    <w:rsid w:val="4F7D92F3"/>
    <w:rsid w:val="4F7D9DF4"/>
    <w:rsid w:val="4F7E9090"/>
    <w:rsid w:val="4F7F6D37"/>
    <w:rsid w:val="4F829E9F"/>
    <w:rsid w:val="4F863AC0"/>
    <w:rsid w:val="4F8693C4"/>
    <w:rsid w:val="4F8F2641"/>
    <w:rsid w:val="4F90510A"/>
    <w:rsid w:val="4F95DD91"/>
    <w:rsid w:val="4F97A25C"/>
    <w:rsid w:val="4F99D5DA"/>
    <w:rsid w:val="4F9BD5DE"/>
    <w:rsid w:val="4F9DA0DC"/>
    <w:rsid w:val="4F9F7A85"/>
    <w:rsid w:val="4FA010AE"/>
    <w:rsid w:val="4FA349AF"/>
    <w:rsid w:val="4FA61E55"/>
    <w:rsid w:val="4FA9D657"/>
    <w:rsid w:val="4FAF4944"/>
    <w:rsid w:val="4FB1A007"/>
    <w:rsid w:val="4FB2A364"/>
    <w:rsid w:val="4FB707BB"/>
    <w:rsid w:val="4FBBED8B"/>
    <w:rsid w:val="4FBD1AD7"/>
    <w:rsid w:val="4FC52504"/>
    <w:rsid w:val="4FCE4968"/>
    <w:rsid w:val="4FCEC717"/>
    <w:rsid w:val="4FD420D2"/>
    <w:rsid w:val="4FD6CEA7"/>
    <w:rsid w:val="4FD75D7B"/>
    <w:rsid w:val="4FDA9BD3"/>
    <w:rsid w:val="4FDAEC92"/>
    <w:rsid w:val="4FDDE2EF"/>
    <w:rsid w:val="4FEDB653"/>
    <w:rsid w:val="4FEF52E3"/>
    <w:rsid w:val="4FF28409"/>
    <w:rsid w:val="4FFB8F5A"/>
    <w:rsid w:val="4FFD0056"/>
    <w:rsid w:val="4FFE2897"/>
    <w:rsid w:val="4FFEF182"/>
    <w:rsid w:val="50015F73"/>
    <w:rsid w:val="50022A84"/>
    <w:rsid w:val="50080053"/>
    <w:rsid w:val="5009519F"/>
    <w:rsid w:val="500E9EFB"/>
    <w:rsid w:val="50105CC1"/>
    <w:rsid w:val="5019CBAD"/>
    <w:rsid w:val="501A4A00"/>
    <w:rsid w:val="50200399"/>
    <w:rsid w:val="502122D5"/>
    <w:rsid w:val="5024A321"/>
    <w:rsid w:val="5029EE77"/>
    <w:rsid w:val="502E16D6"/>
    <w:rsid w:val="5032CB8B"/>
    <w:rsid w:val="5034127B"/>
    <w:rsid w:val="5034FC8D"/>
    <w:rsid w:val="503CD5A2"/>
    <w:rsid w:val="503DFB8B"/>
    <w:rsid w:val="5040400B"/>
    <w:rsid w:val="5044ABC7"/>
    <w:rsid w:val="50467984"/>
    <w:rsid w:val="50497FA2"/>
    <w:rsid w:val="50498A63"/>
    <w:rsid w:val="504B1FAF"/>
    <w:rsid w:val="504F2981"/>
    <w:rsid w:val="5052D571"/>
    <w:rsid w:val="505437A5"/>
    <w:rsid w:val="5056EB31"/>
    <w:rsid w:val="50585668"/>
    <w:rsid w:val="505F3ABC"/>
    <w:rsid w:val="50612ECE"/>
    <w:rsid w:val="5066AFFF"/>
    <w:rsid w:val="5066EB6B"/>
    <w:rsid w:val="5067D479"/>
    <w:rsid w:val="506B4A17"/>
    <w:rsid w:val="5070A2CE"/>
    <w:rsid w:val="5072593F"/>
    <w:rsid w:val="50734D6B"/>
    <w:rsid w:val="50743D26"/>
    <w:rsid w:val="5077790B"/>
    <w:rsid w:val="50798A88"/>
    <w:rsid w:val="507A3FC7"/>
    <w:rsid w:val="50828734"/>
    <w:rsid w:val="5082D415"/>
    <w:rsid w:val="5087BA52"/>
    <w:rsid w:val="508C241F"/>
    <w:rsid w:val="508F40A6"/>
    <w:rsid w:val="50950551"/>
    <w:rsid w:val="509A2AA8"/>
    <w:rsid w:val="509B4B2D"/>
    <w:rsid w:val="509BC2F6"/>
    <w:rsid w:val="509C5306"/>
    <w:rsid w:val="50A12219"/>
    <w:rsid w:val="50A15E1F"/>
    <w:rsid w:val="50A456CD"/>
    <w:rsid w:val="50A77B1D"/>
    <w:rsid w:val="50A9CCE2"/>
    <w:rsid w:val="50B35A5D"/>
    <w:rsid w:val="50B76587"/>
    <w:rsid w:val="50BB3AA1"/>
    <w:rsid w:val="50BDFA9A"/>
    <w:rsid w:val="50C02A60"/>
    <w:rsid w:val="50C2122E"/>
    <w:rsid w:val="50C583B5"/>
    <w:rsid w:val="50C84E66"/>
    <w:rsid w:val="50C8792B"/>
    <w:rsid w:val="50D068DE"/>
    <w:rsid w:val="50D4B7A6"/>
    <w:rsid w:val="50D53496"/>
    <w:rsid w:val="50DA2EDB"/>
    <w:rsid w:val="50DF9F93"/>
    <w:rsid w:val="50E06488"/>
    <w:rsid w:val="50E79B9E"/>
    <w:rsid w:val="50ED2C76"/>
    <w:rsid w:val="50EF715A"/>
    <w:rsid w:val="50F80C9E"/>
    <w:rsid w:val="50FE1F94"/>
    <w:rsid w:val="50FF56F7"/>
    <w:rsid w:val="5102C771"/>
    <w:rsid w:val="5106E42E"/>
    <w:rsid w:val="51084ABD"/>
    <w:rsid w:val="510910BD"/>
    <w:rsid w:val="510B3B36"/>
    <w:rsid w:val="510D8A2A"/>
    <w:rsid w:val="510DBF48"/>
    <w:rsid w:val="511228EF"/>
    <w:rsid w:val="51170A65"/>
    <w:rsid w:val="511D14CC"/>
    <w:rsid w:val="511DFBB3"/>
    <w:rsid w:val="511F39EB"/>
    <w:rsid w:val="51241DBB"/>
    <w:rsid w:val="512BFF85"/>
    <w:rsid w:val="5130BE07"/>
    <w:rsid w:val="5132462E"/>
    <w:rsid w:val="513527CF"/>
    <w:rsid w:val="513BE900"/>
    <w:rsid w:val="513EEB44"/>
    <w:rsid w:val="5146A253"/>
    <w:rsid w:val="514BEFED"/>
    <w:rsid w:val="514D6412"/>
    <w:rsid w:val="51518957"/>
    <w:rsid w:val="515349BB"/>
    <w:rsid w:val="51559AB9"/>
    <w:rsid w:val="51564F0B"/>
    <w:rsid w:val="515CAF57"/>
    <w:rsid w:val="515D823E"/>
    <w:rsid w:val="5161865F"/>
    <w:rsid w:val="51629638"/>
    <w:rsid w:val="516AA858"/>
    <w:rsid w:val="516CD1C6"/>
    <w:rsid w:val="516D6B67"/>
    <w:rsid w:val="5170C9D2"/>
    <w:rsid w:val="5176F5E6"/>
    <w:rsid w:val="5177BFD7"/>
    <w:rsid w:val="51798BA0"/>
    <w:rsid w:val="5182270F"/>
    <w:rsid w:val="518A74D7"/>
    <w:rsid w:val="518AC33C"/>
    <w:rsid w:val="5197632D"/>
    <w:rsid w:val="519845B6"/>
    <w:rsid w:val="51A0CE37"/>
    <w:rsid w:val="51A2C254"/>
    <w:rsid w:val="51AA6731"/>
    <w:rsid w:val="51B01891"/>
    <w:rsid w:val="51B2E10C"/>
    <w:rsid w:val="51B37CA0"/>
    <w:rsid w:val="51BA3FB1"/>
    <w:rsid w:val="51BD19BC"/>
    <w:rsid w:val="51C281C0"/>
    <w:rsid w:val="51C6B4BB"/>
    <w:rsid w:val="51CD1A9D"/>
    <w:rsid w:val="51CDD114"/>
    <w:rsid w:val="51CEF184"/>
    <w:rsid w:val="51D59A2C"/>
    <w:rsid w:val="51D5A30B"/>
    <w:rsid w:val="51DFA3BF"/>
    <w:rsid w:val="51E02097"/>
    <w:rsid w:val="51E0E255"/>
    <w:rsid w:val="51E1C3B9"/>
    <w:rsid w:val="51E6A411"/>
    <w:rsid w:val="51E738A1"/>
    <w:rsid w:val="51EABCD1"/>
    <w:rsid w:val="51EB0DD0"/>
    <w:rsid w:val="51EBB130"/>
    <w:rsid w:val="51EBE773"/>
    <w:rsid w:val="51F09684"/>
    <w:rsid w:val="51F69F86"/>
    <w:rsid w:val="51F9A853"/>
    <w:rsid w:val="51FC9899"/>
    <w:rsid w:val="51FE0936"/>
    <w:rsid w:val="520177E4"/>
    <w:rsid w:val="520A4AC0"/>
    <w:rsid w:val="520A55F3"/>
    <w:rsid w:val="520CF9DC"/>
    <w:rsid w:val="520D4CFB"/>
    <w:rsid w:val="520D7EDC"/>
    <w:rsid w:val="520E6B56"/>
    <w:rsid w:val="5216C9D6"/>
    <w:rsid w:val="5218062D"/>
    <w:rsid w:val="52182DF8"/>
    <w:rsid w:val="521C40BA"/>
    <w:rsid w:val="521E9296"/>
    <w:rsid w:val="5223277D"/>
    <w:rsid w:val="52232DED"/>
    <w:rsid w:val="5224E6DB"/>
    <w:rsid w:val="522A80D4"/>
    <w:rsid w:val="522CEF02"/>
    <w:rsid w:val="522E83E1"/>
    <w:rsid w:val="523375B6"/>
    <w:rsid w:val="523448B7"/>
    <w:rsid w:val="523488AD"/>
    <w:rsid w:val="52362E7C"/>
    <w:rsid w:val="5238AC98"/>
    <w:rsid w:val="523CE589"/>
    <w:rsid w:val="52403BDD"/>
    <w:rsid w:val="52425529"/>
    <w:rsid w:val="5249F373"/>
    <w:rsid w:val="524E22AF"/>
    <w:rsid w:val="5254800D"/>
    <w:rsid w:val="52607BF2"/>
    <w:rsid w:val="5269F221"/>
    <w:rsid w:val="526FF7D2"/>
    <w:rsid w:val="52710C11"/>
    <w:rsid w:val="5271AC52"/>
    <w:rsid w:val="527325E0"/>
    <w:rsid w:val="5274FD0B"/>
    <w:rsid w:val="52756BC8"/>
    <w:rsid w:val="527BEDC4"/>
    <w:rsid w:val="527D3D64"/>
    <w:rsid w:val="527EF4AC"/>
    <w:rsid w:val="5281EAB5"/>
    <w:rsid w:val="5282797B"/>
    <w:rsid w:val="5282E41B"/>
    <w:rsid w:val="5284885D"/>
    <w:rsid w:val="52895706"/>
    <w:rsid w:val="529B33C4"/>
    <w:rsid w:val="529B4545"/>
    <w:rsid w:val="529BEB12"/>
    <w:rsid w:val="529C2A31"/>
    <w:rsid w:val="529CFEBE"/>
    <w:rsid w:val="529D336F"/>
    <w:rsid w:val="529F32C6"/>
    <w:rsid w:val="529F4766"/>
    <w:rsid w:val="52A01516"/>
    <w:rsid w:val="52A1EA34"/>
    <w:rsid w:val="52A8E582"/>
    <w:rsid w:val="52AA269D"/>
    <w:rsid w:val="52ABEDA3"/>
    <w:rsid w:val="52ACCD3A"/>
    <w:rsid w:val="52AE430F"/>
    <w:rsid w:val="52B297E4"/>
    <w:rsid w:val="52B71F35"/>
    <w:rsid w:val="52B751A5"/>
    <w:rsid w:val="52B853E3"/>
    <w:rsid w:val="52BBB3A6"/>
    <w:rsid w:val="52BC5EFB"/>
    <w:rsid w:val="52C4909A"/>
    <w:rsid w:val="52D12F36"/>
    <w:rsid w:val="52D2F62F"/>
    <w:rsid w:val="52D774D4"/>
    <w:rsid w:val="52DA07B7"/>
    <w:rsid w:val="52DE2191"/>
    <w:rsid w:val="52DF39F7"/>
    <w:rsid w:val="52E26085"/>
    <w:rsid w:val="52E6CFDF"/>
    <w:rsid w:val="52EDDC9B"/>
    <w:rsid w:val="52F8512B"/>
    <w:rsid w:val="52F9B8B4"/>
    <w:rsid w:val="52FCD04D"/>
    <w:rsid w:val="52FF48D8"/>
    <w:rsid w:val="5303CD5B"/>
    <w:rsid w:val="530409B9"/>
    <w:rsid w:val="53047A87"/>
    <w:rsid w:val="530C698F"/>
    <w:rsid w:val="530C71A3"/>
    <w:rsid w:val="530D73ED"/>
    <w:rsid w:val="5310AF6B"/>
    <w:rsid w:val="5315061F"/>
    <w:rsid w:val="531629C9"/>
    <w:rsid w:val="531BF068"/>
    <w:rsid w:val="531DEE63"/>
    <w:rsid w:val="531EBEF9"/>
    <w:rsid w:val="53256292"/>
    <w:rsid w:val="532B194F"/>
    <w:rsid w:val="532DB44D"/>
    <w:rsid w:val="53338D3A"/>
    <w:rsid w:val="53345B3C"/>
    <w:rsid w:val="5337B112"/>
    <w:rsid w:val="533B886A"/>
    <w:rsid w:val="533EFADB"/>
    <w:rsid w:val="53420C02"/>
    <w:rsid w:val="534FC7AD"/>
    <w:rsid w:val="5351003C"/>
    <w:rsid w:val="53520109"/>
    <w:rsid w:val="53525C63"/>
    <w:rsid w:val="5354C24F"/>
    <w:rsid w:val="535672A5"/>
    <w:rsid w:val="535EB8A4"/>
    <w:rsid w:val="53656428"/>
    <w:rsid w:val="53665DE7"/>
    <w:rsid w:val="5366E71E"/>
    <w:rsid w:val="5366FA19"/>
    <w:rsid w:val="5367C54C"/>
    <w:rsid w:val="536B1939"/>
    <w:rsid w:val="536D8A6B"/>
    <w:rsid w:val="53714436"/>
    <w:rsid w:val="53733548"/>
    <w:rsid w:val="5373B026"/>
    <w:rsid w:val="5377DE19"/>
    <w:rsid w:val="5379B240"/>
    <w:rsid w:val="537AF33A"/>
    <w:rsid w:val="53836777"/>
    <w:rsid w:val="538951D8"/>
    <w:rsid w:val="538C9A30"/>
    <w:rsid w:val="538D7B21"/>
    <w:rsid w:val="538DC8AD"/>
    <w:rsid w:val="53971A05"/>
    <w:rsid w:val="539A2F7A"/>
    <w:rsid w:val="539BDDAC"/>
    <w:rsid w:val="539E9541"/>
    <w:rsid w:val="53A13412"/>
    <w:rsid w:val="53A22886"/>
    <w:rsid w:val="53A36469"/>
    <w:rsid w:val="53A54508"/>
    <w:rsid w:val="53AA9728"/>
    <w:rsid w:val="53B0685C"/>
    <w:rsid w:val="53B6C88E"/>
    <w:rsid w:val="53B7D1C5"/>
    <w:rsid w:val="53B992DE"/>
    <w:rsid w:val="53BC23D3"/>
    <w:rsid w:val="53BD41F5"/>
    <w:rsid w:val="53BDD9AC"/>
    <w:rsid w:val="53BEF609"/>
    <w:rsid w:val="53C20EF4"/>
    <w:rsid w:val="53C38F1E"/>
    <w:rsid w:val="53C884F9"/>
    <w:rsid w:val="53C89A63"/>
    <w:rsid w:val="53CC3336"/>
    <w:rsid w:val="53CDF66E"/>
    <w:rsid w:val="53D087A7"/>
    <w:rsid w:val="53D2B103"/>
    <w:rsid w:val="53D50957"/>
    <w:rsid w:val="53D50A8B"/>
    <w:rsid w:val="53D75D21"/>
    <w:rsid w:val="53D7678B"/>
    <w:rsid w:val="53D7B34C"/>
    <w:rsid w:val="53DCC311"/>
    <w:rsid w:val="53E26BD3"/>
    <w:rsid w:val="53E2ECC2"/>
    <w:rsid w:val="53EAF2BE"/>
    <w:rsid w:val="53ECE67D"/>
    <w:rsid w:val="53F05567"/>
    <w:rsid w:val="53F8657C"/>
    <w:rsid w:val="53FAF078"/>
    <w:rsid w:val="53FD6E96"/>
    <w:rsid w:val="5405D400"/>
    <w:rsid w:val="540BA09B"/>
    <w:rsid w:val="54113F19"/>
    <w:rsid w:val="54114147"/>
    <w:rsid w:val="5411EDFF"/>
    <w:rsid w:val="54128B7C"/>
    <w:rsid w:val="54163D53"/>
    <w:rsid w:val="54168275"/>
    <w:rsid w:val="541FD760"/>
    <w:rsid w:val="542594A5"/>
    <w:rsid w:val="5439576A"/>
    <w:rsid w:val="543CABA5"/>
    <w:rsid w:val="543D0F63"/>
    <w:rsid w:val="5442277B"/>
    <w:rsid w:val="54436CD1"/>
    <w:rsid w:val="5444B237"/>
    <w:rsid w:val="544CAB7E"/>
    <w:rsid w:val="544D6FB8"/>
    <w:rsid w:val="545078C9"/>
    <w:rsid w:val="5455C888"/>
    <w:rsid w:val="545801DE"/>
    <w:rsid w:val="545C6FA2"/>
    <w:rsid w:val="545FD17A"/>
    <w:rsid w:val="5464F0D9"/>
    <w:rsid w:val="5471B6B9"/>
    <w:rsid w:val="54727D7D"/>
    <w:rsid w:val="5473F895"/>
    <w:rsid w:val="547AA645"/>
    <w:rsid w:val="5484E3DE"/>
    <w:rsid w:val="548582FB"/>
    <w:rsid w:val="54871C97"/>
    <w:rsid w:val="5489EF32"/>
    <w:rsid w:val="548A955B"/>
    <w:rsid w:val="548BF5E7"/>
    <w:rsid w:val="548DC93E"/>
    <w:rsid w:val="548FA82C"/>
    <w:rsid w:val="5490EF74"/>
    <w:rsid w:val="54918B78"/>
    <w:rsid w:val="5497F189"/>
    <w:rsid w:val="549FA8B1"/>
    <w:rsid w:val="54A06D95"/>
    <w:rsid w:val="54A21100"/>
    <w:rsid w:val="54A5AF50"/>
    <w:rsid w:val="54A63752"/>
    <w:rsid w:val="54A857A7"/>
    <w:rsid w:val="54A87954"/>
    <w:rsid w:val="54ACE61A"/>
    <w:rsid w:val="54AE6BE9"/>
    <w:rsid w:val="54B123D3"/>
    <w:rsid w:val="54B1F8BA"/>
    <w:rsid w:val="54B22E81"/>
    <w:rsid w:val="54B72DBB"/>
    <w:rsid w:val="54B75C3A"/>
    <w:rsid w:val="54B7CA34"/>
    <w:rsid w:val="54BB5855"/>
    <w:rsid w:val="54BD1AB2"/>
    <w:rsid w:val="54BFC79A"/>
    <w:rsid w:val="54C0A386"/>
    <w:rsid w:val="54C0D358"/>
    <w:rsid w:val="54C284F4"/>
    <w:rsid w:val="54C2DD2C"/>
    <w:rsid w:val="54CAB4F4"/>
    <w:rsid w:val="54CE37DC"/>
    <w:rsid w:val="54CEC1BD"/>
    <w:rsid w:val="54D17262"/>
    <w:rsid w:val="54D19596"/>
    <w:rsid w:val="54D2D473"/>
    <w:rsid w:val="54D8D0A3"/>
    <w:rsid w:val="54DBF65A"/>
    <w:rsid w:val="54DC8691"/>
    <w:rsid w:val="54DF6766"/>
    <w:rsid w:val="54DF8388"/>
    <w:rsid w:val="54E2DBC0"/>
    <w:rsid w:val="54E6E42C"/>
    <w:rsid w:val="54EEB8D6"/>
    <w:rsid w:val="54F0FA8E"/>
    <w:rsid w:val="54F5D468"/>
    <w:rsid w:val="54F7C75F"/>
    <w:rsid w:val="54F88995"/>
    <w:rsid w:val="54FB6AE5"/>
    <w:rsid w:val="54FB9F66"/>
    <w:rsid w:val="54FD9F13"/>
    <w:rsid w:val="55016282"/>
    <w:rsid w:val="5504E37F"/>
    <w:rsid w:val="55056AE9"/>
    <w:rsid w:val="550668BB"/>
    <w:rsid w:val="55174E0C"/>
    <w:rsid w:val="5517F577"/>
    <w:rsid w:val="5518E2C4"/>
    <w:rsid w:val="551D0A10"/>
    <w:rsid w:val="551D8258"/>
    <w:rsid w:val="551E3D93"/>
    <w:rsid w:val="55240069"/>
    <w:rsid w:val="552442C6"/>
    <w:rsid w:val="55274500"/>
    <w:rsid w:val="5527F770"/>
    <w:rsid w:val="552BBC9A"/>
    <w:rsid w:val="552F4948"/>
    <w:rsid w:val="5533E14F"/>
    <w:rsid w:val="5537C122"/>
    <w:rsid w:val="55414A38"/>
    <w:rsid w:val="55427D34"/>
    <w:rsid w:val="5544E0CF"/>
    <w:rsid w:val="55460828"/>
    <w:rsid w:val="554CC8A9"/>
    <w:rsid w:val="55502D2C"/>
    <w:rsid w:val="55509F33"/>
    <w:rsid w:val="555168A3"/>
    <w:rsid w:val="5555D8A9"/>
    <w:rsid w:val="555660CF"/>
    <w:rsid w:val="55592A9E"/>
    <w:rsid w:val="555AA572"/>
    <w:rsid w:val="555C733C"/>
    <w:rsid w:val="555D7368"/>
    <w:rsid w:val="555FF255"/>
    <w:rsid w:val="556B60DA"/>
    <w:rsid w:val="556E89A3"/>
    <w:rsid w:val="5573AF20"/>
    <w:rsid w:val="55853A5C"/>
    <w:rsid w:val="55889BD4"/>
    <w:rsid w:val="5594F812"/>
    <w:rsid w:val="559A8FDA"/>
    <w:rsid w:val="559AE8BD"/>
    <w:rsid w:val="559B748B"/>
    <w:rsid w:val="559CD430"/>
    <w:rsid w:val="559FDDC1"/>
    <w:rsid w:val="55A865B3"/>
    <w:rsid w:val="55AEF455"/>
    <w:rsid w:val="55B31930"/>
    <w:rsid w:val="55B364F0"/>
    <w:rsid w:val="55BB91AE"/>
    <w:rsid w:val="55CD3E1C"/>
    <w:rsid w:val="55CE2BC5"/>
    <w:rsid w:val="55D791D2"/>
    <w:rsid w:val="55DBAA71"/>
    <w:rsid w:val="55DD23FE"/>
    <w:rsid w:val="55EA3A14"/>
    <w:rsid w:val="55EDB969"/>
    <w:rsid w:val="55EED756"/>
    <w:rsid w:val="55F1FA87"/>
    <w:rsid w:val="55F2BCD3"/>
    <w:rsid w:val="55F35F35"/>
    <w:rsid w:val="55F36994"/>
    <w:rsid w:val="55FA9641"/>
    <w:rsid w:val="55FB90F4"/>
    <w:rsid w:val="55FC0CF4"/>
    <w:rsid w:val="55FF403C"/>
    <w:rsid w:val="560432C3"/>
    <w:rsid w:val="5605E7F5"/>
    <w:rsid w:val="560711AB"/>
    <w:rsid w:val="5608B41B"/>
    <w:rsid w:val="5609D21B"/>
    <w:rsid w:val="560A1117"/>
    <w:rsid w:val="5610C374"/>
    <w:rsid w:val="5611A18D"/>
    <w:rsid w:val="5614B329"/>
    <w:rsid w:val="561C3DBB"/>
    <w:rsid w:val="5624799C"/>
    <w:rsid w:val="5627AD16"/>
    <w:rsid w:val="5629600A"/>
    <w:rsid w:val="562D67AC"/>
    <w:rsid w:val="5633CE61"/>
    <w:rsid w:val="5641C53B"/>
    <w:rsid w:val="564BD9D8"/>
    <w:rsid w:val="5653216D"/>
    <w:rsid w:val="56562B88"/>
    <w:rsid w:val="5656A1CA"/>
    <w:rsid w:val="5657C433"/>
    <w:rsid w:val="565836F9"/>
    <w:rsid w:val="5659BF74"/>
    <w:rsid w:val="565A6A17"/>
    <w:rsid w:val="565BE4D7"/>
    <w:rsid w:val="56615F91"/>
    <w:rsid w:val="5669F5DF"/>
    <w:rsid w:val="566D6518"/>
    <w:rsid w:val="566EEAF2"/>
    <w:rsid w:val="566FC804"/>
    <w:rsid w:val="56700E4E"/>
    <w:rsid w:val="5670D1E1"/>
    <w:rsid w:val="56747701"/>
    <w:rsid w:val="56757FCF"/>
    <w:rsid w:val="5675D281"/>
    <w:rsid w:val="5677EBA4"/>
    <w:rsid w:val="567B2CCB"/>
    <w:rsid w:val="567BA3A3"/>
    <w:rsid w:val="567CD1C0"/>
    <w:rsid w:val="567FF0F8"/>
    <w:rsid w:val="5681197A"/>
    <w:rsid w:val="56847A47"/>
    <w:rsid w:val="56862418"/>
    <w:rsid w:val="568EB93D"/>
    <w:rsid w:val="569141F5"/>
    <w:rsid w:val="5692D30B"/>
    <w:rsid w:val="5693975D"/>
    <w:rsid w:val="569439DE"/>
    <w:rsid w:val="569598DD"/>
    <w:rsid w:val="5695EA9A"/>
    <w:rsid w:val="569628F9"/>
    <w:rsid w:val="569A93CC"/>
    <w:rsid w:val="56A5CA8B"/>
    <w:rsid w:val="56A5DB9B"/>
    <w:rsid w:val="56AD578B"/>
    <w:rsid w:val="56ADA184"/>
    <w:rsid w:val="56AE0CF7"/>
    <w:rsid w:val="56AE862B"/>
    <w:rsid w:val="56B7C09B"/>
    <w:rsid w:val="56B8E9F8"/>
    <w:rsid w:val="56B919F5"/>
    <w:rsid w:val="56BBC17F"/>
    <w:rsid w:val="56BBEABE"/>
    <w:rsid w:val="56BC3322"/>
    <w:rsid w:val="56BCC1D4"/>
    <w:rsid w:val="56C35C51"/>
    <w:rsid w:val="56C6FA7D"/>
    <w:rsid w:val="56CEDFF0"/>
    <w:rsid w:val="56DD0537"/>
    <w:rsid w:val="56E15D2E"/>
    <w:rsid w:val="56E31C4F"/>
    <w:rsid w:val="56E3F647"/>
    <w:rsid w:val="56E73327"/>
    <w:rsid w:val="56EE60D4"/>
    <w:rsid w:val="56F06AC3"/>
    <w:rsid w:val="56F79F6E"/>
    <w:rsid w:val="56F864D5"/>
    <w:rsid w:val="56FB0798"/>
    <w:rsid w:val="57009E1E"/>
    <w:rsid w:val="5709B209"/>
    <w:rsid w:val="570A0BDE"/>
    <w:rsid w:val="570F8F53"/>
    <w:rsid w:val="5710013D"/>
    <w:rsid w:val="5710D3DE"/>
    <w:rsid w:val="571224CC"/>
    <w:rsid w:val="5719B57F"/>
    <w:rsid w:val="571F6DD4"/>
    <w:rsid w:val="57206353"/>
    <w:rsid w:val="57272000"/>
    <w:rsid w:val="5727AD9B"/>
    <w:rsid w:val="572BEABE"/>
    <w:rsid w:val="572C19D8"/>
    <w:rsid w:val="5732D61D"/>
    <w:rsid w:val="573369BD"/>
    <w:rsid w:val="573459F7"/>
    <w:rsid w:val="57397AE5"/>
    <w:rsid w:val="573FFF7C"/>
    <w:rsid w:val="57470FD0"/>
    <w:rsid w:val="5748448B"/>
    <w:rsid w:val="574E6A93"/>
    <w:rsid w:val="57526197"/>
    <w:rsid w:val="57527298"/>
    <w:rsid w:val="57536106"/>
    <w:rsid w:val="575575AC"/>
    <w:rsid w:val="5755B6E1"/>
    <w:rsid w:val="575610AD"/>
    <w:rsid w:val="5756E43D"/>
    <w:rsid w:val="575E1F3C"/>
    <w:rsid w:val="575E6B3F"/>
    <w:rsid w:val="5768C9CF"/>
    <w:rsid w:val="576A726F"/>
    <w:rsid w:val="576AA08D"/>
    <w:rsid w:val="576E16AD"/>
    <w:rsid w:val="5770C128"/>
    <w:rsid w:val="577241A2"/>
    <w:rsid w:val="57755DD6"/>
    <w:rsid w:val="57762796"/>
    <w:rsid w:val="577A739F"/>
    <w:rsid w:val="577CCE51"/>
    <w:rsid w:val="57813DA2"/>
    <w:rsid w:val="5782CF33"/>
    <w:rsid w:val="578C056B"/>
    <w:rsid w:val="578F42C4"/>
    <w:rsid w:val="5792914C"/>
    <w:rsid w:val="5796F5E1"/>
    <w:rsid w:val="57984987"/>
    <w:rsid w:val="5799D6A4"/>
    <w:rsid w:val="579CD220"/>
    <w:rsid w:val="579F20F3"/>
    <w:rsid w:val="57A26F22"/>
    <w:rsid w:val="57A6D9AB"/>
    <w:rsid w:val="57A9B673"/>
    <w:rsid w:val="57AC5A97"/>
    <w:rsid w:val="57ADB6E7"/>
    <w:rsid w:val="57ADC7DA"/>
    <w:rsid w:val="57AF16F9"/>
    <w:rsid w:val="57B1A095"/>
    <w:rsid w:val="57BA0246"/>
    <w:rsid w:val="57BCCA0A"/>
    <w:rsid w:val="57C2AFE8"/>
    <w:rsid w:val="57C60EB5"/>
    <w:rsid w:val="57CAC65C"/>
    <w:rsid w:val="57CDFBF4"/>
    <w:rsid w:val="57CE1684"/>
    <w:rsid w:val="57CF598F"/>
    <w:rsid w:val="57D1915F"/>
    <w:rsid w:val="57D196FE"/>
    <w:rsid w:val="57D45769"/>
    <w:rsid w:val="57DC608D"/>
    <w:rsid w:val="57E176D6"/>
    <w:rsid w:val="57E31215"/>
    <w:rsid w:val="57E4A308"/>
    <w:rsid w:val="57E5F10B"/>
    <w:rsid w:val="57E8714E"/>
    <w:rsid w:val="57EC6EB3"/>
    <w:rsid w:val="57EEB896"/>
    <w:rsid w:val="57F258CE"/>
    <w:rsid w:val="57FBE446"/>
    <w:rsid w:val="57FD2528"/>
    <w:rsid w:val="58008B36"/>
    <w:rsid w:val="5802B7B4"/>
    <w:rsid w:val="5804B6CA"/>
    <w:rsid w:val="5804D196"/>
    <w:rsid w:val="58060880"/>
    <w:rsid w:val="58071B5B"/>
    <w:rsid w:val="580A3205"/>
    <w:rsid w:val="580D57D9"/>
    <w:rsid w:val="58141068"/>
    <w:rsid w:val="58145538"/>
    <w:rsid w:val="5815A572"/>
    <w:rsid w:val="5815F029"/>
    <w:rsid w:val="58188F61"/>
    <w:rsid w:val="581A9D65"/>
    <w:rsid w:val="581B06FD"/>
    <w:rsid w:val="581E47E0"/>
    <w:rsid w:val="58205C67"/>
    <w:rsid w:val="5826E736"/>
    <w:rsid w:val="5826FE84"/>
    <w:rsid w:val="582A115B"/>
    <w:rsid w:val="582D85D0"/>
    <w:rsid w:val="58352872"/>
    <w:rsid w:val="583CCF0C"/>
    <w:rsid w:val="5844EE19"/>
    <w:rsid w:val="5845E2B8"/>
    <w:rsid w:val="584A4354"/>
    <w:rsid w:val="584F5583"/>
    <w:rsid w:val="58517533"/>
    <w:rsid w:val="58526F41"/>
    <w:rsid w:val="5853D0E7"/>
    <w:rsid w:val="58544A35"/>
    <w:rsid w:val="58563957"/>
    <w:rsid w:val="585B30CE"/>
    <w:rsid w:val="585BBFF0"/>
    <w:rsid w:val="585CB311"/>
    <w:rsid w:val="5861B90B"/>
    <w:rsid w:val="586C8551"/>
    <w:rsid w:val="5879BF48"/>
    <w:rsid w:val="587AB8E2"/>
    <w:rsid w:val="5880FCA9"/>
    <w:rsid w:val="58821941"/>
    <w:rsid w:val="5882FDAB"/>
    <w:rsid w:val="58837EFD"/>
    <w:rsid w:val="58845007"/>
    <w:rsid w:val="588891C6"/>
    <w:rsid w:val="588ADC05"/>
    <w:rsid w:val="588E56AA"/>
    <w:rsid w:val="589235E9"/>
    <w:rsid w:val="58937446"/>
    <w:rsid w:val="5893C025"/>
    <w:rsid w:val="58956ECB"/>
    <w:rsid w:val="58965196"/>
    <w:rsid w:val="589850DA"/>
    <w:rsid w:val="58A12290"/>
    <w:rsid w:val="58A37834"/>
    <w:rsid w:val="58AE6F7F"/>
    <w:rsid w:val="58B33EBE"/>
    <w:rsid w:val="58B7D01E"/>
    <w:rsid w:val="58BC8026"/>
    <w:rsid w:val="58BF7B8F"/>
    <w:rsid w:val="58BF9D30"/>
    <w:rsid w:val="58C0D67D"/>
    <w:rsid w:val="58C1C593"/>
    <w:rsid w:val="58C6D16C"/>
    <w:rsid w:val="58C89F91"/>
    <w:rsid w:val="58C92223"/>
    <w:rsid w:val="58CC8D4A"/>
    <w:rsid w:val="58D3DEB6"/>
    <w:rsid w:val="58D55A06"/>
    <w:rsid w:val="58DF0B5D"/>
    <w:rsid w:val="58E70FD2"/>
    <w:rsid w:val="58E7CA3E"/>
    <w:rsid w:val="58EB1B84"/>
    <w:rsid w:val="58EB61BF"/>
    <w:rsid w:val="58EC2487"/>
    <w:rsid w:val="58EEC8E9"/>
    <w:rsid w:val="58F37CBA"/>
    <w:rsid w:val="58F7CDFC"/>
    <w:rsid w:val="58F985F9"/>
    <w:rsid w:val="58F9DDAA"/>
    <w:rsid w:val="58FFB46A"/>
    <w:rsid w:val="5902B174"/>
    <w:rsid w:val="59030251"/>
    <w:rsid w:val="5905AE39"/>
    <w:rsid w:val="59086ACC"/>
    <w:rsid w:val="59107E43"/>
    <w:rsid w:val="591DE82C"/>
    <w:rsid w:val="59222C1A"/>
    <w:rsid w:val="592C5435"/>
    <w:rsid w:val="592EEFFA"/>
    <w:rsid w:val="592F7B7B"/>
    <w:rsid w:val="5932D5DE"/>
    <w:rsid w:val="5938EC90"/>
    <w:rsid w:val="59475D5E"/>
    <w:rsid w:val="5949F9A0"/>
    <w:rsid w:val="594A28AC"/>
    <w:rsid w:val="594ACA49"/>
    <w:rsid w:val="594E2D07"/>
    <w:rsid w:val="59561C8D"/>
    <w:rsid w:val="5956BB8E"/>
    <w:rsid w:val="595B7038"/>
    <w:rsid w:val="595C0E43"/>
    <w:rsid w:val="5962A14B"/>
    <w:rsid w:val="5967A973"/>
    <w:rsid w:val="59684A0D"/>
    <w:rsid w:val="59686F83"/>
    <w:rsid w:val="5968D697"/>
    <w:rsid w:val="59708719"/>
    <w:rsid w:val="59716B62"/>
    <w:rsid w:val="5971EB6D"/>
    <w:rsid w:val="5972178C"/>
    <w:rsid w:val="5973E771"/>
    <w:rsid w:val="5979B7D5"/>
    <w:rsid w:val="597BE061"/>
    <w:rsid w:val="5980F133"/>
    <w:rsid w:val="5987BD48"/>
    <w:rsid w:val="59883026"/>
    <w:rsid w:val="598A4EAD"/>
    <w:rsid w:val="598B6497"/>
    <w:rsid w:val="598FC8EB"/>
    <w:rsid w:val="5992E4A2"/>
    <w:rsid w:val="59952DDB"/>
    <w:rsid w:val="59983855"/>
    <w:rsid w:val="59986FE4"/>
    <w:rsid w:val="59992236"/>
    <w:rsid w:val="599D901A"/>
    <w:rsid w:val="599DCEDE"/>
    <w:rsid w:val="59A11692"/>
    <w:rsid w:val="59AB5609"/>
    <w:rsid w:val="59ACAC47"/>
    <w:rsid w:val="59ADBAC7"/>
    <w:rsid w:val="59B0B0B9"/>
    <w:rsid w:val="59BB7B8C"/>
    <w:rsid w:val="59BC4D42"/>
    <w:rsid w:val="59BDA73E"/>
    <w:rsid w:val="59C97B89"/>
    <w:rsid w:val="59CA2976"/>
    <w:rsid w:val="59CCE9AF"/>
    <w:rsid w:val="59D06046"/>
    <w:rsid w:val="59D648B7"/>
    <w:rsid w:val="59D7C6E4"/>
    <w:rsid w:val="59D942AE"/>
    <w:rsid w:val="59DBD2B4"/>
    <w:rsid w:val="59DDCB22"/>
    <w:rsid w:val="59E0DC68"/>
    <w:rsid w:val="59E2B6FC"/>
    <w:rsid w:val="59EBD733"/>
    <w:rsid w:val="59EC09A7"/>
    <w:rsid w:val="59EEE1BF"/>
    <w:rsid w:val="59EFCCA4"/>
    <w:rsid w:val="59F0015E"/>
    <w:rsid w:val="59F5FC27"/>
    <w:rsid w:val="59F5FF1F"/>
    <w:rsid w:val="59FBEB32"/>
    <w:rsid w:val="59FE38BB"/>
    <w:rsid w:val="5A0FF95B"/>
    <w:rsid w:val="5A12C437"/>
    <w:rsid w:val="5A134BC4"/>
    <w:rsid w:val="5A152999"/>
    <w:rsid w:val="5A186604"/>
    <w:rsid w:val="5A1D55FC"/>
    <w:rsid w:val="5A1EA507"/>
    <w:rsid w:val="5A24B51C"/>
    <w:rsid w:val="5A2BB6BD"/>
    <w:rsid w:val="5A2BB911"/>
    <w:rsid w:val="5A2C3C7B"/>
    <w:rsid w:val="5A2CB546"/>
    <w:rsid w:val="5A312948"/>
    <w:rsid w:val="5A33FEC9"/>
    <w:rsid w:val="5A354588"/>
    <w:rsid w:val="5A367443"/>
    <w:rsid w:val="5A4121A6"/>
    <w:rsid w:val="5A46D531"/>
    <w:rsid w:val="5A4A25DE"/>
    <w:rsid w:val="5A54597E"/>
    <w:rsid w:val="5A59C87C"/>
    <w:rsid w:val="5A5DB805"/>
    <w:rsid w:val="5A6239DF"/>
    <w:rsid w:val="5A63BF5E"/>
    <w:rsid w:val="5A686D3B"/>
    <w:rsid w:val="5A6A765A"/>
    <w:rsid w:val="5A74CFF9"/>
    <w:rsid w:val="5A761315"/>
    <w:rsid w:val="5A764485"/>
    <w:rsid w:val="5A76EA78"/>
    <w:rsid w:val="5A7BCA3E"/>
    <w:rsid w:val="5A80187C"/>
    <w:rsid w:val="5A8176C2"/>
    <w:rsid w:val="5A88196F"/>
    <w:rsid w:val="5A89306A"/>
    <w:rsid w:val="5A894A44"/>
    <w:rsid w:val="5A8963B5"/>
    <w:rsid w:val="5A8B99B4"/>
    <w:rsid w:val="5A90C5DB"/>
    <w:rsid w:val="5A959AE5"/>
    <w:rsid w:val="5A95C758"/>
    <w:rsid w:val="5AA1E521"/>
    <w:rsid w:val="5AA62917"/>
    <w:rsid w:val="5AA718E3"/>
    <w:rsid w:val="5AA855EC"/>
    <w:rsid w:val="5AAAE63D"/>
    <w:rsid w:val="5AAB81FA"/>
    <w:rsid w:val="5AAD4AA8"/>
    <w:rsid w:val="5AAE4BBA"/>
    <w:rsid w:val="5AB1163C"/>
    <w:rsid w:val="5ABD7DD2"/>
    <w:rsid w:val="5ABF506C"/>
    <w:rsid w:val="5ABF7D4B"/>
    <w:rsid w:val="5ACA51E5"/>
    <w:rsid w:val="5ACB4CBF"/>
    <w:rsid w:val="5ACDAF9D"/>
    <w:rsid w:val="5ACE96E6"/>
    <w:rsid w:val="5AD0E07E"/>
    <w:rsid w:val="5AD9379C"/>
    <w:rsid w:val="5AD97F11"/>
    <w:rsid w:val="5ADA70AD"/>
    <w:rsid w:val="5ADBD036"/>
    <w:rsid w:val="5ADE3B5D"/>
    <w:rsid w:val="5ADEE5A3"/>
    <w:rsid w:val="5AE2152E"/>
    <w:rsid w:val="5AE4B062"/>
    <w:rsid w:val="5AEA1E50"/>
    <w:rsid w:val="5AEACA3F"/>
    <w:rsid w:val="5AEB772F"/>
    <w:rsid w:val="5AEFD1F6"/>
    <w:rsid w:val="5AF79497"/>
    <w:rsid w:val="5AF91267"/>
    <w:rsid w:val="5AFBC2BF"/>
    <w:rsid w:val="5AFD0E11"/>
    <w:rsid w:val="5AFD3BE1"/>
    <w:rsid w:val="5AFEB222"/>
    <w:rsid w:val="5AFF9524"/>
    <w:rsid w:val="5B01E1C2"/>
    <w:rsid w:val="5B04CDA7"/>
    <w:rsid w:val="5B061DF9"/>
    <w:rsid w:val="5B06CCF1"/>
    <w:rsid w:val="5B076723"/>
    <w:rsid w:val="5B1912BF"/>
    <w:rsid w:val="5B1E70D2"/>
    <w:rsid w:val="5B1F90ED"/>
    <w:rsid w:val="5B26F4BE"/>
    <w:rsid w:val="5B2B37B7"/>
    <w:rsid w:val="5B2BEA0B"/>
    <w:rsid w:val="5B2E777E"/>
    <w:rsid w:val="5B32AEA9"/>
    <w:rsid w:val="5B32F567"/>
    <w:rsid w:val="5B33B619"/>
    <w:rsid w:val="5B381FA5"/>
    <w:rsid w:val="5B3CEEDB"/>
    <w:rsid w:val="5B3D743E"/>
    <w:rsid w:val="5B4006BE"/>
    <w:rsid w:val="5B4011D8"/>
    <w:rsid w:val="5B4284AE"/>
    <w:rsid w:val="5B433BCC"/>
    <w:rsid w:val="5B4727BF"/>
    <w:rsid w:val="5B487306"/>
    <w:rsid w:val="5B4C7448"/>
    <w:rsid w:val="5B50E03E"/>
    <w:rsid w:val="5B50F303"/>
    <w:rsid w:val="5B519476"/>
    <w:rsid w:val="5B549B5A"/>
    <w:rsid w:val="5B55B1E5"/>
    <w:rsid w:val="5B5840F0"/>
    <w:rsid w:val="5B596DCF"/>
    <w:rsid w:val="5B5BC686"/>
    <w:rsid w:val="5B67B69D"/>
    <w:rsid w:val="5B682273"/>
    <w:rsid w:val="5B69981F"/>
    <w:rsid w:val="5B6BAD7D"/>
    <w:rsid w:val="5B70DB9F"/>
    <w:rsid w:val="5B740801"/>
    <w:rsid w:val="5B752443"/>
    <w:rsid w:val="5B75605A"/>
    <w:rsid w:val="5B77B176"/>
    <w:rsid w:val="5B7D5DFE"/>
    <w:rsid w:val="5B7EEAF7"/>
    <w:rsid w:val="5B8EACB6"/>
    <w:rsid w:val="5B929FFD"/>
    <w:rsid w:val="5B938791"/>
    <w:rsid w:val="5B998ED9"/>
    <w:rsid w:val="5B9A49E1"/>
    <w:rsid w:val="5BA48496"/>
    <w:rsid w:val="5BA782BF"/>
    <w:rsid w:val="5BA7F4C6"/>
    <w:rsid w:val="5BAD2B26"/>
    <w:rsid w:val="5BAD38D0"/>
    <w:rsid w:val="5BAF8774"/>
    <w:rsid w:val="5BB30EA9"/>
    <w:rsid w:val="5BB5E339"/>
    <w:rsid w:val="5BB73304"/>
    <w:rsid w:val="5BB99C5C"/>
    <w:rsid w:val="5BBA47EB"/>
    <w:rsid w:val="5BBB3A36"/>
    <w:rsid w:val="5BC1EF67"/>
    <w:rsid w:val="5BC72FB9"/>
    <w:rsid w:val="5BC77185"/>
    <w:rsid w:val="5BC77B50"/>
    <w:rsid w:val="5BC93420"/>
    <w:rsid w:val="5BCBECBB"/>
    <w:rsid w:val="5BCE723A"/>
    <w:rsid w:val="5BD5BA4C"/>
    <w:rsid w:val="5BD5D72A"/>
    <w:rsid w:val="5BDE9F11"/>
    <w:rsid w:val="5BE4F9A0"/>
    <w:rsid w:val="5BEB826D"/>
    <w:rsid w:val="5BEC5E33"/>
    <w:rsid w:val="5BF2B146"/>
    <w:rsid w:val="5BF57D03"/>
    <w:rsid w:val="5BF6060C"/>
    <w:rsid w:val="5BF7039F"/>
    <w:rsid w:val="5BFA384F"/>
    <w:rsid w:val="5BFAA6AA"/>
    <w:rsid w:val="5BFC2C54"/>
    <w:rsid w:val="5BFDB6C3"/>
    <w:rsid w:val="5BFE38F3"/>
    <w:rsid w:val="5C015DE8"/>
    <w:rsid w:val="5C02ED15"/>
    <w:rsid w:val="5C04F394"/>
    <w:rsid w:val="5C0854FB"/>
    <w:rsid w:val="5C0C5BD4"/>
    <w:rsid w:val="5C0CA4B0"/>
    <w:rsid w:val="5C0F2F15"/>
    <w:rsid w:val="5C0F674C"/>
    <w:rsid w:val="5C10216E"/>
    <w:rsid w:val="5C153E08"/>
    <w:rsid w:val="5C15A424"/>
    <w:rsid w:val="5C18C52B"/>
    <w:rsid w:val="5C191E46"/>
    <w:rsid w:val="5C1D48B5"/>
    <w:rsid w:val="5C1D5E38"/>
    <w:rsid w:val="5C1E35EC"/>
    <w:rsid w:val="5C237966"/>
    <w:rsid w:val="5C24A796"/>
    <w:rsid w:val="5C2955CF"/>
    <w:rsid w:val="5C32320B"/>
    <w:rsid w:val="5C35F74D"/>
    <w:rsid w:val="5C36F3B2"/>
    <w:rsid w:val="5C3C3909"/>
    <w:rsid w:val="5C3D4E16"/>
    <w:rsid w:val="5C41C74A"/>
    <w:rsid w:val="5C420459"/>
    <w:rsid w:val="5C4C0F55"/>
    <w:rsid w:val="5C4D185F"/>
    <w:rsid w:val="5C4E085E"/>
    <w:rsid w:val="5C4F1777"/>
    <w:rsid w:val="5C595DF5"/>
    <w:rsid w:val="5C5E1A96"/>
    <w:rsid w:val="5C5F0BAA"/>
    <w:rsid w:val="5C608197"/>
    <w:rsid w:val="5C61A0A5"/>
    <w:rsid w:val="5C643AB8"/>
    <w:rsid w:val="5C67CE0A"/>
    <w:rsid w:val="5C68DE4A"/>
    <w:rsid w:val="5C6A7437"/>
    <w:rsid w:val="5C6AD190"/>
    <w:rsid w:val="5C6AF03B"/>
    <w:rsid w:val="5C6D868E"/>
    <w:rsid w:val="5C72275B"/>
    <w:rsid w:val="5C7AAB0F"/>
    <w:rsid w:val="5C7E84A3"/>
    <w:rsid w:val="5C802EC4"/>
    <w:rsid w:val="5C82F820"/>
    <w:rsid w:val="5C8399CA"/>
    <w:rsid w:val="5C86A210"/>
    <w:rsid w:val="5C86C5D9"/>
    <w:rsid w:val="5C88E7ED"/>
    <w:rsid w:val="5C89208B"/>
    <w:rsid w:val="5C8BF1D0"/>
    <w:rsid w:val="5C8D484A"/>
    <w:rsid w:val="5C8EBD78"/>
    <w:rsid w:val="5C915A48"/>
    <w:rsid w:val="5C925264"/>
    <w:rsid w:val="5C955822"/>
    <w:rsid w:val="5C9C9155"/>
    <w:rsid w:val="5CA0111B"/>
    <w:rsid w:val="5CA230CC"/>
    <w:rsid w:val="5CA78E29"/>
    <w:rsid w:val="5CA9379A"/>
    <w:rsid w:val="5CAA78D9"/>
    <w:rsid w:val="5CACA6C2"/>
    <w:rsid w:val="5CACC22D"/>
    <w:rsid w:val="5CB2BD47"/>
    <w:rsid w:val="5CB4DBBC"/>
    <w:rsid w:val="5CB5B7B8"/>
    <w:rsid w:val="5CC1EE33"/>
    <w:rsid w:val="5CC5BAB7"/>
    <w:rsid w:val="5CCA02FD"/>
    <w:rsid w:val="5CCB281D"/>
    <w:rsid w:val="5CD15CDE"/>
    <w:rsid w:val="5CD29A97"/>
    <w:rsid w:val="5CD32431"/>
    <w:rsid w:val="5CDE6235"/>
    <w:rsid w:val="5CE2581C"/>
    <w:rsid w:val="5CE366B4"/>
    <w:rsid w:val="5CE55432"/>
    <w:rsid w:val="5CE8DCAF"/>
    <w:rsid w:val="5CF0524F"/>
    <w:rsid w:val="5CF27D95"/>
    <w:rsid w:val="5CF9ABC5"/>
    <w:rsid w:val="5CF9E48E"/>
    <w:rsid w:val="5CFC7CA3"/>
    <w:rsid w:val="5CFDFFD6"/>
    <w:rsid w:val="5CFFCE68"/>
    <w:rsid w:val="5D020069"/>
    <w:rsid w:val="5D02DC32"/>
    <w:rsid w:val="5D04312D"/>
    <w:rsid w:val="5D0D627C"/>
    <w:rsid w:val="5D12BBB4"/>
    <w:rsid w:val="5D172561"/>
    <w:rsid w:val="5D1E4D40"/>
    <w:rsid w:val="5D1F2236"/>
    <w:rsid w:val="5D24CF20"/>
    <w:rsid w:val="5D2C9888"/>
    <w:rsid w:val="5D2EC139"/>
    <w:rsid w:val="5D3059B0"/>
    <w:rsid w:val="5D30E33E"/>
    <w:rsid w:val="5D36487F"/>
    <w:rsid w:val="5D39508B"/>
    <w:rsid w:val="5D3EBAC5"/>
    <w:rsid w:val="5D48F868"/>
    <w:rsid w:val="5D4CAD32"/>
    <w:rsid w:val="5D50A69F"/>
    <w:rsid w:val="5D536E52"/>
    <w:rsid w:val="5D55696F"/>
    <w:rsid w:val="5D5811FD"/>
    <w:rsid w:val="5D66DC43"/>
    <w:rsid w:val="5D675277"/>
    <w:rsid w:val="5D693BD2"/>
    <w:rsid w:val="5D6B9F43"/>
    <w:rsid w:val="5D6C60E8"/>
    <w:rsid w:val="5D705299"/>
    <w:rsid w:val="5D7357D7"/>
    <w:rsid w:val="5D74E75D"/>
    <w:rsid w:val="5D7531AA"/>
    <w:rsid w:val="5D7B4A8A"/>
    <w:rsid w:val="5D7FB7C0"/>
    <w:rsid w:val="5D7FE0C5"/>
    <w:rsid w:val="5D843E5D"/>
    <w:rsid w:val="5D88229D"/>
    <w:rsid w:val="5D88666E"/>
    <w:rsid w:val="5D88888D"/>
    <w:rsid w:val="5D8B252B"/>
    <w:rsid w:val="5D8B42E2"/>
    <w:rsid w:val="5D8BCB31"/>
    <w:rsid w:val="5D8DC10F"/>
    <w:rsid w:val="5D8DC584"/>
    <w:rsid w:val="5D8DF14A"/>
    <w:rsid w:val="5D906D9B"/>
    <w:rsid w:val="5D9A4D96"/>
    <w:rsid w:val="5D9B7564"/>
    <w:rsid w:val="5D9B7D99"/>
    <w:rsid w:val="5D9E911A"/>
    <w:rsid w:val="5D9ECB7A"/>
    <w:rsid w:val="5D9F9BBB"/>
    <w:rsid w:val="5DA164AC"/>
    <w:rsid w:val="5DA202AF"/>
    <w:rsid w:val="5DA324D0"/>
    <w:rsid w:val="5DA37654"/>
    <w:rsid w:val="5DB3CA40"/>
    <w:rsid w:val="5DB8BCE7"/>
    <w:rsid w:val="5DB94AA7"/>
    <w:rsid w:val="5DC9DB6C"/>
    <w:rsid w:val="5DCD1D3B"/>
    <w:rsid w:val="5DCF69E0"/>
    <w:rsid w:val="5DCFC80B"/>
    <w:rsid w:val="5DD619EE"/>
    <w:rsid w:val="5DE15361"/>
    <w:rsid w:val="5DE32BFA"/>
    <w:rsid w:val="5DE57148"/>
    <w:rsid w:val="5DE69C3F"/>
    <w:rsid w:val="5DE98207"/>
    <w:rsid w:val="5DE9BFAD"/>
    <w:rsid w:val="5DEA1398"/>
    <w:rsid w:val="5DEB80E5"/>
    <w:rsid w:val="5DF31365"/>
    <w:rsid w:val="5DF40C00"/>
    <w:rsid w:val="5E096E18"/>
    <w:rsid w:val="5E0DC542"/>
    <w:rsid w:val="5E0F3A18"/>
    <w:rsid w:val="5E10C4EC"/>
    <w:rsid w:val="5E163891"/>
    <w:rsid w:val="5E19634F"/>
    <w:rsid w:val="5E1C5D2C"/>
    <w:rsid w:val="5E24546F"/>
    <w:rsid w:val="5E25F09A"/>
    <w:rsid w:val="5E27E826"/>
    <w:rsid w:val="5E3410DA"/>
    <w:rsid w:val="5E34D429"/>
    <w:rsid w:val="5E353B6D"/>
    <w:rsid w:val="5E367EF8"/>
    <w:rsid w:val="5E38CDB0"/>
    <w:rsid w:val="5E396D2B"/>
    <w:rsid w:val="5E3DE75F"/>
    <w:rsid w:val="5E3F0B22"/>
    <w:rsid w:val="5E3F3F88"/>
    <w:rsid w:val="5E4024AE"/>
    <w:rsid w:val="5E403E9C"/>
    <w:rsid w:val="5E409729"/>
    <w:rsid w:val="5E430042"/>
    <w:rsid w:val="5E46E88F"/>
    <w:rsid w:val="5E4DD8DF"/>
    <w:rsid w:val="5E504E5E"/>
    <w:rsid w:val="5E50F767"/>
    <w:rsid w:val="5E526E28"/>
    <w:rsid w:val="5E532829"/>
    <w:rsid w:val="5E5B69EE"/>
    <w:rsid w:val="5E5BEB40"/>
    <w:rsid w:val="5E647CC8"/>
    <w:rsid w:val="5E691ACF"/>
    <w:rsid w:val="5E6A2356"/>
    <w:rsid w:val="5E6D2395"/>
    <w:rsid w:val="5E717C9F"/>
    <w:rsid w:val="5E736C0E"/>
    <w:rsid w:val="5E81C7A7"/>
    <w:rsid w:val="5E88142A"/>
    <w:rsid w:val="5E89CF3A"/>
    <w:rsid w:val="5E93A171"/>
    <w:rsid w:val="5E9659B5"/>
    <w:rsid w:val="5E973BA1"/>
    <w:rsid w:val="5E9936AB"/>
    <w:rsid w:val="5E994E74"/>
    <w:rsid w:val="5E9E0F47"/>
    <w:rsid w:val="5E9FB0C4"/>
    <w:rsid w:val="5EAD4658"/>
    <w:rsid w:val="5EB3DAE0"/>
    <w:rsid w:val="5EB657AF"/>
    <w:rsid w:val="5EB6EA40"/>
    <w:rsid w:val="5EB7246E"/>
    <w:rsid w:val="5EB7DF1C"/>
    <w:rsid w:val="5EB850D8"/>
    <w:rsid w:val="5EBA19D1"/>
    <w:rsid w:val="5EBB11A8"/>
    <w:rsid w:val="5EBB4B2B"/>
    <w:rsid w:val="5EC090ED"/>
    <w:rsid w:val="5EC316F2"/>
    <w:rsid w:val="5EC93A4A"/>
    <w:rsid w:val="5ECB131D"/>
    <w:rsid w:val="5ED64F09"/>
    <w:rsid w:val="5EDABCF7"/>
    <w:rsid w:val="5EDB5CF7"/>
    <w:rsid w:val="5EDCA07E"/>
    <w:rsid w:val="5EDE71D8"/>
    <w:rsid w:val="5EE0944B"/>
    <w:rsid w:val="5EE4243E"/>
    <w:rsid w:val="5EE76D95"/>
    <w:rsid w:val="5EEC5E57"/>
    <w:rsid w:val="5EF1175A"/>
    <w:rsid w:val="5EF25991"/>
    <w:rsid w:val="5EF3B9BF"/>
    <w:rsid w:val="5EFEC2FC"/>
    <w:rsid w:val="5F00D85A"/>
    <w:rsid w:val="5F062BE3"/>
    <w:rsid w:val="5F066B02"/>
    <w:rsid w:val="5F08F22C"/>
    <w:rsid w:val="5F0EA837"/>
    <w:rsid w:val="5F111416"/>
    <w:rsid w:val="5F12AB28"/>
    <w:rsid w:val="5F156A47"/>
    <w:rsid w:val="5F19384C"/>
    <w:rsid w:val="5F1CF08A"/>
    <w:rsid w:val="5F22734F"/>
    <w:rsid w:val="5F2AD649"/>
    <w:rsid w:val="5F2E6B82"/>
    <w:rsid w:val="5F339176"/>
    <w:rsid w:val="5F358D0D"/>
    <w:rsid w:val="5F374742"/>
    <w:rsid w:val="5F3FB3FF"/>
    <w:rsid w:val="5F432BDA"/>
    <w:rsid w:val="5F43B0FA"/>
    <w:rsid w:val="5F498A52"/>
    <w:rsid w:val="5F4B4A4C"/>
    <w:rsid w:val="5F4FFF6A"/>
    <w:rsid w:val="5F542E75"/>
    <w:rsid w:val="5F5490E1"/>
    <w:rsid w:val="5F5AA69D"/>
    <w:rsid w:val="5F5DEB93"/>
    <w:rsid w:val="5F631B37"/>
    <w:rsid w:val="5F644A7A"/>
    <w:rsid w:val="5F6503E0"/>
    <w:rsid w:val="5F6EAAB0"/>
    <w:rsid w:val="5F70BCBD"/>
    <w:rsid w:val="5F7118E1"/>
    <w:rsid w:val="5F7175A0"/>
    <w:rsid w:val="5F71FAB5"/>
    <w:rsid w:val="5F762D3B"/>
    <w:rsid w:val="5F774F08"/>
    <w:rsid w:val="5F786CE9"/>
    <w:rsid w:val="5F78ED3C"/>
    <w:rsid w:val="5F7A094C"/>
    <w:rsid w:val="5F7B7C22"/>
    <w:rsid w:val="5F7DE39E"/>
    <w:rsid w:val="5F7E6EEC"/>
    <w:rsid w:val="5F7FB4E0"/>
    <w:rsid w:val="5F80AB6C"/>
    <w:rsid w:val="5F843E80"/>
    <w:rsid w:val="5F88F36A"/>
    <w:rsid w:val="5F8E8761"/>
    <w:rsid w:val="5F9CDE77"/>
    <w:rsid w:val="5F9D0BB6"/>
    <w:rsid w:val="5F9F94C7"/>
    <w:rsid w:val="5FA09A77"/>
    <w:rsid w:val="5FA40019"/>
    <w:rsid w:val="5FABF965"/>
    <w:rsid w:val="5FB26A81"/>
    <w:rsid w:val="5FB6EE2F"/>
    <w:rsid w:val="5FBCFE70"/>
    <w:rsid w:val="5FC35934"/>
    <w:rsid w:val="5FC5C202"/>
    <w:rsid w:val="5FD62E1B"/>
    <w:rsid w:val="5FDC04B1"/>
    <w:rsid w:val="5FE390E1"/>
    <w:rsid w:val="5FE442D6"/>
    <w:rsid w:val="5FE6344F"/>
    <w:rsid w:val="5FEB0293"/>
    <w:rsid w:val="5FEDE80F"/>
    <w:rsid w:val="5FF4F870"/>
    <w:rsid w:val="5FF61DFD"/>
    <w:rsid w:val="5FF6D2E1"/>
    <w:rsid w:val="5FFA8F66"/>
    <w:rsid w:val="5FFF0F75"/>
    <w:rsid w:val="60157880"/>
    <w:rsid w:val="601652CE"/>
    <w:rsid w:val="601D6289"/>
    <w:rsid w:val="601E0440"/>
    <w:rsid w:val="601E15CD"/>
    <w:rsid w:val="601FBBE5"/>
    <w:rsid w:val="602A70BE"/>
    <w:rsid w:val="602DCAC8"/>
    <w:rsid w:val="6035460A"/>
    <w:rsid w:val="60391EB6"/>
    <w:rsid w:val="6039D9F0"/>
    <w:rsid w:val="603AFED7"/>
    <w:rsid w:val="603B4188"/>
    <w:rsid w:val="603C0000"/>
    <w:rsid w:val="60444478"/>
    <w:rsid w:val="60471BA0"/>
    <w:rsid w:val="604C4285"/>
    <w:rsid w:val="604C98FC"/>
    <w:rsid w:val="6052F849"/>
    <w:rsid w:val="6055BF65"/>
    <w:rsid w:val="60570956"/>
    <w:rsid w:val="6068F455"/>
    <w:rsid w:val="6069758E"/>
    <w:rsid w:val="606C96F4"/>
    <w:rsid w:val="607DC96B"/>
    <w:rsid w:val="607E37D6"/>
    <w:rsid w:val="60815BB7"/>
    <w:rsid w:val="60816240"/>
    <w:rsid w:val="6086F6AA"/>
    <w:rsid w:val="6088BC98"/>
    <w:rsid w:val="608F43A7"/>
    <w:rsid w:val="6090822B"/>
    <w:rsid w:val="6094033F"/>
    <w:rsid w:val="609C1E97"/>
    <w:rsid w:val="609D1E0C"/>
    <w:rsid w:val="60A051AF"/>
    <w:rsid w:val="60A1B00E"/>
    <w:rsid w:val="60A46EE2"/>
    <w:rsid w:val="60A5A5A5"/>
    <w:rsid w:val="60AA251F"/>
    <w:rsid w:val="60ABD439"/>
    <w:rsid w:val="60AE3B61"/>
    <w:rsid w:val="60B04DCB"/>
    <w:rsid w:val="60B32D30"/>
    <w:rsid w:val="60B919FD"/>
    <w:rsid w:val="60B9849F"/>
    <w:rsid w:val="60BC4038"/>
    <w:rsid w:val="60BCE54F"/>
    <w:rsid w:val="60BE712F"/>
    <w:rsid w:val="60BF2AB3"/>
    <w:rsid w:val="60C4769A"/>
    <w:rsid w:val="60C8A680"/>
    <w:rsid w:val="60C9BB23"/>
    <w:rsid w:val="60CA3432"/>
    <w:rsid w:val="60CCCBBC"/>
    <w:rsid w:val="60CDF17F"/>
    <w:rsid w:val="60CE2013"/>
    <w:rsid w:val="60D13E44"/>
    <w:rsid w:val="60D5BD1F"/>
    <w:rsid w:val="60D6D736"/>
    <w:rsid w:val="60D6FAB9"/>
    <w:rsid w:val="60DF7F75"/>
    <w:rsid w:val="60E24130"/>
    <w:rsid w:val="60E82A65"/>
    <w:rsid w:val="60EBACA2"/>
    <w:rsid w:val="60EC0082"/>
    <w:rsid w:val="60ECA171"/>
    <w:rsid w:val="60F0C8BE"/>
    <w:rsid w:val="60F273D4"/>
    <w:rsid w:val="60F38E0D"/>
    <w:rsid w:val="60F71F9A"/>
    <w:rsid w:val="60F92C43"/>
    <w:rsid w:val="60FA43E1"/>
    <w:rsid w:val="60FEA362"/>
    <w:rsid w:val="60FF367E"/>
    <w:rsid w:val="6101419B"/>
    <w:rsid w:val="6101B59B"/>
    <w:rsid w:val="61127D1C"/>
    <w:rsid w:val="61141905"/>
    <w:rsid w:val="611C9D65"/>
    <w:rsid w:val="611CC801"/>
    <w:rsid w:val="611E865E"/>
    <w:rsid w:val="611ED87B"/>
    <w:rsid w:val="611EE147"/>
    <w:rsid w:val="6120D6E6"/>
    <w:rsid w:val="61245166"/>
    <w:rsid w:val="6124E440"/>
    <w:rsid w:val="61266E60"/>
    <w:rsid w:val="612DDA62"/>
    <w:rsid w:val="612F0152"/>
    <w:rsid w:val="61304ACB"/>
    <w:rsid w:val="613AAF80"/>
    <w:rsid w:val="613E45E0"/>
    <w:rsid w:val="6140D28F"/>
    <w:rsid w:val="6143716C"/>
    <w:rsid w:val="6145782F"/>
    <w:rsid w:val="6145EBC5"/>
    <w:rsid w:val="6146CB48"/>
    <w:rsid w:val="614E6678"/>
    <w:rsid w:val="61501DF9"/>
    <w:rsid w:val="6150AB32"/>
    <w:rsid w:val="6153AECD"/>
    <w:rsid w:val="61558F35"/>
    <w:rsid w:val="6156EF79"/>
    <w:rsid w:val="6156FA9F"/>
    <w:rsid w:val="6157EFC1"/>
    <w:rsid w:val="61585605"/>
    <w:rsid w:val="61598F3E"/>
    <w:rsid w:val="615CB90C"/>
    <w:rsid w:val="615D8D49"/>
    <w:rsid w:val="615F382C"/>
    <w:rsid w:val="616443CD"/>
    <w:rsid w:val="6166A815"/>
    <w:rsid w:val="6167F2DD"/>
    <w:rsid w:val="6169F95C"/>
    <w:rsid w:val="616E10C2"/>
    <w:rsid w:val="616F6BFA"/>
    <w:rsid w:val="616F9633"/>
    <w:rsid w:val="6172A21F"/>
    <w:rsid w:val="6174344E"/>
    <w:rsid w:val="61779EFC"/>
    <w:rsid w:val="618701FB"/>
    <w:rsid w:val="618A247B"/>
    <w:rsid w:val="618F03F4"/>
    <w:rsid w:val="619830CA"/>
    <w:rsid w:val="6198C9D3"/>
    <w:rsid w:val="619A2552"/>
    <w:rsid w:val="619C849F"/>
    <w:rsid w:val="619DFFFC"/>
    <w:rsid w:val="619EC851"/>
    <w:rsid w:val="61A057D4"/>
    <w:rsid w:val="61A30102"/>
    <w:rsid w:val="61A4C2D0"/>
    <w:rsid w:val="61A52D9A"/>
    <w:rsid w:val="61A556B2"/>
    <w:rsid w:val="61A69239"/>
    <w:rsid w:val="61A8D09C"/>
    <w:rsid w:val="61AB7AFE"/>
    <w:rsid w:val="61ADDAE0"/>
    <w:rsid w:val="61AEADC8"/>
    <w:rsid w:val="61AF2405"/>
    <w:rsid w:val="61B24637"/>
    <w:rsid w:val="61BB2236"/>
    <w:rsid w:val="61BC4F48"/>
    <w:rsid w:val="61BE9D67"/>
    <w:rsid w:val="61C0E098"/>
    <w:rsid w:val="61CA6D9A"/>
    <w:rsid w:val="61CA95CD"/>
    <w:rsid w:val="61CB99D0"/>
    <w:rsid w:val="61CDF550"/>
    <w:rsid w:val="61D07A49"/>
    <w:rsid w:val="61D83AA4"/>
    <w:rsid w:val="61DADB88"/>
    <w:rsid w:val="61E778F9"/>
    <w:rsid w:val="61E7E683"/>
    <w:rsid w:val="61E98C84"/>
    <w:rsid w:val="61F315DD"/>
    <w:rsid w:val="61F484C8"/>
    <w:rsid w:val="61F828D8"/>
    <w:rsid w:val="61FAD0F9"/>
    <w:rsid w:val="61FBBE65"/>
    <w:rsid w:val="61FEF911"/>
    <w:rsid w:val="62033CC2"/>
    <w:rsid w:val="6207782F"/>
    <w:rsid w:val="620C1503"/>
    <w:rsid w:val="620C2760"/>
    <w:rsid w:val="621194F1"/>
    <w:rsid w:val="62124875"/>
    <w:rsid w:val="62124E54"/>
    <w:rsid w:val="6212C545"/>
    <w:rsid w:val="6214ECD0"/>
    <w:rsid w:val="62168612"/>
    <w:rsid w:val="621DAAAD"/>
    <w:rsid w:val="6224835D"/>
    <w:rsid w:val="62279625"/>
    <w:rsid w:val="622B389E"/>
    <w:rsid w:val="622DA90B"/>
    <w:rsid w:val="62311D51"/>
    <w:rsid w:val="623465C0"/>
    <w:rsid w:val="6234BEA1"/>
    <w:rsid w:val="623D2951"/>
    <w:rsid w:val="623E8BB2"/>
    <w:rsid w:val="623ECC1C"/>
    <w:rsid w:val="6240A509"/>
    <w:rsid w:val="6240CBD7"/>
    <w:rsid w:val="6241CCEB"/>
    <w:rsid w:val="624A5923"/>
    <w:rsid w:val="624B3279"/>
    <w:rsid w:val="624C07C3"/>
    <w:rsid w:val="62536B31"/>
    <w:rsid w:val="62547859"/>
    <w:rsid w:val="625E09B4"/>
    <w:rsid w:val="625E3481"/>
    <w:rsid w:val="6263A5AB"/>
    <w:rsid w:val="626434B2"/>
    <w:rsid w:val="626A8AA5"/>
    <w:rsid w:val="626F4691"/>
    <w:rsid w:val="62718169"/>
    <w:rsid w:val="6271861B"/>
    <w:rsid w:val="62791663"/>
    <w:rsid w:val="627C5933"/>
    <w:rsid w:val="627FCDD0"/>
    <w:rsid w:val="62807679"/>
    <w:rsid w:val="62866501"/>
    <w:rsid w:val="628DDF5A"/>
    <w:rsid w:val="62933F43"/>
    <w:rsid w:val="629672D0"/>
    <w:rsid w:val="62A592DF"/>
    <w:rsid w:val="62A77D59"/>
    <w:rsid w:val="62AB03A2"/>
    <w:rsid w:val="62B18DE5"/>
    <w:rsid w:val="62B25226"/>
    <w:rsid w:val="62B6EF85"/>
    <w:rsid w:val="62B73E25"/>
    <w:rsid w:val="62BA52E8"/>
    <w:rsid w:val="62BD787B"/>
    <w:rsid w:val="62BEDFBB"/>
    <w:rsid w:val="62C9F0FA"/>
    <w:rsid w:val="62CF7772"/>
    <w:rsid w:val="62D3C0D7"/>
    <w:rsid w:val="62DB7FC8"/>
    <w:rsid w:val="62DC25CB"/>
    <w:rsid w:val="62DE7D68"/>
    <w:rsid w:val="62DF468B"/>
    <w:rsid w:val="62E4F6BF"/>
    <w:rsid w:val="62E63043"/>
    <w:rsid w:val="62E8F295"/>
    <w:rsid w:val="62ECF548"/>
    <w:rsid w:val="62F6EA19"/>
    <w:rsid w:val="62F787BC"/>
    <w:rsid w:val="62F88DC9"/>
    <w:rsid w:val="62FC9C8D"/>
    <w:rsid w:val="6303842F"/>
    <w:rsid w:val="63058637"/>
    <w:rsid w:val="630A3770"/>
    <w:rsid w:val="630E736A"/>
    <w:rsid w:val="6310C586"/>
    <w:rsid w:val="6311FDF6"/>
    <w:rsid w:val="631A3AB8"/>
    <w:rsid w:val="631E463B"/>
    <w:rsid w:val="631FA860"/>
    <w:rsid w:val="632067D1"/>
    <w:rsid w:val="63207013"/>
    <w:rsid w:val="6320F55E"/>
    <w:rsid w:val="63241CB4"/>
    <w:rsid w:val="632C27F6"/>
    <w:rsid w:val="633E22A3"/>
    <w:rsid w:val="63401894"/>
    <w:rsid w:val="63462E17"/>
    <w:rsid w:val="6349A694"/>
    <w:rsid w:val="6353F05B"/>
    <w:rsid w:val="63544EBE"/>
    <w:rsid w:val="6356E579"/>
    <w:rsid w:val="635A0589"/>
    <w:rsid w:val="6364ED4D"/>
    <w:rsid w:val="6365FBF8"/>
    <w:rsid w:val="636FADA5"/>
    <w:rsid w:val="6376E12D"/>
    <w:rsid w:val="637782C4"/>
    <w:rsid w:val="637B7922"/>
    <w:rsid w:val="63892E47"/>
    <w:rsid w:val="63913D18"/>
    <w:rsid w:val="63921C6E"/>
    <w:rsid w:val="6395FC2C"/>
    <w:rsid w:val="6396FB49"/>
    <w:rsid w:val="63975DD2"/>
    <w:rsid w:val="639F2379"/>
    <w:rsid w:val="63A16EBA"/>
    <w:rsid w:val="63A3E51D"/>
    <w:rsid w:val="63A3F559"/>
    <w:rsid w:val="63AF0A84"/>
    <w:rsid w:val="63AF4B58"/>
    <w:rsid w:val="63B44158"/>
    <w:rsid w:val="63B81ABD"/>
    <w:rsid w:val="63BAF84B"/>
    <w:rsid w:val="63C511F1"/>
    <w:rsid w:val="63C53D1C"/>
    <w:rsid w:val="63C5D35A"/>
    <w:rsid w:val="63C74ED9"/>
    <w:rsid w:val="63C7CAFF"/>
    <w:rsid w:val="63C8A879"/>
    <w:rsid w:val="63D9C8DB"/>
    <w:rsid w:val="63DA0343"/>
    <w:rsid w:val="63DBDF76"/>
    <w:rsid w:val="63DE5B33"/>
    <w:rsid w:val="63E480EF"/>
    <w:rsid w:val="63E86E46"/>
    <w:rsid w:val="63EB0BE2"/>
    <w:rsid w:val="63ECC9B0"/>
    <w:rsid w:val="63ED1D6F"/>
    <w:rsid w:val="63EF9EC1"/>
    <w:rsid w:val="63F25674"/>
    <w:rsid w:val="63F37E09"/>
    <w:rsid w:val="63F608A7"/>
    <w:rsid w:val="63FDE7C6"/>
    <w:rsid w:val="63FE6F1A"/>
    <w:rsid w:val="64011A27"/>
    <w:rsid w:val="640484AC"/>
    <w:rsid w:val="640D453B"/>
    <w:rsid w:val="640E7338"/>
    <w:rsid w:val="641001FB"/>
    <w:rsid w:val="6412FB90"/>
    <w:rsid w:val="64155FA8"/>
    <w:rsid w:val="64156D95"/>
    <w:rsid w:val="641BB085"/>
    <w:rsid w:val="641D36BF"/>
    <w:rsid w:val="641E04FC"/>
    <w:rsid w:val="642F9D98"/>
    <w:rsid w:val="6432877E"/>
    <w:rsid w:val="64330AB8"/>
    <w:rsid w:val="64356FAF"/>
    <w:rsid w:val="6435D27C"/>
    <w:rsid w:val="6438C19F"/>
    <w:rsid w:val="643A7999"/>
    <w:rsid w:val="64443D2E"/>
    <w:rsid w:val="64446900"/>
    <w:rsid w:val="6449F612"/>
    <w:rsid w:val="644AC74C"/>
    <w:rsid w:val="644EA06C"/>
    <w:rsid w:val="644F5EAB"/>
    <w:rsid w:val="6451D2B6"/>
    <w:rsid w:val="6451EEA5"/>
    <w:rsid w:val="6454F463"/>
    <w:rsid w:val="64577F34"/>
    <w:rsid w:val="64596E19"/>
    <w:rsid w:val="6459E3E1"/>
    <w:rsid w:val="645D0E65"/>
    <w:rsid w:val="6466BAAC"/>
    <w:rsid w:val="64689543"/>
    <w:rsid w:val="646B6F2E"/>
    <w:rsid w:val="646DFE2D"/>
    <w:rsid w:val="646FCBBD"/>
    <w:rsid w:val="6472FDEA"/>
    <w:rsid w:val="64776E25"/>
    <w:rsid w:val="647B4D0E"/>
    <w:rsid w:val="647F12A1"/>
    <w:rsid w:val="64815795"/>
    <w:rsid w:val="648FEDD2"/>
    <w:rsid w:val="6490E586"/>
    <w:rsid w:val="6491A791"/>
    <w:rsid w:val="64993005"/>
    <w:rsid w:val="64A4319D"/>
    <w:rsid w:val="64A7FF11"/>
    <w:rsid w:val="64AA5ECA"/>
    <w:rsid w:val="64AF10B7"/>
    <w:rsid w:val="64B31C46"/>
    <w:rsid w:val="64B572E7"/>
    <w:rsid w:val="64B6851A"/>
    <w:rsid w:val="64C00812"/>
    <w:rsid w:val="64C0D13E"/>
    <w:rsid w:val="64C39D19"/>
    <w:rsid w:val="64C3C9FB"/>
    <w:rsid w:val="64C6A07E"/>
    <w:rsid w:val="64C7B488"/>
    <w:rsid w:val="64C9E69A"/>
    <w:rsid w:val="64CC515A"/>
    <w:rsid w:val="64CCE1C0"/>
    <w:rsid w:val="64D1E9E1"/>
    <w:rsid w:val="64D1EE4E"/>
    <w:rsid w:val="64D2B4B3"/>
    <w:rsid w:val="64D5FC50"/>
    <w:rsid w:val="64DF8891"/>
    <w:rsid w:val="64DFFCC9"/>
    <w:rsid w:val="64E312FC"/>
    <w:rsid w:val="64E372F6"/>
    <w:rsid w:val="64E64FE8"/>
    <w:rsid w:val="64E85F3D"/>
    <w:rsid w:val="64E89BA1"/>
    <w:rsid w:val="64F3CBBF"/>
    <w:rsid w:val="64F8E117"/>
    <w:rsid w:val="64FEDFC6"/>
    <w:rsid w:val="6502E267"/>
    <w:rsid w:val="6503A8AF"/>
    <w:rsid w:val="650FB588"/>
    <w:rsid w:val="6512FBA9"/>
    <w:rsid w:val="6513C54A"/>
    <w:rsid w:val="651639F6"/>
    <w:rsid w:val="65195F8C"/>
    <w:rsid w:val="651D8034"/>
    <w:rsid w:val="651DAB6C"/>
    <w:rsid w:val="651E08B0"/>
    <w:rsid w:val="651FB9AF"/>
    <w:rsid w:val="6526ACBE"/>
    <w:rsid w:val="6529263C"/>
    <w:rsid w:val="652C801B"/>
    <w:rsid w:val="652D4751"/>
    <w:rsid w:val="653021D8"/>
    <w:rsid w:val="65308E5D"/>
    <w:rsid w:val="65358855"/>
    <w:rsid w:val="6538B424"/>
    <w:rsid w:val="65429568"/>
    <w:rsid w:val="65451E7C"/>
    <w:rsid w:val="65452D1D"/>
    <w:rsid w:val="65473DBD"/>
    <w:rsid w:val="6548588E"/>
    <w:rsid w:val="6548A54A"/>
    <w:rsid w:val="654AEF7A"/>
    <w:rsid w:val="654C9AF5"/>
    <w:rsid w:val="654E81B7"/>
    <w:rsid w:val="654F783A"/>
    <w:rsid w:val="65532807"/>
    <w:rsid w:val="655D4BED"/>
    <w:rsid w:val="655DA5FC"/>
    <w:rsid w:val="65659115"/>
    <w:rsid w:val="656841AB"/>
    <w:rsid w:val="656C38E2"/>
    <w:rsid w:val="656DACDE"/>
    <w:rsid w:val="656E8939"/>
    <w:rsid w:val="656EE35B"/>
    <w:rsid w:val="6578856E"/>
    <w:rsid w:val="657D603B"/>
    <w:rsid w:val="65823043"/>
    <w:rsid w:val="658792FC"/>
    <w:rsid w:val="658806A8"/>
    <w:rsid w:val="65892839"/>
    <w:rsid w:val="658DC31B"/>
    <w:rsid w:val="658EDD8B"/>
    <w:rsid w:val="65928F1D"/>
    <w:rsid w:val="65933766"/>
    <w:rsid w:val="65946F01"/>
    <w:rsid w:val="659585C5"/>
    <w:rsid w:val="6598329F"/>
    <w:rsid w:val="6598F949"/>
    <w:rsid w:val="659A8A87"/>
    <w:rsid w:val="659AC9B8"/>
    <w:rsid w:val="659CF2CD"/>
    <w:rsid w:val="65A0E3FB"/>
    <w:rsid w:val="65A41707"/>
    <w:rsid w:val="65A5EA31"/>
    <w:rsid w:val="65A5EE24"/>
    <w:rsid w:val="65A6744C"/>
    <w:rsid w:val="65A6753E"/>
    <w:rsid w:val="65A73DCC"/>
    <w:rsid w:val="65A877F1"/>
    <w:rsid w:val="65A9FD79"/>
    <w:rsid w:val="65ABDCE8"/>
    <w:rsid w:val="65AC5587"/>
    <w:rsid w:val="65AC6914"/>
    <w:rsid w:val="65AD7F25"/>
    <w:rsid w:val="65AFAB08"/>
    <w:rsid w:val="65B12B79"/>
    <w:rsid w:val="65B4CB68"/>
    <w:rsid w:val="65B5208C"/>
    <w:rsid w:val="65BAB853"/>
    <w:rsid w:val="65BC3389"/>
    <w:rsid w:val="65BD0964"/>
    <w:rsid w:val="65C11DCD"/>
    <w:rsid w:val="65C484AC"/>
    <w:rsid w:val="65C834FD"/>
    <w:rsid w:val="65C85CBE"/>
    <w:rsid w:val="65CB9DEC"/>
    <w:rsid w:val="65CD1622"/>
    <w:rsid w:val="65CDB4A2"/>
    <w:rsid w:val="65D03D16"/>
    <w:rsid w:val="65D18FAB"/>
    <w:rsid w:val="65D1E3DB"/>
    <w:rsid w:val="65D94619"/>
    <w:rsid w:val="65DD68A7"/>
    <w:rsid w:val="65DF3F8A"/>
    <w:rsid w:val="65DF88A0"/>
    <w:rsid w:val="65E0990F"/>
    <w:rsid w:val="65E0D2AF"/>
    <w:rsid w:val="65E4682A"/>
    <w:rsid w:val="65E6CD4D"/>
    <w:rsid w:val="65E94751"/>
    <w:rsid w:val="65EAB436"/>
    <w:rsid w:val="65EB1E09"/>
    <w:rsid w:val="65EC7BC5"/>
    <w:rsid w:val="65ECD094"/>
    <w:rsid w:val="65EEC42B"/>
    <w:rsid w:val="65F05E44"/>
    <w:rsid w:val="65F2789D"/>
    <w:rsid w:val="65F6866B"/>
    <w:rsid w:val="65F890DF"/>
    <w:rsid w:val="65F979B0"/>
    <w:rsid w:val="65FE0D29"/>
    <w:rsid w:val="6600127D"/>
    <w:rsid w:val="66009787"/>
    <w:rsid w:val="66099F0F"/>
    <w:rsid w:val="660B697E"/>
    <w:rsid w:val="6611BAAD"/>
    <w:rsid w:val="66120E38"/>
    <w:rsid w:val="661243ED"/>
    <w:rsid w:val="661299DF"/>
    <w:rsid w:val="66130C44"/>
    <w:rsid w:val="66141C5A"/>
    <w:rsid w:val="6618B54E"/>
    <w:rsid w:val="661CAF98"/>
    <w:rsid w:val="6626E70C"/>
    <w:rsid w:val="66289CFD"/>
    <w:rsid w:val="662B19C7"/>
    <w:rsid w:val="662B7F1E"/>
    <w:rsid w:val="662E21EF"/>
    <w:rsid w:val="6636379E"/>
    <w:rsid w:val="663A1F72"/>
    <w:rsid w:val="663D61ED"/>
    <w:rsid w:val="663E2581"/>
    <w:rsid w:val="66428EFA"/>
    <w:rsid w:val="66431A03"/>
    <w:rsid w:val="66451EBC"/>
    <w:rsid w:val="66459354"/>
    <w:rsid w:val="6645F298"/>
    <w:rsid w:val="6647A204"/>
    <w:rsid w:val="664CF892"/>
    <w:rsid w:val="664F2C45"/>
    <w:rsid w:val="66523F35"/>
    <w:rsid w:val="66646093"/>
    <w:rsid w:val="6665F59C"/>
    <w:rsid w:val="6669B88E"/>
    <w:rsid w:val="666A003B"/>
    <w:rsid w:val="666A9A9C"/>
    <w:rsid w:val="666D146A"/>
    <w:rsid w:val="666F9B34"/>
    <w:rsid w:val="66707444"/>
    <w:rsid w:val="66735BA9"/>
    <w:rsid w:val="66749E6F"/>
    <w:rsid w:val="6680F25A"/>
    <w:rsid w:val="66810A9A"/>
    <w:rsid w:val="66839853"/>
    <w:rsid w:val="6685BFAC"/>
    <w:rsid w:val="6688A6A8"/>
    <w:rsid w:val="668C8AD8"/>
    <w:rsid w:val="668F33D1"/>
    <w:rsid w:val="668FC5DE"/>
    <w:rsid w:val="668FDD6A"/>
    <w:rsid w:val="6690E072"/>
    <w:rsid w:val="6691A4FB"/>
    <w:rsid w:val="66984532"/>
    <w:rsid w:val="66A010B4"/>
    <w:rsid w:val="66A4C596"/>
    <w:rsid w:val="66A7910F"/>
    <w:rsid w:val="66AEA04E"/>
    <w:rsid w:val="66B471BB"/>
    <w:rsid w:val="66B8AC0F"/>
    <w:rsid w:val="66B8EE90"/>
    <w:rsid w:val="66BCEA3B"/>
    <w:rsid w:val="66BD34FF"/>
    <w:rsid w:val="66BEED00"/>
    <w:rsid w:val="66C5CC66"/>
    <w:rsid w:val="66C900F0"/>
    <w:rsid w:val="66CC15A5"/>
    <w:rsid w:val="66CCD900"/>
    <w:rsid w:val="66D1C315"/>
    <w:rsid w:val="66D2C891"/>
    <w:rsid w:val="66D638B1"/>
    <w:rsid w:val="66D73BA3"/>
    <w:rsid w:val="66D97852"/>
    <w:rsid w:val="66DE126E"/>
    <w:rsid w:val="66E0EEDE"/>
    <w:rsid w:val="66E1C76D"/>
    <w:rsid w:val="66E5A307"/>
    <w:rsid w:val="66E7BE07"/>
    <w:rsid w:val="66EC8FF4"/>
    <w:rsid w:val="66EE5E42"/>
    <w:rsid w:val="66F2FA15"/>
    <w:rsid w:val="66F9433C"/>
    <w:rsid w:val="66FA6794"/>
    <w:rsid w:val="67049EB8"/>
    <w:rsid w:val="6705288E"/>
    <w:rsid w:val="6708040C"/>
    <w:rsid w:val="6711170A"/>
    <w:rsid w:val="671326D5"/>
    <w:rsid w:val="6716A13C"/>
    <w:rsid w:val="6718DED3"/>
    <w:rsid w:val="671925D6"/>
    <w:rsid w:val="671ABFFF"/>
    <w:rsid w:val="6724C79C"/>
    <w:rsid w:val="672833DD"/>
    <w:rsid w:val="672F43C8"/>
    <w:rsid w:val="6737F07F"/>
    <w:rsid w:val="673D042F"/>
    <w:rsid w:val="673F2FBE"/>
    <w:rsid w:val="67441F5D"/>
    <w:rsid w:val="67455467"/>
    <w:rsid w:val="6749E8D3"/>
    <w:rsid w:val="6749EC10"/>
    <w:rsid w:val="6749EF64"/>
    <w:rsid w:val="6751A3F0"/>
    <w:rsid w:val="6752D947"/>
    <w:rsid w:val="67545FC0"/>
    <w:rsid w:val="676B4625"/>
    <w:rsid w:val="67753BAA"/>
    <w:rsid w:val="67771435"/>
    <w:rsid w:val="677936AA"/>
    <w:rsid w:val="677E4AAC"/>
    <w:rsid w:val="67885916"/>
    <w:rsid w:val="678A6A15"/>
    <w:rsid w:val="678AC4DB"/>
    <w:rsid w:val="678D5314"/>
    <w:rsid w:val="678D64EB"/>
    <w:rsid w:val="678F7B0F"/>
    <w:rsid w:val="6791C5D1"/>
    <w:rsid w:val="6792B508"/>
    <w:rsid w:val="67976881"/>
    <w:rsid w:val="6798CF11"/>
    <w:rsid w:val="679AF7E9"/>
    <w:rsid w:val="679E78A4"/>
    <w:rsid w:val="67A1E0B9"/>
    <w:rsid w:val="67A2AD7C"/>
    <w:rsid w:val="67A5F9CA"/>
    <w:rsid w:val="67AB234F"/>
    <w:rsid w:val="67AB808B"/>
    <w:rsid w:val="67B8BCC0"/>
    <w:rsid w:val="67B8F530"/>
    <w:rsid w:val="67C8FDA2"/>
    <w:rsid w:val="67C9C6C6"/>
    <w:rsid w:val="67CEF7D4"/>
    <w:rsid w:val="67D340B8"/>
    <w:rsid w:val="67D34A33"/>
    <w:rsid w:val="67D4DE07"/>
    <w:rsid w:val="67E4673E"/>
    <w:rsid w:val="67E4A086"/>
    <w:rsid w:val="67E7542A"/>
    <w:rsid w:val="67E9211D"/>
    <w:rsid w:val="67E9FB03"/>
    <w:rsid w:val="67EB2836"/>
    <w:rsid w:val="67F24AEE"/>
    <w:rsid w:val="67F3A953"/>
    <w:rsid w:val="67FCAB60"/>
    <w:rsid w:val="67FD4961"/>
    <w:rsid w:val="67FF97B7"/>
    <w:rsid w:val="68025AF5"/>
    <w:rsid w:val="680491B6"/>
    <w:rsid w:val="6812A412"/>
    <w:rsid w:val="6812BE78"/>
    <w:rsid w:val="6814FC0D"/>
    <w:rsid w:val="681FF981"/>
    <w:rsid w:val="682071E9"/>
    <w:rsid w:val="6822A319"/>
    <w:rsid w:val="68265AC9"/>
    <w:rsid w:val="6829B617"/>
    <w:rsid w:val="682A55ED"/>
    <w:rsid w:val="682B0BAA"/>
    <w:rsid w:val="682DD3A8"/>
    <w:rsid w:val="683283CF"/>
    <w:rsid w:val="68361627"/>
    <w:rsid w:val="68363D36"/>
    <w:rsid w:val="683742A0"/>
    <w:rsid w:val="68384141"/>
    <w:rsid w:val="683ACDA2"/>
    <w:rsid w:val="6843B51D"/>
    <w:rsid w:val="68468D84"/>
    <w:rsid w:val="6849690A"/>
    <w:rsid w:val="684A079B"/>
    <w:rsid w:val="684B0653"/>
    <w:rsid w:val="685026DB"/>
    <w:rsid w:val="68562A7D"/>
    <w:rsid w:val="68571488"/>
    <w:rsid w:val="685D9880"/>
    <w:rsid w:val="685EEB91"/>
    <w:rsid w:val="68622824"/>
    <w:rsid w:val="68634C84"/>
    <w:rsid w:val="686CFF5F"/>
    <w:rsid w:val="686D1B45"/>
    <w:rsid w:val="686F3CFB"/>
    <w:rsid w:val="68701AD6"/>
    <w:rsid w:val="68727795"/>
    <w:rsid w:val="68738DDD"/>
    <w:rsid w:val="687D91C4"/>
    <w:rsid w:val="688009B4"/>
    <w:rsid w:val="6884B351"/>
    <w:rsid w:val="68858B1E"/>
    <w:rsid w:val="6889DE48"/>
    <w:rsid w:val="688D33C6"/>
    <w:rsid w:val="688FACBB"/>
    <w:rsid w:val="68919BAC"/>
    <w:rsid w:val="6892C044"/>
    <w:rsid w:val="68968DE7"/>
    <w:rsid w:val="689A8413"/>
    <w:rsid w:val="689BB3D6"/>
    <w:rsid w:val="689E5FE9"/>
    <w:rsid w:val="68A13167"/>
    <w:rsid w:val="68A35A8F"/>
    <w:rsid w:val="68A4830D"/>
    <w:rsid w:val="68A51581"/>
    <w:rsid w:val="68ACA8D6"/>
    <w:rsid w:val="68AD0190"/>
    <w:rsid w:val="68AEC0ED"/>
    <w:rsid w:val="68AFD6C8"/>
    <w:rsid w:val="68B67766"/>
    <w:rsid w:val="68B95C77"/>
    <w:rsid w:val="68BBB651"/>
    <w:rsid w:val="68BC0CAF"/>
    <w:rsid w:val="68BCED5D"/>
    <w:rsid w:val="68C2FED7"/>
    <w:rsid w:val="68C502A1"/>
    <w:rsid w:val="68C5FCD2"/>
    <w:rsid w:val="68C784C4"/>
    <w:rsid w:val="68CBA6B2"/>
    <w:rsid w:val="68CEFE91"/>
    <w:rsid w:val="68D31FAA"/>
    <w:rsid w:val="68D3C251"/>
    <w:rsid w:val="68D6002A"/>
    <w:rsid w:val="68D89EB1"/>
    <w:rsid w:val="68D95993"/>
    <w:rsid w:val="68DBBCBF"/>
    <w:rsid w:val="68DC1F0F"/>
    <w:rsid w:val="68E48E00"/>
    <w:rsid w:val="68EA1D7C"/>
    <w:rsid w:val="68ED0CCA"/>
    <w:rsid w:val="68EE3833"/>
    <w:rsid w:val="68F13897"/>
    <w:rsid w:val="68F212F3"/>
    <w:rsid w:val="68F3E2A0"/>
    <w:rsid w:val="6903A82B"/>
    <w:rsid w:val="69044299"/>
    <w:rsid w:val="6906E0E9"/>
    <w:rsid w:val="690BA941"/>
    <w:rsid w:val="690F9D2C"/>
    <w:rsid w:val="69110350"/>
    <w:rsid w:val="69133BDA"/>
    <w:rsid w:val="6917BF0C"/>
    <w:rsid w:val="6918AB4A"/>
    <w:rsid w:val="6919DCA9"/>
    <w:rsid w:val="691C44B5"/>
    <w:rsid w:val="691C798D"/>
    <w:rsid w:val="692244C4"/>
    <w:rsid w:val="69246277"/>
    <w:rsid w:val="69251611"/>
    <w:rsid w:val="6928C4BB"/>
    <w:rsid w:val="6929DA82"/>
    <w:rsid w:val="692EAF64"/>
    <w:rsid w:val="69300E6F"/>
    <w:rsid w:val="69328F4B"/>
    <w:rsid w:val="69490EB5"/>
    <w:rsid w:val="694C21D1"/>
    <w:rsid w:val="694D7881"/>
    <w:rsid w:val="695064F3"/>
    <w:rsid w:val="69541F9F"/>
    <w:rsid w:val="69549DCE"/>
    <w:rsid w:val="6955D819"/>
    <w:rsid w:val="695A89F0"/>
    <w:rsid w:val="695B17B6"/>
    <w:rsid w:val="695EC3FD"/>
    <w:rsid w:val="69604624"/>
    <w:rsid w:val="69605D0F"/>
    <w:rsid w:val="69633B1C"/>
    <w:rsid w:val="69675623"/>
    <w:rsid w:val="6967C133"/>
    <w:rsid w:val="69691DC1"/>
    <w:rsid w:val="696AC88F"/>
    <w:rsid w:val="696E6B41"/>
    <w:rsid w:val="697574A0"/>
    <w:rsid w:val="69784C31"/>
    <w:rsid w:val="697B6EC0"/>
    <w:rsid w:val="697F2D34"/>
    <w:rsid w:val="69810921"/>
    <w:rsid w:val="6982F31C"/>
    <w:rsid w:val="6988CC3B"/>
    <w:rsid w:val="6988FE0D"/>
    <w:rsid w:val="69899FBA"/>
    <w:rsid w:val="698B6AE2"/>
    <w:rsid w:val="69911852"/>
    <w:rsid w:val="6991DE05"/>
    <w:rsid w:val="699353AB"/>
    <w:rsid w:val="6994796F"/>
    <w:rsid w:val="6997D43F"/>
    <w:rsid w:val="69A1E3DC"/>
    <w:rsid w:val="69A2B9EB"/>
    <w:rsid w:val="69A55C1F"/>
    <w:rsid w:val="69A611D2"/>
    <w:rsid w:val="69A92A62"/>
    <w:rsid w:val="69AC94B9"/>
    <w:rsid w:val="69B00A2A"/>
    <w:rsid w:val="69B131FE"/>
    <w:rsid w:val="69B89B50"/>
    <w:rsid w:val="69BC00AE"/>
    <w:rsid w:val="69BCE9F7"/>
    <w:rsid w:val="69C01F89"/>
    <w:rsid w:val="69C0B926"/>
    <w:rsid w:val="69C1143E"/>
    <w:rsid w:val="69C3EBB5"/>
    <w:rsid w:val="69CF1EF5"/>
    <w:rsid w:val="69CF230C"/>
    <w:rsid w:val="69D3BE29"/>
    <w:rsid w:val="69DB636B"/>
    <w:rsid w:val="69E0D24F"/>
    <w:rsid w:val="69E8C14B"/>
    <w:rsid w:val="69EC685A"/>
    <w:rsid w:val="69ED366D"/>
    <w:rsid w:val="69EEEC55"/>
    <w:rsid w:val="69F4BDFE"/>
    <w:rsid w:val="69FC9763"/>
    <w:rsid w:val="6A023BDB"/>
    <w:rsid w:val="6A06915C"/>
    <w:rsid w:val="6A090845"/>
    <w:rsid w:val="6A09D8DC"/>
    <w:rsid w:val="6A0B90EC"/>
    <w:rsid w:val="6A0EF887"/>
    <w:rsid w:val="6A1251A5"/>
    <w:rsid w:val="6A1402CD"/>
    <w:rsid w:val="6A15100E"/>
    <w:rsid w:val="6A198751"/>
    <w:rsid w:val="6A1C3ADE"/>
    <w:rsid w:val="6A234925"/>
    <w:rsid w:val="6A24554E"/>
    <w:rsid w:val="6A27841D"/>
    <w:rsid w:val="6A29F8E0"/>
    <w:rsid w:val="6A2F50DE"/>
    <w:rsid w:val="6A41F52F"/>
    <w:rsid w:val="6A47BA15"/>
    <w:rsid w:val="6A48B004"/>
    <w:rsid w:val="6A490900"/>
    <w:rsid w:val="6A4AD29B"/>
    <w:rsid w:val="6A4CC88C"/>
    <w:rsid w:val="6A4DEB06"/>
    <w:rsid w:val="6A5778C7"/>
    <w:rsid w:val="6A5B4DED"/>
    <w:rsid w:val="6A649246"/>
    <w:rsid w:val="6A69700C"/>
    <w:rsid w:val="6A69CDC6"/>
    <w:rsid w:val="6A6C09E4"/>
    <w:rsid w:val="6A6E838C"/>
    <w:rsid w:val="6A7045E5"/>
    <w:rsid w:val="6A71CE1A"/>
    <w:rsid w:val="6A737D06"/>
    <w:rsid w:val="6A766963"/>
    <w:rsid w:val="6A80A857"/>
    <w:rsid w:val="6A81630A"/>
    <w:rsid w:val="6A8304C0"/>
    <w:rsid w:val="6A874BD0"/>
    <w:rsid w:val="6A886EFC"/>
    <w:rsid w:val="6A88DE91"/>
    <w:rsid w:val="6A8FC3B6"/>
    <w:rsid w:val="6A98EBDA"/>
    <w:rsid w:val="6A993163"/>
    <w:rsid w:val="6A9B2183"/>
    <w:rsid w:val="6A9D12A4"/>
    <w:rsid w:val="6AA380C6"/>
    <w:rsid w:val="6AA4D98A"/>
    <w:rsid w:val="6AA7D86B"/>
    <w:rsid w:val="6AAE2CDB"/>
    <w:rsid w:val="6AAFAC06"/>
    <w:rsid w:val="6AB219D5"/>
    <w:rsid w:val="6AB689B7"/>
    <w:rsid w:val="6AB8614F"/>
    <w:rsid w:val="6ABC9869"/>
    <w:rsid w:val="6AC00C06"/>
    <w:rsid w:val="6AC7DC0C"/>
    <w:rsid w:val="6AC8F383"/>
    <w:rsid w:val="6ACA8D3C"/>
    <w:rsid w:val="6ACAD602"/>
    <w:rsid w:val="6ACD1516"/>
    <w:rsid w:val="6AD1B841"/>
    <w:rsid w:val="6AD31EAC"/>
    <w:rsid w:val="6AD36F58"/>
    <w:rsid w:val="6AD681CB"/>
    <w:rsid w:val="6AD6BC1E"/>
    <w:rsid w:val="6AD8AF0D"/>
    <w:rsid w:val="6ADAE97C"/>
    <w:rsid w:val="6ADBC78F"/>
    <w:rsid w:val="6AE4E5D5"/>
    <w:rsid w:val="6AE8394E"/>
    <w:rsid w:val="6AEB4867"/>
    <w:rsid w:val="6AEBEB32"/>
    <w:rsid w:val="6AF3108A"/>
    <w:rsid w:val="6AF68D9F"/>
    <w:rsid w:val="6AFB70A1"/>
    <w:rsid w:val="6B0D6E1F"/>
    <w:rsid w:val="6B0D8002"/>
    <w:rsid w:val="6B11EBEA"/>
    <w:rsid w:val="6B11FC45"/>
    <w:rsid w:val="6B16AC31"/>
    <w:rsid w:val="6B1A6293"/>
    <w:rsid w:val="6B1B8F75"/>
    <w:rsid w:val="6B20DFFF"/>
    <w:rsid w:val="6B211176"/>
    <w:rsid w:val="6B243A21"/>
    <w:rsid w:val="6B26F67C"/>
    <w:rsid w:val="6B299E11"/>
    <w:rsid w:val="6B34730B"/>
    <w:rsid w:val="6B349A93"/>
    <w:rsid w:val="6B3AF330"/>
    <w:rsid w:val="6B3CE4BE"/>
    <w:rsid w:val="6B3F4030"/>
    <w:rsid w:val="6B46C6E8"/>
    <w:rsid w:val="6B488EBE"/>
    <w:rsid w:val="6B4F767E"/>
    <w:rsid w:val="6B51E71D"/>
    <w:rsid w:val="6B567A34"/>
    <w:rsid w:val="6B5E1AB4"/>
    <w:rsid w:val="6B61A0A7"/>
    <w:rsid w:val="6B64883B"/>
    <w:rsid w:val="6B67F18C"/>
    <w:rsid w:val="6B6C41A4"/>
    <w:rsid w:val="6B6DC96D"/>
    <w:rsid w:val="6B6F6D71"/>
    <w:rsid w:val="6B70718B"/>
    <w:rsid w:val="6B758D74"/>
    <w:rsid w:val="6B76126B"/>
    <w:rsid w:val="6B7820D8"/>
    <w:rsid w:val="6B7E8941"/>
    <w:rsid w:val="6B7F425F"/>
    <w:rsid w:val="6B84A6A3"/>
    <w:rsid w:val="6B85A596"/>
    <w:rsid w:val="6B87C429"/>
    <w:rsid w:val="6B8892F3"/>
    <w:rsid w:val="6B90C132"/>
    <w:rsid w:val="6B98064B"/>
    <w:rsid w:val="6B995AAD"/>
    <w:rsid w:val="6B999ED6"/>
    <w:rsid w:val="6B9B504D"/>
    <w:rsid w:val="6B9EC2F1"/>
    <w:rsid w:val="6B9EF5EC"/>
    <w:rsid w:val="6BA0C542"/>
    <w:rsid w:val="6BA64D51"/>
    <w:rsid w:val="6BAA3701"/>
    <w:rsid w:val="6BAA834F"/>
    <w:rsid w:val="6BACE035"/>
    <w:rsid w:val="6BB02C03"/>
    <w:rsid w:val="6BB2D47A"/>
    <w:rsid w:val="6BB7DAB4"/>
    <w:rsid w:val="6BBA5776"/>
    <w:rsid w:val="6BC285B3"/>
    <w:rsid w:val="6BC3D96E"/>
    <w:rsid w:val="6BCBA7DD"/>
    <w:rsid w:val="6BD4BF87"/>
    <w:rsid w:val="6BD4E8E4"/>
    <w:rsid w:val="6BD6D8F9"/>
    <w:rsid w:val="6BD77E44"/>
    <w:rsid w:val="6BD9ABA7"/>
    <w:rsid w:val="6BD9CF62"/>
    <w:rsid w:val="6BDA2014"/>
    <w:rsid w:val="6BDAACFD"/>
    <w:rsid w:val="6BE0E271"/>
    <w:rsid w:val="6BE38B31"/>
    <w:rsid w:val="6BE447A0"/>
    <w:rsid w:val="6BE544E7"/>
    <w:rsid w:val="6BEDC32F"/>
    <w:rsid w:val="6BF61300"/>
    <w:rsid w:val="6BF77101"/>
    <w:rsid w:val="6BF8CD1A"/>
    <w:rsid w:val="6BFA5382"/>
    <w:rsid w:val="6C09082E"/>
    <w:rsid w:val="6C0D9B65"/>
    <w:rsid w:val="6C0E7083"/>
    <w:rsid w:val="6C13F3B9"/>
    <w:rsid w:val="6C142C13"/>
    <w:rsid w:val="6C157E48"/>
    <w:rsid w:val="6C18F39A"/>
    <w:rsid w:val="6C1995FE"/>
    <w:rsid w:val="6C1A0838"/>
    <w:rsid w:val="6C1FB122"/>
    <w:rsid w:val="6C21A2DB"/>
    <w:rsid w:val="6C229508"/>
    <w:rsid w:val="6C23EDAC"/>
    <w:rsid w:val="6C24A631"/>
    <w:rsid w:val="6C2825AF"/>
    <w:rsid w:val="6C2A7B0A"/>
    <w:rsid w:val="6C2BA0F1"/>
    <w:rsid w:val="6C321D18"/>
    <w:rsid w:val="6C35B6E1"/>
    <w:rsid w:val="6C37DFB3"/>
    <w:rsid w:val="6C3FF0DA"/>
    <w:rsid w:val="6C420C4D"/>
    <w:rsid w:val="6C446069"/>
    <w:rsid w:val="6C475CF4"/>
    <w:rsid w:val="6C5133B0"/>
    <w:rsid w:val="6C513430"/>
    <w:rsid w:val="6C5677C8"/>
    <w:rsid w:val="6C59DC61"/>
    <w:rsid w:val="6C5E9C3E"/>
    <w:rsid w:val="6C62D1EF"/>
    <w:rsid w:val="6C63EBE4"/>
    <w:rsid w:val="6C673073"/>
    <w:rsid w:val="6C6778D3"/>
    <w:rsid w:val="6C6A54B9"/>
    <w:rsid w:val="6C6C474D"/>
    <w:rsid w:val="6C724B3B"/>
    <w:rsid w:val="6C799022"/>
    <w:rsid w:val="6C85C2E3"/>
    <w:rsid w:val="6C8B9B3C"/>
    <w:rsid w:val="6C8DFDCE"/>
    <w:rsid w:val="6C8FEB1B"/>
    <w:rsid w:val="6C90730A"/>
    <w:rsid w:val="6C96D3B2"/>
    <w:rsid w:val="6C9B53DB"/>
    <w:rsid w:val="6CA21A44"/>
    <w:rsid w:val="6CA2CA08"/>
    <w:rsid w:val="6CA410EE"/>
    <w:rsid w:val="6CA4853F"/>
    <w:rsid w:val="6CA5DDF3"/>
    <w:rsid w:val="6CA62C09"/>
    <w:rsid w:val="6CB06F8C"/>
    <w:rsid w:val="6CB13954"/>
    <w:rsid w:val="6CB1629A"/>
    <w:rsid w:val="6CB96C17"/>
    <w:rsid w:val="6CBA1F06"/>
    <w:rsid w:val="6CBCD6A6"/>
    <w:rsid w:val="6CBE4C8F"/>
    <w:rsid w:val="6CBE6C3B"/>
    <w:rsid w:val="6CBEEFF3"/>
    <w:rsid w:val="6CBEF8E5"/>
    <w:rsid w:val="6CC1EBB8"/>
    <w:rsid w:val="6CC2AB5E"/>
    <w:rsid w:val="6CC57402"/>
    <w:rsid w:val="6CC65DA9"/>
    <w:rsid w:val="6CC99755"/>
    <w:rsid w:val="6CCABB6E"/>
    <w:rsid w:val="6CCB781D"/>
    <w:rsid w:val="6CCC3003"/>
    <w:rsid w:val="6CCCD985"/>
    <w:rsid w:val="6CCD02FD"/>
    <w:rsid w:val="6CCD49EC"/>
    <w:rsid w:val="6CD0B6C8"/>
    <w:rsid w:val="6CD386C1"/>
    <w:rsid w:val="6CD7BA5B"/>
    <w:rsid w:val="6CD95837"/>
    <w:rsid w:val="6CD9B65A"/>
    <w:rsid w:val="6CDA9619"/>
    <w:rsid w:val="6CDDAD32"/>
    <w:rsid w:val="6CDF7066"/>
    <w:rsid w:val="6CE4DA9A"/>
    <w:rsid w:val="6CE99CD8"/>
    <w:rsid w:val="6CECF28E"/>
    <w:rsid w:val="6CF0DD23"/>
    <w:rsid w:val="6CF20C10"/>
    <w:rsid w:val="6CF52DC4"/>
    <w:rsid w:val="6CF70670"/>
    <w:rsid w:val="6CF75AE3"/>
    <w:rsid w:val="6CF7CCB0"/>
    <w:rsid w:val="6D0589AE"/>
    <w:rsid w:val="6D05F9D5"/>
    <w:rsid w:val="6D0C61D2"/>
    <w:rsid w:val="6D0CC2A4"/>
    <w:rsid w:val="6D0CC495"/>
    <w:rsid w:val="6D1080C4"/>
    <w:rsid w:val="6D1571E4"/>
    <w:rsid w:val="6D15898B"/>
    <w:rsid w:val="6D1C39B5"/>
    <w:rsid w:val="6D1FD9EA"/>
    <w:rsid w:val="6D2098DC"/>
    <w:rsid w:val="6D242285"/>
    <w:rsid w:val="6D2552BE"/>
    <w:rsid w:val="6D25F878"/>
    <w:rsid w:val="6D273C01"/>
    <w:rsid w:val="6D2B1573"/>
    <w:rsid w:val="6D2FE0DB"/>
    <w:rsid w:val="6D336C3E"/>
    <w:rsid w:val="6D3BE9B8"/>
    <w:rsid w:val="6D3D4B62"/>
    <w:rsid w:val="6D3D69FB"/>
    <w:rsid w:val="6D3ECB24"/>
    <w:rsid w:val="6D4160C6"/>
    <w:rsid w:val="6D4218E2"/>
    <w:rsid w:val="6D42AD3C"/>
    <w:rsid w:val="6D4DFDE0"/>
    <w:rsid w:val="6D50143A"/>
    <w:rsid w:val="6D52694B"/>
    <w:rsid w:val="6D52C4E6"/>
    <w:rsid w:val="6D52EEBE"/>
    <w:rsid w:val="6D533768"/>
    <w:rsid w:val="6D543C5D"/>
    <w:rsid w:val="6D580DB7"/>
    <w:rsid w:val="6D5899E2"/>
    <w:rsid w:val="6D5FDBE9"/>
    <w:rsid w:val="6D60FB1A"/>
    <w:rsid w:val="6D636393"/>
    <w:rsid w:val="6D63B7E0"/>
    <w:rsid w:val="6D6512EB"/>
    <w:rsid w:val="6D672C24"/>
    <w:rsid w:val="6D67A1C2"/>
    <w:rsid w:val="6D690727"/>
    <w:rsid w:val="6D69E6DF"/>
    <w:rsid w:val="6D6A2D86"/>
    <w:rsid w:val="6D6D3401"/>
    <w:rsid w:val="6D7025D7"/>
    <w:rsid w:val="6D731F46"/>
    <w:rsid w:val="6D73480D"/>
    <w:rsid w:val="6D73BABB"/>
    <w:rsid w:val="6D74EEE9"/>
    <w:rsid w:val="6D7B20AF"/>
    <w:rsid w:val="6D7B7F33"/>
    <w:rsid w:val="6D7EC461"/>
    <w:rsid w:val="6D7EFDC5"/>
    <w:rsid w:val="6D83A6AC"/>
    <w:rsid w:val="6D84B898"/>
    <w:rsid w:val="6D88D8A5"/>
    <w:rsid w:val="6D8A7443"/>
    <w:rsid w:val="6D8C24AF"/>
    <w:rsid w:val="6D8CC5B7"/>
    <w:rsid w:val="6D8E9F45"/>
    <w:rsid w:val="6D90F4DC"/>
    <w:rsid w:val="6D97E18E"/>
    <w:rsid w:val="6D988CB0"/>
    <w:rsid w:val="6D989503"/>
    <w:rsid w:val="6D9A7864"/>
    <w:rsid w:val="6D9C3C31"/>
    <w:rsid w:val="6D9D826E"/>
    <w:rsid w:val="6DA04E81"/>
    <w:rsid w:val="6DA25E19"/>
    <w:rsid w:val="6DA2AA7C"/>
    <w:rsid w:val="6DA3B5BE"/>
    <w:rsid w:val="6DA5E806"/>
    <w:rsid w:val="6DA8651C"/>
    <w:rsid w:val="6DAAC14D"/>
    <w:rsid w:val="6DAF1E00"/>
    <w:rsid w:val="6DB62C6D"/>
    <w:rsid w:val="6DB8A398"/>
    <w:rsid w:val="6DBFF6C1"/>
    <w:rsid w:val="6DC5BC96"/>
    <w:rsid w:val="6DC619DF"/>
    <w:rsid w:val="6DCDC218"/>
    <w:rsid w:val="6DD03F3E"/>
    <w:rsid w:val="6DD11382"/>
    <w:rsid w:val="6DD17500"/>
    <w:rsid w:val="6DD2A870"/>
    <w:rsid w:val="6DDA8AC8"/>
    <w:rsid w:val="6DDEEC80"/>
    <w:rsid w:val="6DE3F522"/>
    <w:rsid w:val="6DE44A9C"/>
    <w:rsid w:val="6DE7AA88"/>
    <w:rsid w:val="6DED599F"/>
    <w:rsid w:val="6DF14EA4"/>
    <w:rsid w:val="6DF234ED"/>
    <w:rsid w:val="6DF23AC4"/>
    <w:rsid w:val="6DF5507A"/>
    <w:rsid w:val="6DF66FF6"/>
    <w:rsid w:val="6DF97EC7"/>
    <w:rsid w:val="6DF9CDFC"/>
    <w:rsid w:val="6DFC0C08"/>
    <w:rsid w:val="6DFCFCFC"/>
    <w:rsid w:val="6DFD6388"/>
    <w:rsid w:val="6DFFB081"/>
    <w:rsid w:val="6E007CD0"/>
    <w:rsid w:val="6E0219A7"/>
    <w:rsid w:val="6E0B1366"/>
    <w:rsid w:val="6E0E56D7"/>
    <w:rsid w:val="6E1F4D3B"/>
    <w:rsid w:val="6E20B733"/>
    <w:rsid w:val="6E22EDC8"/>
    <w:rsid w:val="6E23EC6E"/>
    <w:rsid w:val="6E24B2AA"/>
    <w:rsid w:val="6E3038A6"/>
    <w:rsid w:val="6E303BB2"/>
    <w:rsid w:val="6E30849C"/>
    <w:rsid w:val="6E3115FB"/>
    <w:rsid w:val="6E346D68"/>
    <w:rsid w:val="6E35A65F"/>
    <w:rsid w:val="6E380043"/>
    <w:rsid w:val="6E3C2E1E"/>
    <w:rsid w:val="6E3EC4AA"/>
    <w:rsid w:val="6E42FAF9"/>
    <w:rsid w:val="6E438D5D"/>
    <w:rsid w:val="6E46930B"/>
    <w:rsid w:val="6E482C4D"/>
    <w:rsid w:val="6E4C3C14"/>
    <w:rsid w:val="6E510E44"/>
    <w:rsid w:val="6E5113CE"/>
    <w:rsid w:val="6E567492"/>
    <w:rsid w:val="6E5891EA"/>
    <w:rsid w:val="6E5A3023"/>
    <w:rsid w:val="6E5A5E4D"/>
    <w:rsid w:val="6E5CC08F"/>
    <w:rsid w:val="6E5D3C5A"/>
    <w:rsid w:val="6E60BD10"/>
    <w:rsid w:val="6E66DA2A"/>
    <w:rsid w:val="6E69AADB"/>
    <w:rsid w:val="6E69E6BD"/>
    <w:rsid w:val="6E6A6E10"/>
    <w:rsid w:val="6E6ADAEA"/>
    <w:rsid w:val="6E723FB0"/>
    <w:rsid w:val="6E8279B5"/>
    <w:rsid w:val="6E8E7BEC"/>
    <w:rsid w:val="6E901B1C"/>
    <w:rsid w:val="6E90234A"/>
    <w:rsid w:val="6E910676"/>
    <w:rsid w:val="6E93A38D"/>
    <w:rsid w:val="6E9967FB"/>
    <w:rsid w:val="6E9BBD6B"/>
    <w:rsid w:val="6EA0EF8E"/>
    <w:rsid w:val="6EA4160C"/>
    <w:rsid w:val="6EA776D0"/>
    <w:rsid w:val="6EA78667"/>
    <w:rsid w:val="6EA9F8C0"/>
    <w:rsid w:val="6EAC9CAB"/>
    <w:rsid w:val="6EAD8CB1"/>
    <w:rsid w:val="6EB08058"/>
    <w:rsid w:val="6EB1C560"/>
    <w:rsid w:val="6EB1F9AD"/>
    <w:rsid w:val="6EB2B2C4"/>
    <w:rsid w:val="6EB3552A"/>
    <w:rsid w:val="6EB38B0E"/>
    <w:rsid w:val="6EB66D08"/>
    <w:rsid w:val="6EBA6AA9"/>
    <w:rsid w:val="6EBCC7AE"/>
    <w:rsid w:val="6EBE29F9"/>
    <w:rsid w:val="6EC13574"/>
    <w:rsid w:val="6EC38D21"/>
    <w:rsid w:val="6EC497A9"/>
    <w:rsid w:val="6EC4FC5D"/>
    <w:rsid w:val="6EC5DC3A"/>
    <w:rsid w:val="6EC66058"/>
    <w:rsid w:val="6EC7791D"/>
    <w:rsid w:val="6ECF45A2"/>
    <w:rsid w:val="6ED4AEB5"/>
    <w:rsid w:val="6ED701B0"/>
    <w:rsid w:val="6ED8DEE4"/>
    <w:rsid w:val="6ED95B4B"/>
    <w:rsid w:val="6ED9CC2C"/>
    <w:rsid w:val="6EDAA166"/>
    <w:rsid w:val="6EDFCDA2"/>
    <w:rsid w:val="6EE03734"/>
    <w:rsid w:val="6EE32201"/>
    <w:rsid w:val="6EE36D1C"/>
    <w:rsid w:val="6EE855B2"/>
    <w:rsid w:val="6EE9D31A"/>
    <w:rsid w:val="6EEE9B65"/>
    <w:rsid w:val="6EF1BA55"/>
    <w:rsid w:val="6EF554D1"/>
    <w:rsid w:val="6EF5BB79"/>
    <w:rsid w:val="6EF618E1"/>
    <w:rsid w:val="6EF63A07"/>
    <w:rsid w:val="6EFD49DA"/>
    <w:rsid w:val="6F061123"/>
    <w:rsid w:val="6F0C26F2"/>
    <w:rsid w:val="6F0E3E49"/>
    <w:rsid w:val="6F0E51B2"/>
    <w:rsid w:val="6F0F8906"/>
    <w:rsid w:val="6F107E11"/>
    <w:rsid w:val="6F13EE48"/>
    <w:rsid w:val="6F14AD91"/>
    <w:rsid w:val="6F1505C7"/>
    <w:rsid w:val="6F176918"/>
    <w:rsid w:val="6F19ED2A"/>
    <w:rsid w:val="6F1AC454"/>
    <w:rsid w:val="6F1AD41C"/>
    <w:rsid w:val="6F1CA352"/>
    <w:rsid w:val="6F20C95C"/>
    <w:rsid w:val="6F25C055"/>
    <w:rsid w:val="6F26F00F"/>
    <w:rsid w:val="6F28B210"/>
    <w:rsid w:val="6F28CE80"/>
    <w:rsid w:val="6F2A364A"/>
    <w:rsid w:val="6F2D926D"/>
    <w:rsid w:val="6F31156C"/>
    <w:rsid w:val="6F32BFDF"/>
    <w:rsid w:val="6F39A730"/>
    <w:rsid w:val="6F420CEE"/>
    <w:rsid w:val="6F4DF83D"/>
    <w:rsid w:val="6F4F7103"/>
    <w:rsid w:val="6F51575D"/>
    <w:rsid w:val="6F52972B"/>
    <w:rsid w:val="6F562EE7"/>
    <w:rsid w:val="6F5676BA"/>
    <w:rsid w:val="6F568517"/>
    <w:rsid w:val="6F58329B"/>
    <w:rsid w:val="6F5F5D42"/>
    <w:rsid w:val="6F60374F"/>
    <w:rsid w:val="6F61CBED"/>
    <w:rsid w:val="6F64E3C5"/>
    <w:rsid w:val="6F666BF2"/>
    <w:rsid w:val="6F68FFBD"/>
    <w:rsid w:val="6F695BF7"/>
    <w:rsid w:val="6F7107EF"/>
    <w:rsid w:val="6F717B24"/>
    <w:rsid w:val="6F762E97"/>
    <w:rsid w:val="6F783427"/>
    <w:rsid w:val="6F78B580"/>
    <w:rsid w:val="6F7A36BA"/>
    <w:rsid w:val="6F7C9D52"/>
    <w:rsid w:val="6F7DE314"/>
    <w:rsid w:val="6F82743D"/>
    <w:rsid w:val="6F850FB2"/>
    <w:rsid w:val="6F8526B5"/>
    <w:rsid w:val="6F89FD7A"/>
    <w:rsid w:val="6F8C22D8"/>
    <w:rsid w:val="6F8CF826"/>
    <w:rsid w:val="6F946D49"/>
    <w:rsid w:val="6F95EB0B"/>
    <w:rsid w:val="6F987D12"/>
    <w:rsid w:val="6F993AFC"/>
    <w:rsid w:val="6F9BB855"/>
    <w:rsid w:val="6F9D7DE3"/>
    <w:rsid w:val="6FA39C4D"/>
    <w:rsid w:val="6FAB0D3B"/>
    <w:rsid w:val="6FAC9077"/>
    <w:rsid w:val="6FB7BECE"/>
    <w:rsid w:val="6FB7E399"/>
    <w:rsid w:val="6FB86548"/>
    <w:rsid w:val="6FBF89B4"/>
    <w:rsid w:val="6FC0F4C4"/>
    <w:rsid w:val="6FC9D8BB"/>
    <w:rsid w:val="6FD9F21F"/>
    <w:rsid w:val="6FDD641E"/>
    <w:rsid w:val="6FE5AF11"/>
    <w:rsid w:val="6FE88F60"/>
    <w:rsid w:val="6FEB8764"/>
    <w:rsid w:val="6FEE88D8"/>
    <w:rsid w:val="6FF0F034"/>
    <w:rsid w:val="6FF5176B"/>
    <w:rsid w:val="6FF6AB58"/>
    <w:rsid w:val="6FF8C889"/>
    <w:rsid w:val="6FF9E10F"/>
    <w:rsid w:val="6FF9ECCB"/>
    <w:rsid w:val="6FFB2A9A"/>
    <w:rsid w:val="70018D77"/>
    <w:rsid w:val="700626F8"/>
    <w:rsid w:val="700D54BF"/>
    <w:rsid w:val="700F360B"/>
    <w:rsid w:val="70161459"/>
    <w:rsid w:val="70177771"/>
    <w:rsid w:val="701BC490"/>
    <w:rsid w:val="70285614"/>
    <w:rsid w:val="702BADF9"/>
    <w:rsid w:val="70332C63"/>
    <w:rsid w:val="70332F7F"/>
    <w:rsid w:val="7033FFDB"/>
    <w:rsid w:val="7035FD2A"/>
    <w:rsid w:val="7036C3A6"/>
    <w:rsid w:val="70377114"/>
    <w:rsid w:val="703ED7C2"/>
    <w:rsid w:val="70401204"/>
    <w:rsid w:val="7041C958"/>
    <w:rsid w:val="7049D344"/>
    <w:rsid w:val="704A3C63"/>
    <w:rsid w:val="704A5907"/>
    <w:rsid w:val="704DDDE6"/>
    <w:rsid w:val="704F85C3"/>
    <w:rsid w:val="7051D0B6"/>
    <w:rsid w:val="705428D3"/>
    <w:rsid w:val="70572897"/>
    <w:rsid w:val="7057DA19"/>
    <w:rsid w:val="705D781D"/>
    <w:rsid w:val="705E47A3"/>
    <w:rsid w:val="70649F6A"/>
    <w:rsid w:val="706920B5"/>
    <w:rsid w:val="706927E8"/>
    <w:rsid w:val="706A3435"/>
    <w:rsid w:val="706D00E8"/>
    <w:rsid w:val="7070E53F"/>
    <w:rsid w:val="70753733"/>
    <w:rsid w:val="70764F8A"/>
    <w:rsid w:val="7076E548"/>
    <w:rsid w:val="7079D85C"/>
    <w:rsid w:val="7079ED19"/>
    <w:rsid w:val="707A89D8"/>
    <w:rsid w:val="70888CE6"/>
    <w:rsid w:val="708936D4"/>
    <w:rsid w:val="709374D5"/>
    <w:rsid w:val="7093E222"/>
    <w:rsid w:val="7095427F"/>
    <w:rsid w:val="7096C70E"/>
    <w:rsid w:val="709AC922"/>
    <w:rsid w:val="709E3225"/>
    <w:rsid w:val="709EA3D6"/>
    <w:rsid w:val="70A13B37"/>
    <w:rsid w:val="70A5BFDB"/>
    <w:rsid w:val="70A9CB52"/>
    <w:rsid w:val="70ADA0FC"/>
    <w:rsid w:val="70B259C0"/>
    <w:rsid w:val="70B4296D"/>
    <w:rsid w:val="70B756E8"/>
    <w:rsid w:val="70B7D25D"/>
    <w:rsid w:val="70B82A32"/>
    <w:rsid w:val="70BA6ED7"/>
    <w:rsid w:val="70BB2B27"/>
    <w:rsid w:val="70BD19DE"/>
    <w:rsid w:val="70BE0D6D"/>
    <w:rsid w:val="70C0A031"/>
    <w:rsid w:val="70C47F2F"/>
    <w:rsid w:val="70C50BD4"/>
    <w:rsid w:val="70C5692B"/>
    <w:rsid w:val="70C7378C"/>
    <w:rsid w:val="70C75793"/>
    <w:rsid w:val="70C87D27"/>
    <w:rsid w:val="70C903FF"/>
    <w:rsid w:val="70CEC809"/>
    <w:rsid w:val="70CF65FE"/>
    <w:rsid w:val="70D08666"/>
    <w:rsid w:val="70D29B45"/>
    <w:rsid w:val="70D38991"/>
    <w:rsid w:val="70D45006"/>
    <w:rsid w:val="70D47B67"/>
    <w:rsid w:val="70D6C55D"/>
    <w:rsid w:val="70D8FDF0"/>
    <w:rsid w:val="70DB497C"/>
    <w:rsid w:val="70DBF08A"/>
    <w:rsid w:val="70DC8E22"/>
    <w:rsid w:val="70E1AF48"/>
    <w:rsid w:val="70E2D0A0"/>
    <w:rsid w:val="70E94483"/>
    <w:rsid w:val="70E9F974"/>
    <w:rsid w:val="70EB568C"/>
    <w:rsid w:val="70ED4F09"/>
    <w:rsid w:val="70EDD531"/>
    <w:rsid w:val="70EDEA41"/>
    <w:rsid w:val="70EF0826"/>
    <w:rsid w:val="70F3B8E3"/>
    <w:rsid w:val="70F728F3"/>
    <w:rsid w:val="70F8824A"/>
    <w:rsid w:val="70FAD927"/>
    <w:rsid w:val="70FBA598"/>
    <w:rsid w:val="70FBC882"/>
    <w:rsid w:val="710132F8"/>
    <w:rsid w:val="7104D180"/>
    <w:rsid w:val="711C8325"/>
    <w:rsid w:val="711FA059"/>
    <w:rsid w:val="7120633A"/>
    <w:rsid w:val="71219114"/>
    <w:rsid w:val="712D3E16"/>
    <w:rsid w:val="712F13C7"/>
    <w:rsid w:val="7139BAAB"/>
    <w:rsid w:val="713EE280"/>
    <w:rsid w:val="713F559F"/>
    <w:rsid w:val="7145393E"/>
    <w:rsid w:val="7148B2F2"/>
    <w:rsid w:val="714A001B"/>
    <w:rsid w:val="714CE6BB"/>
    <w:rsid w:val="715094DD"/>
    <w:rsid w:val="715A13FF"/>
    <w:rsid w:val="71616219"/>
    <w:rsid w:val="71663F0C"/>
    <w:rsid w:val="7168E3BA"/>
    <w:rsid w:val="716A6110"/>
    <w:rsid w:val="716AE470"/>
    <w:rsid w:val="716D65E3"/>
    <w:rsid w:val="7173C11B"/>
    <w:rsid w:val="7173EB75"/>
    <w:rsid w:val="71777972"/>
    <w:rsid w:val="71782CC8"/>
    <w:rsid w:val="71798B78"/>
    <w:rsid w:val="717D4358"/>
    <w:rsid w:val="718687F1"/>
    <w:rsid w:val="71898D54"/>
    <w:rsid w:val="718B6034"/>
    <w:rsid w:val="718D3063"/>
    <w:rsid w:val="718D86EF"/>
    <w:rsid w:val="71958AF2"/>
    <w:rsid w:val="71982735"/>
    <w:rsid w:val="71988E7D"/>
    <w:rsid w:val="7198C66B"/>
    <w:rsid w:val="719D79BD"/>
    <w:rsid w:val="71A0055B"/>
    <w:rsid w:val="71A2F619"/>
    <w:rsid w:val="71B247A2"/>
    <w:rsid w:val="71B85498"/>
    <w:rsid w:val="71B95769"/>
    <w:rsid w:val="71BCDC73"/>
    <w:rsid w:val="71BF281A"/>
    <w:rsid w:val="71C141F9"/>
    <w:rsid w:val="71C2975D"/>
    <w:rsid w:val="71DD6F5F"/>
    <w:rsid w:val="71DFCE9F"/>
    <w:rsid w:val="71E10DD4"/>
    <w:rsid w:val="71E171EA"/>
    <w:rsid w:val="71E4412B"/>
    <w:rsid w:val="71E7AAF0"/>
    <w:rsid w:val="71EFE19E"/>
    <w:rsid w:val="71FA66BA"/>
    <w:rsid w:val="71FC4641"/>
    <w:rsid w:val="71FC57AC"/>
    <w:rsid w:val="71FE5ABA"/>
    <w:rsid w:val="7200A0E4"/>
    <w:rsid w:val="7200D5E9"/>
    <w:rsid w:val="72014E28"/>
    <w:rsid w:val="7204BB20"/>
    <w:rsid w:val="720AA464"/>
    <w:rsid w:val="720B4CBB"/>
    <w:rsid w:val="720C3EA7"/>
    <w:rsid w:val="72109780"/>
    <w:rsid w:val="721705C5"/>
    <w:rsid w:val="721ABBC2"/>
    <w:rsid w:val="721B4FF8"/>
    <w:rsid w:val="72251C34"/>
    <w:rsid w:val="72264A09"/>
    <w:rsid w:val="7226D428"/>
    <w:rsid w:val="722BE372"/>
    <w:rsid w:val="722C06F6"/>
    <w:rsid w:val="722F90E9"/>
    <w:rsid w:val="7230464A"/>
    <w:rsid w:val="72329958"/>
    <w:rsid w:val="7236CEF4"/>
    <w:rsid w:val="723771C9"/>
    <w:rsid w:val="723872D9"/>
    <w:rsid w:val="723D9DDE"/>
    <w:rsid w:val="723E49F2"/>
    <w:rsid w:val="72430C18"/>
    <w:rsid w:val="72442654"/>
    <w:rsid w:val="7244C9A0"/>
    <w:rsid w:val="7247BF63"/>
    <w:rsid w:val="724A7F08"/>
    <w:rsid w:val="724AC886"/>
    <w:rsid w:val="724EB758"/>
    <w:rsid w:val="72508259"/>
    <w:rsid w:val="72514A78"/>
    <w:rsid w:val="7252069B"/>
    <w:rsid w:val="725704C0"/>
    <w:rsid w:val="7257FFB4"/>
    <w:rsid w:val="725C15BD"/>
    <w:rsid w:val="725ECF06"/>
    <w:rsid w:val="726091FC"/>
    <w:rsid w:val="7262DDC3"/>
    <w:rsid w:val="7265A942"/>
    <w:rsid w:val="7266D503"/>
    <w:rsid w:val="72680D8C"/>
    <w:rsid w:val="72695270"/>
    <w:rsid w:val="7269A3FB"/>
    <w:rsid w:val="726AE36A"/>
    <w:rsid w:val="726C0FB2"/>
    <w:rsid w:val="72703D88"/>
    <w:rsid w:val="72705662"/>
    <w:rsid w:val="7272EB06"/>
    <w:rsid w:val="72741439"/>
    <w:rsid w:val="727A3E3D"/>
    <w:rsid w:val="7285E5F3"/>
    <w:rsid w:val="72863397"/>
    <w:rsid w:val="728DAF04"/>
    <w:rsid w:val="7290027B"/>
    <w:rsid w:val="729063A2"/>
    <w:rsid w:val="7291EB2A"/>
    <w:rsid w:val="729425DA"/>
    <w:rsid w:val="72963119"/>
    <w:rsid w:val="7297655F"/>
    <w:rsid w:val="72978365"/>
    <w:rsid w:val="7298E866"/>
    <w:rsid w:val="729A5819"/>
    <w:rsid w:val="729BE552"/>
    <w:rsid w:val="729ECA67"/>
    <w:rsid w:val="72A42C5B"/>
    <w:rsid w:val="72A506E0"/>
    <w:rsid w:val="72A5F0E2"/>
    <w:rsid w:val="72B46261"/>
    <w:rsid w:val="72B8CAEA"/>
    <w:rsid w:val="72B9DB29"/>
    <w:rsid w:val="72BBF0D0"/>
    <w:rsid w:val="72C35B8D"/>
    <w:rsid w:val="72C9B2AD"/>
    <w:rsid w:val="72CA0A5E"/>
    <w:rsid w:val="72CDAF18"/>
    <w:rsid w:val="72E031BF"/>
    <w:rsid w:val="72E0BA68"/>
    <w:rsid w:val="72E41E30"/>
    <w:rsid w:val="72E591C5"/>
    <w:rsid w:val="72E9FE01"/>
    <w:rsid w:val="72EA3E47"/>
    <w:rsid w:val="72EA5F0F"/>
    <w:rsid w:val="72EC7675"/>
    <w:rsid w:val="72ED0F58"/>
    <w:rsid w:val="72EF4DD9"/>
    <w:rsid w:val="72F02371"/>
    <w:rsid w:val="72F229D5"/>
    <w:rsid w:val="72F4A68C"/>
    <w:rsid w:val="72F84E4F"/>
    <w:rsid w:val="72FE763A"/>
    <w:rsid w:val="73015034"/>
    <w:rsid w:val="730163C3"/>
    <w:rsid w:val="7301B8FB"/>
    <w:rsid w:val="73043935"/>
    <w:rsid w:val="7307865F"/>
    <w:rsid w:val="730EEC4E"/>
    <w:rsid w:val="7310A751"/>
    <w:rsid w:val="7311DA06"/>
    <w:rsid w:val="73174980"/>
    <w:rsid w:val="73175643"/>
    <w:rsid w:val="7318E2A3"/>
    <w:rsid w:val="7319840E"/>
    <w:rsid w:val="731A7ECA"/>
    <w:rsid w:val="731CE35B"/>
    <w:rsid w:val="731D44ED"/>
    <w:rsid w:val="73244822"/>
    <w:rsid w:val="732582DE"/>
    <w:rsid w:val="73262E28"/>
    <w:rsid w:val="7327B75D"/>
    <w:rsid w:val="7328A3B7"/>
    <w:rsid w:val="7329BB94"/>
    <w:rsid w:val="732CE5A9"/>
    <w:rsid w:val="73334B66"/>
    <w:rsid w:val="7337A1F5"/>
    <w:rsid w:val="7339986D"/>
    <w:rsid w:val="733AFC50"/>
    <w:rsid w:val="733F0BD9"/>
    <w:rsid w:val="73440A57"/>
    <w:rsid w:val="734905D2"/>
    <w:rsid w:val="734B60FA"/>
    <w:rsid w:val="734EBB58"/>
    <w:rsid w:val="734ED3AD"/>
    <w:rsid w:val="734F9A2B"/>
    <w:rsid w:val="73544E28"/>
    <w:rsid w:val="7354644A"/>
    <w:rsid w:val="73568ADE"/>
    <w:rsid w:val="73590339"/>
    <w:rsid w:val="7364A57C"/>
    <w:rsid w:val="73684E64"/>
    <w:rsid w:val="736A64CD"/>
    <w:rsid w:val="736C8EAF"/>
    <w:rsid w:val="73738F60"/>
    <w:rsid w:val="737B36BE"/>
    <w:rsid w:val="737CFFA3"/>
    <w:rsid w:val="737DCA7A"/>
    <w:rsid w:val="738189D4"/>
    <w:rsid w:val="7385AEDF"/>
    <w:rsid w:val="738A80F2"/>
    <w:rsid w:val="73916100"/>
    <w:rsid w:val="73981B32"/>
    <w:rsid w:val="7399F373"/>
    <w:rsid w:val="739D6E7E"/>
    <w:rsid w:val="739F10FF"/>
    <w:rsid w:val="73AB5AD4"/>
    <w:rsid w:val="73AC3455"/>
    <w:rsid w:val="73AFDEEA"/>
    <w:rsid w:val="73B48AB3"/>
    <w:rsid w:val="73B62FEF"/>
    <w:rsid w:val="73B62FFF"/>
    <w:rsid w:val="73B6C084"/>
    <w:rsid w:val="73B74CED"/>
    <w:rsid w:val="73B7B927"/>
    <w:rsid w:val="73B8CBC4"/>
    <w:rsid w:val="73BA3EB7"/>
    <w:rsid w:val="73BBCF22"/>
    <w:rsid w:val="73BEF2B1"/>
    <w:rsid w:val="73BFF4A2"/>
    <w:rsid w:val="73C2BAC1"/>
    <w:rsid w:val="73C2C491"/>
    <w:rsid w:val="73D0A902"/>
    <w:rsid w:val="73D0B90A"/>
    <w:rsid w:val="73D327A4"/>
    <w:rsid w:val="73D4BE9D"/>
    <w:rsid w:val="73D55A9B"/>
    <w:rsid w:val="73D6025D"/>
    <w:rsid w:val="73D7E04D"/>
    <w:rsid w:val="73D8AF0B"/>
    <w:rsid w:val="73D9442D"/>
    <w:rsid w:val="73DF1CA8"/>
    <w:rsid w:val="73EA152B"/>
    <w:rsid w:val="73EBC450"/>
    <w:rsid w:val="73F05107"/>
    <w:rsid w:val="73F0E7EB"/>
    <w:rsid w:val="73F66FA1"/>
    <w:rsid w:val="73FA293E"/>
    <w:rsid w:val="73FC2523"/>
    <w:rsid w:val="7400BC95"/>
    <w:rsid w:val="740291BE"/>
    <w:rsid w:val="7409C700"/>
    <w:rsid w:val="740B82AF"/>
    <w:rsid w:val="740DDB9F"/>
    <w:rsid w:val="7412AE17"/>
    <w:rsid w:val="7416E268"/>
    <w:rsid w:val="7426F339"/>
    <w:rsid w:val="7436F623"/>
    <w:rsid w:val="7437139F"/>
    <w:rsid w:val="743AB129"/>
    <w:rsid w:val="743B964A"/>
    <w:rsid w:val="743D546D"/>
    <w:rsid w:val="74409B54"/>
    <w:rsid w:val="7441B491"/>
    <w:rsid w:val="7444C2F7"/>
    <w:rsid w:val="7444CDC7"/>
    <w:rsid w:val="744F8AB4"/>
    <w:rsid w:val="7451C1BC"/>
    <w:rsid w:val="74536CBE"/>
    <w:rsid w:val="7457534A"/>
    <w:rsid w:val="74575D34"/>
    <w:rsid w:val="7457D3A6"/>
    <w:rsid w:val="745DFADA"/>
    <w:rsid w:val="746339D0"/>
    <w:rsid w:val="7464FD78"/>
    <w:rsid w:val="746778F5"/>
    <w:rsid w:val="746ADE96"/>
    <w:rsid w:val="746BD9A5"/>
    <w:rsid w:val="746D8B71"/>
    <w:rsid w:val="74724087"/>
    <w:rsid w:val="7473E947"/>
    <w:rsid w:val="7477F176"/>
    <w:rsid w:val="74783B3A"/>
    <w:rsid w:val="74796A99"/>
    <w:rsid w:val="747E2C9C"/>
    <w:rsid w:val="74824E41"/>
    <w:rsid w:val="7482E4ED"/>
    <w:rsid w:val="74832F1D"/>
    <w:rsid w:val="748C672A"/>
    <w:rsid w:val="7491DA6A"/>
    <w:rsid w:val="7493CD7E"/>
    <w:rsid w:val="749701DD"/>
    <w:rsid w:val="74973D29"/>
    <w:rsid w:val="749A5418"/>
    <w:rsid w:val="749B0660"/>
    <w:rsid w:val="749ECAF0"/>
    <w:rsid w:val="749F65A3"/>
    <w:rsid w:val="74A0343F"/>
    <w:rsid w:val="74A421B9"/>
    <w:rsid w:val="74A68805"/>
    <w:rsid w:val="74A965B0"/>
    <w:rsid w:val="74AA4C2D"/>
    <w:rsid w:val="74AD4302"/>
    <w:rsid w:val="74ADA6D7"/>
    <w:rsid w:val="74AE722B"/>
    <w:rsid w:val="74AFF89D"/>
    <w:rsid w:val="74B2E762"/>
    <w:rsid w:val="74BD4611"/>
    <w:rsid w:val="74BE9D14"/>
    <w:rsid w:val="74C101AA"/>
    <w:rsid w:val="74C185E8"/>
    <w:rsid w:val="74C89ACB"/>
    <w:rsid w:val="74C8C247"/>
    <w:rsid w:val="74CC6AF0"/>
    <w:rsid w:val="74CCC42E"/>
    <w:rsid w:val="74D04BF8"/>
    <w:rsid w:val="74D34E5C"/>
    <w:rsid w:val="74D3C998"/>
    <w:rsid w:val="74D5D9DD"/>
    <w:rsid w:val="74DC9AFB"/>
    <w:rsid w:val="74DD2D9E"/>
    <w:rsid w:val="74DD706F"/>
    <w:rsid w:val="74E0E2D7"/>
    <w:rsid w:val="74E37092"/>
    <w:rsid w:val="74E8B130"/>
    <w:rsid w:val="74EAD753"/>
    <w:rsid w:val="74ECA0D6"/>
    <w:rsid w:val="74F3CB38"/>
    <w:rsid w:val="74F44F7F"/>
    <w:rsid w:val="74F4841F"/>
    <w:rsid w:val="74F705B8"/>
    <w:rsid w:val="74F8EC18"/>
    <w:rsid w:val="74FDCD58"/>
    <w:rsid w:val="74FE4322"/>
    <w:rsid w:val="75057550"/>
    <w:rsid w:val="75094B41"/>
    <w:rsid w:val="750B5A5D"/>
    <w:rsid w:val="750B8239"/>
    <w:rsid w:val="750E89C5"/>
    <w:rsid w:val="75101EC0"/>
    <w:rsid w:val="7510AEDD"/>
    <w:rsid w:val="75152E0D"/>
    <w:rsid w:val="75158EAF"/>
    <w:rsid w:val="751A3B5E"/>
    <w:rsid w:val="751A70BE"/>
    <w:rsid w:val="751D335A"/>
    <w:rsid w:val="751FDFEA"/>
    <w:rsid w:val="75217758"/>
    <w:rsid w:val="752BC27F"/>
    <w:rsid w:val="752C364F"/>
    <w:rsid w:val="752ED3A4"/>
    <w:rsid w:val="753010AE"/>
    <w:rsid w:val="75325117"/>
    <w:rsid w:val="753C5799"/>
    <w:rsid w:val="753FA3F4"/>
    <w:rsid w:val="7540D171"/>
    <w:rsid w:val="75480413"/>
    <w:rsid w:val="7548334F"/>
    <w:rsid w:val="7552F174"/>
    <w:rsid w:val="755D084F"/>
    <w:rsid w:val="755D226D"/>
    <w:rsid w:val="755E328F"/>
    <w:rsid w:val="75602B68"/>
    <w:rsid w:val="75614C93"/>
    <w:rsid w:val="75641BA2"/>
    <w:rsid w:val="7565C8F6"/>
    <w:rsid w:val="756A2703"/>
    <w:rsid w:val="756CF199"/>
    <w:rsid w:val="7574113A"/>
    <w:rsid w:val="75758482"/>
    <w:rsid w:val="7577C87B"/>
    <w:rsid w:val="757A04D3"/>
    <w:rsid w:val="758501DB"/>
    <w:rsid w:val="758525E5"/>
    <w:rsid w:val="7587D7E3"/>
    <w:rsid w:val="758A7082"/>
    <w:rsid w:val="758FF013"/>
    <w:rsid w:val="75927A40"/>
    <w:rsid w:val="7596E6BE"/>
    <w:rsid w:val="759A31D8"/>
    <w:rsid w:val="75A00593"/>
    <w:rsid w:val="75A07A4F"/>
    <w:rsid w:val="75A4845D"/>
    <w:rsid w:val="75AC66EC"/>
    <w:rsid w:val="75B87110"/>
    <w:rsid w:val="75B9152C"/>
    <w:rsid w:val="75B97600"/>
    <w:rsid w:val="75BA67CB"/>
    <w:rsid w:val="75BA8111"/>
    <w:rsid w:val="75C2B01D"/>
    <w:rsid w:val="75C6F9AA"/>
    <w:rsid w:val="75C71337"/>
    <w:rsid w:val="75C886A3"/>
    <w:rsid w:val="75CF14E8"/>
    <w:rsid w:val="75D4A958"/>
    <w:rsid w:val="75D6DAE6"/>
    <w:rsid w:val="75D6E1CC"/>
    <w:rsid w:val="75DB9569"/>
    <w:rsid w:val="75E6FEE3"/>
    <w:rsid w:val="75F62330"/>
    <w:rsid w:val="75F7F3D9"/>
    <w:rsid w:val="7602C096"/>
    <w:rsid w:val="760886F3"/>
    <w:rsid w:val="7608953F"/>
    <w:rsid w:val="7608CC16"/>
    <w:rsid w:val="76136616"/>
    <w:rsid w:val="761B6F9A"/>
    <w:rsid w:val="761C370D"/>
    <w:rsid w:val="7620C0F7"/>
    <w:rsid w:val="762BC03E"/>
    <w:rsid w:val="762C2D71"/>
    <w:rsid w:val="76326836"/>
    <w:rsid w:val="763B3DB5"/>
    <w:rsid w:val="763BF059"/>
    <w:rsid w:val="763EAA74"/>
    <w:rsid w:val="763FC42C"/>
    <w:rsid w:val="764423EF"/>
    <w:rsid w:val="76457DB9"/>
    <w:rsid w:val="764D8961"/>
    <w:rsid w:val="764EFB5B"/>
    <w:rsid w:val="76516392"/>
    <w:rsid w:val="765534CD"/>
    <w:rsid w:val="765764B6"/>
    <w:rsid w:val="765ACEDE"/>
    <w:rsid w:val="765D4786"/>
    <w:rsid w:val="765DF3AB"/>
    <w:rsid w:val="7660DFCA"/>
    <w:rsid w:val="7661BCFD"/>
    <w:rsid w:val="7662603F"/>
    <w:rsid w:val="76634C59"/>
    <w:rsid w:val="76706FF4"/>
    <w:rsid w:val="76710D6A"/>
    <w:rsid w:val="7672149D"/>
    <w:rsid w:val="76740468"/>
    <w:rsid w:val="7674F80E"/>
    <w:rsid w:val="7676DABA"/>
    <w:rsid w:val="76795248"/>
    <w:rsid w:val="767E8827"/>
    <w:rsid w:val="76834CD4"/>
    <w:rsid w:val="7686BF9D"/>
    <w:rsid w:val="768B8D96"/>
    <w:rsid w:val="768C8F91"/>
    <w:rsid w:val="7691F89C"/>
    <w:rsid w:val="769DF003"/>
    <w:rsid w:val="769E2581"/>
    <w:rsid w:val="769EAA41"/>
    <w:rsid w:val="76A5C0ED"/>
    <w:rsid w:val="76A85BEB"/>
    <w:rsid w:val="76A8C99B"/>
    <w:rsid w:val="76A91CFB"/>
    <w:rsid w:val="76A99E00"/>
    <w:rsid w:val="76AD8C93"/>
    <w:rsid w:val="76B0045D"/>
    <w:rsid w:val="76B0BA8B"/>
    <w:rsid w:val="76B20E8A"/>
    <w:rsid w:val="76B29B97"/>
    <w:rsid w:val="76B55158"/>
    <w:rsid w:val="76B557A2"/>
    <w:rsid w:val="76B7FF94"/>
    <w:rsid w:val="76B9F527"/>
    <w:rsid w:val="76BD4BAB"/>
    <w:rsid w:val="76BE443A"/>
    <w:rsid w:val="76BFC2AB"/>
    <w:rsid w:val="76C1FA49"/>
    <w:rsid w:val="76C2E9D0"/>
    <w:rsid w:val="76C7B28D"/>
    <w:rsid w:val="76C9E2B4"/>
    <w:rsid w:val="76CD046E"/>
    <w:rsid w:val="76D00334"/>
    <w:rsid w:val="76D7EA28"/>
    <w:rsid w:val="76D8A0E9"/>
    <w:rsid w:val="76DEBE45"/>
    <w:rsid w:val="76E313FC"/>
    <w:rsid w:val="76EBBFAA"/>
    <w:rsid w:val="76EE7798"/>
    <w:rsid w:val="76F3CF50"/>
    <w:rsid w:val="76F3D606"/>
    <w:rsid w:val="76F62000"/>
    <w:rsid w:val="76F73939"/>
    <w:rsid w:val="76FA142C"/>
    <w:rsid w:val="76FD3077"/>
    <w:rsid w:val="76FE8056"/>
    <w:rsid w:val="770206AA"/>
    <w:rsid w:val="7702A3E6"/>
    <w:rsid w:val="7704C0DB"/>
    <w:rsid w:val="77090D1B"/>
    <w:rsid w:val="770A4B85"/>
    <w:rsid w:val="770A6F57"/>
    <w:rsid w:val="7710D3E5"/>
    <w:rsid w:val="7710DD94"/>
    <w:rsid w:val="77147EA7"/>
    <w:rsid w:val="771BA74A"/>
    <w:rsid w:val="772263DE"/>
    <w:rsid w:val="77262CD5"/>
    <w:rsid w:val="77263A96"/>
    <w:rsid w:val="7726C454"/>
    <w:rsid w:val="773092F4"/>
    <w:rsid w:val="7738790D"/>
    <w:rsid w:val="773C44E1"/>
    <w:rsid w:val="773C60EC"/>
    <w:rsid w:val="773E8423"/>
    <w:rsid w:val="773EC5F1"/>
    <w:rsid w:val="774B17FC"/>
    <w:rsid w:val="774D88A9"/>
    <w:rsid w:val="7755360B"/>
    <w:rsid w:val="7755E27B"/>
    <w:rsid w:val="775C2D38"/>
    <w:rsid w:val="775DA893"/>
    <w:rsid w:val="7762198A"/>
    <w:rsid w:val="7765A77C"/>
    <w:rsid w:val="776A0154"/>
    <w:rsid w:val="776F0C89"/>
    <w:rsid w:val="777611F5"/>
    <w:rsid w:val="77789FB2"/>
    <w:rsid w:val="7778C1EF"/>
    <w:rsid w:val="777A28EF"/>
    <w:rsid w:val="777A33D5"/>
    <w:rsid w:val="777D3647"/>
    <w:rsid w:val="777DC22B"/>
    <w:rsid w:val="777FAE1E"/>
    <w:rsid w:val="77839740"/>
    <w:rsid w:val="7788620B"/>
    <w:rsid w:val="77887961"/>
    <w:rsid w:val="778E67F7"/>
    <w:rsid w:val="778EC19D"/>
    <w:rsid w:val="77961842"/>
    <w:rsid w:val="779E4489"/>
    <w:rsid w:val="779E4D36"/>
    <w:rsid w:val="77A1FB85"/>
    <w:rsid w:val="77A71376"/>
    <w:rsid w:val="77A99D87"/>
    <w:rsid w:val="77B76416"/>
    <w:rsid w:val="77B7A468"/>
    <w:rsid w:val="77B89C8F"/>
    <w:rsid w:val="77BABFAB"/>
    <w:rsid w:val="77BB537C"/>
    <w:rsid w:val="77BC7183"/>
    <w:rsid w:val="77C275AD"/>
    <w:rsid w:val="77C28145"/>
    <w:rsid w:val="77C3DC52"/>
    <w:rsid w:val="77C4A60B"/>
    <w:rsid w:val="77C7F632"/>
    <w:rsid w:val="77C9C199"/>
    <w:rsid w:val="77CA5986"/>
    <w:rsid w:val="77CC00FE"/>
    <w:rsid w:val="77CC569F"/>
    <w:rsid w:val="77CFD9A5"/>
    <w:rsid w:val="77D0499C"/>
    <w:rsid w:val="77D0B96D"/>
    <w:rsid w:val="77D0FFAA"/>
    <w:rsid w:val="77D14EFA"/>
    <w:rsid w:val="77D79DA1"/>
    <w:rsid w:val="77DACAFE"/>
    <w:rsid w:val="77DCF406"/>
    <w:rsid w:val="77E02EAA"/>
    <w:rsid w:val="77EB61FA"/>
    <w:rsid w:val="77EE42E7"/>
    <w:rsid w:val="77F014BD"/>
    <w:rsid w:val="77F53A71"/>
    <w:rsid w:val="77F63776"/>
    <w:rsid w:val="77F820DF"/>
    <w:rsid w:val="77FA35B7"/>
    <w:rsid w:val="77FA4D1D"/>
    <w:rsid w:val="77FBA9D8"/>
    <w:rsid w:val="78020AA4"/>
    <w:rsid w:val="7809EC11"/>
    <w:rsid w:val="780F1878"/>
    <w:rsid w:val="7811805F"/>
    <w:rsid w:val="7812CBB7"/>
    <w:rsid w:val="78161159"/>
    <w:rsid w:val="78162604"/>
    <w:rsid w:val="782747E2"/>
    <w:rsid w:val="782898CF"/>
    <w:rsid w:val="78298A39"/>
    <w:rsid w:val="782A0E27"/>
    <w:rsid w:val="782AE279"/>
    <w:rsid w:val="782FE120"/>
    <w:rsid w:val="783229F2"/>
    <w:rsid w:val="7836B54B"/>
    <w:rsid w:val="78378020"/>
    <w:rsid w:val="783B68A0"/>
    <w:rsid w:val="783F1600"/>
    <w:rsid w:val="78472F99"/>
    <w:rsid w:val="7848822C"/>
    <w:rsid w:val="784D73F5"/>
    <w:rsid w:val="7857D898"/>
    <w:rsid w:val="7859A024"/>
    <w:rsid w:val="785A866B"/>
    <w:rsid w:val="785BDDC4"/>
    <w:rsid w:val="785DF749"/>
    <w:rsid w:val="785DFD16"/>
    <w:rsid w:val="78623FA9"/>
    <w:rsid w:val="78629833"/>
    <w:rsid w:val="786617C6"/>
    <w:rsid w:val="78691863"/>
    <w:rsid w:val="786DBD93"/>
    <w:rsid w:val="786EF4DC"/>
    <w:rsid w:val="7870C3D8"/>
    <w:rsid w:val="78713E18"/>
    <w:rsid w:val="7871546D"/>
    <w:rsid w:val="787BC661"/>
    <w:rsid w:val="787E8CA9"/>
    <w:rsid w:val="7881A826"/>
    <w:rsid w:val="78861251"/>
    <w:rsid w:val="788686FB"/>
    <w:rsid w:val="788B1987"/>
    <w:rsid w:val="788BC796"/>
    <w:rsid w:val="788EF18B"/>
    <w:rsid w:val="788F606E"/>
    <w:rsid w:val="7894C3D0"/>
    <w:rsid w:val="789EDC9B"/>
    <w:rsid w:val="789F97B9"/>
    <w:rsid w:val="78A16FAE"/>
    <w:rsid w:val="78A2E00C"/>
    <w:rsid w:val="78AB7D58"/>
    <w:rsid w:val="78AD6A15"/>
    <w:rsid w:val="78B08775"/>
    <w:rsid w:val="78B7DFE1"/>
    <w:rsid w:val="78B81D40"/>
    <w:rsid w:val="78BE3D97"/>
    <w:rsid w:val="78BE6B5E"/>
    <w:rsid w:val="78C4B4A7"/>
    <w:rsid w:val="78C4BD30"/>
    <w:rsid w:val="78C96902"/>
    <w:rsid w:val="78CB736E"/>
    <w:rsid w:val="78DE05B0"/>
    <w:rsid w:val="78E2DAE6"/>
    <w:rsid w:val="78E79A20"/>
    <w:rsid w:val="78E89DE1"/>
    <w:rsid w:val="78E8E01E"/>
    <w:rsid w:val="78EB0020"/>
    <w:rsid w:val="78ED761F"/>
    <w:rsid w:val="78F302BC"/>
    <w:rsid w:val="78F7B96A"/>
    <w:rsid w:val="78F96115"/>
    <w:rsid w:val="78FA1AC8"/>
    <w:rsid w:val="78FABC8A"/>
    <w:rsid w:val="78FCB31B"/>
    <w:rsid w:val="78FDF121"/>
    <w:rsid w:val="78FF55A3"/>
    <w:rsid w:val="79023CD4"/>
    <w:rsid w:val="79089F06"/>
    <w:rsid w:val="7908B344"/>
    <w:rsid w:val="790C1F27"/>
    <w:rsid w:val="790C4471"/>
    <w:rsid w:val="790E4093"/>
    <w:rsid w:val="790FDD55"/>
    <w:rsid w:val="7918420C"/>
    <w:rsid w:val="79194B2F"/>
    <w:rsid w:val="791988C9"/>
    <w:rsid w:val="791C3E29"/>
    <w:rsid w:val="791C9986"/>
    <w:rsid w:val="791D29DE"/>
    <w:rsid w:val="792218CC"/>
    <w:rsid w:val="792B2209"/>
    <w:rsid w:val="7934BDD0"/>
    <w:rsid w:val="7936F9A4"/>
    <w:rsid w:val="793C8F01"/>
    <w:rsid w:val="793F54DC"/>
    <w:rsid w:val="79432BE3"/>
    <w:rsid w:val="79471994"/>
    <w:rsid w:val="7948717A"/>
    <w:rsid w:val="794B05B4"/>
    <w:rsid w:val="795A9FCF"/>
    <w:rsid w:val="795CC374"/>
    <w:rsid w:val="795F2638"/>
    <w:rsid w:val="79613A52"/>
    <w:rsid w:val="7963CFDE"/>
    <w:rsid w:val="7967D931"/>
    <w:rsid w:val="7968FB82"/>
    <w:rsid w:val="796A6792"/>
    <w:rsid w:val="796AB12B"/>
    <w:rsid w:val="796F4C39"/>
    <w:rsid w:val="7972EBF1"/>
    <w:rsid w:val="7973F9CE"/>
    <w:rsid w:val="7975C689"/>
    <w:rsid w:val="797A2D38"/>
    <w:rsid w:val="797A3ADD"/>
    <w:rsid w:val="797C6906"/>
    <w:rsid w:val="7980098A"/>
    <w:rsid w:val="79981BFA"/>
    <w:rsid w:val="799BFFB9"/>
    <w:rsid w:val="79A0A33B"/>
    <w:rsid w:val="79A1EDA0"/>
    <w:rsid w:val="79A4857D"/>
    <w:rsid w:val="79A4C64B"/>
    <w:rsid w:val="79A608BB"/>
    <w:rsid w:val="79B35A99"/>
    <w:rsid w:val="79B3E3CD"/>
    <w:rsid w:val="79B5E7F1"/>
    <w:rsid w:val="79B6E86A"/>
    <w:rsid w:val="79C13C40"/>
    <w:rsid w:val="79C185F8"/>
    <w:rsid w:val="79C3FA54"/>
    <w:rsid w:val="79C7B7A0"/>
    <w:rsid w:val="79D14C26"/>
    <w:rsid w:val="79D39A5B"/>
    <w:rsid w:val="79D3E716"/>
    <w:rsid w:val="79D554E0"/>
    <w:rsid w:val="79DA3DF8"/>
    <w:rsid w:val="79DB0C35"/>
    <w:rsid w:val="79DBA0D8"/>
    <w:rsid w:val="79DCB952"/>
    <w:rsid w:val="79E6D1A5"/>
    <w:rsid w:val="79E74FFE"/>
    <w:rsid w:val="79EAABF1"/>
    <w:rsid w:val="79EC2B21"/>
    <w:rsid w:val="79EE957F"/>
    <w:rsid w:val="79EEA74D"/>
    <w:rsid w:val="79EF1D5A"/>
    <w:rsid w:val="79FA1971"/>
    <w:rsid w:val="7A00025E"/>
    <w:rsid w:val="7A070838"/>
    <w:rsid w:val="7A0AB667"/>
    <w:rsid w:val="7A0C1F35"/>
    <w:rsid w:val="7A14BC4E"/>
    <w:rsid w:val="7A14CEBF"/>
    <w:rsid w:val="7A1992D4"/>
    <w:rsid w:val="7A1F387C"/>
    <w:rsid w:val="7A21407D"/>
    <w:rsid w:val="7A2E31ED"/>
    <w:rsid w:val="7A2EF344"/>
    <w:rsid w:val="7A333092"/>
    <w:rsid w:val="7A342530"/>
    <w:rsid w:val="7A37A2F8"/>
    <w:rsid w:val="7A3C92AA"/>
    <w:rsid w:val="7A3D8D7B"/>
    <w:rsid w:val="7A404E9F"/>
    <w:rsid w:val="7A4465A3"/>
    <w:rsid w:val="7A44746E"/>
    <w:rsid w:val="7A47BE3C"/>
    <w:rsid w:val="7A49BB6A"/>
    <w:rsid w:val="7A4AE493"/>
    <w:rsid w:val="7A507A10"/>
    <w:rsid w:val="7A5231C6"/>
    <w:rsid w:val="7A54C4B5"/>
    <w:rsid w:val="7A5B76B6"/>
    <w:rsid w:val="7A5EF7C5"/>
    <w:rsid w:val="7A61C54E"/>
    <w:rsid w:val="7A65C49D"/>
    <w:rsid w:val="7A6F6718"/>
    <w:rsid w:val="7A787DFA"/>
    <w:rsid w:val="7A794CE9"/>
    <w:rsid w:val="7A81BE7D"/>
    <w:rsid w:val="7A82C656"/>
    <w:rsid w:val="7A854CA7"/>
    <w:rsid w:val="7A864F05"/>
    <w:rsid w:val="7A8CE549"/>
    <w:rsid w:val="7A8EAF55"/>
    <w:rsid w:val="7A92B4B6"/>
    <w:rsid w:val="7A95415B"/>
    <w:rsid w:val="7A97C6D1"/>
    <w:rsid w:val="7A9A0DAE"/>
    <w:rsid w:val="7A9C0158"/>
    <w:rsid w:val="7A9CFB78"/>
    <w:rsid w:val="7A9D89A1"/>
    <w:rsid w:val="7A9DE92E"/>
    <w:rsid w:val="7AA8AF6E"/>
    <w:rsid w:val="7AB02F2E"/>
    <w:rsid w:val="7AB74490"/>
    <w:rsid w:val="7AB9182E"/>
    <w:rsid w:val="7ABCD290"/>
    <w:rsid w:val="7ABDD64F"/>
    <w:rsid w:val="7AC42DAA"/>
    <w:rsid w:val="7AC5BC44"/>
    <w:rsid w:val="7ACCEF6D"/>
    <w:rsid w:val="7ACF8B5B"/>
    <w:rsid w:val="7AD08A60"/>
    <w:rsid w:val="7AD0ED51"/>
    <w:rsid w:val="7AD33096"/>
    <w:rsid w:val="7AD691EC"/>
    <w:rsid w:val="7AD69BE9"/>
    <w:rsid w:val="7AD7485A"/>
    <w:rsid w:val="7AD963B0"/>
    <w:rsid w:val="7ADAF2D1"/>
    <w:rsid w:val="7ADB2362"/>
    <w:rsid w:val="7ADC00ED"/>
    <w:rsid w:val="7ADE29F1"/>
    <w:rsid w:val="7AE35345"/>
    <w:rsid w:val="7AE91495"/>
    <w:rsid w:val="7AE9D4EB"/>
    <w:rsid w:val="7AEA1236"/>
    <w:rsid w:val="7AECEDA7"/>
    <w:rsid w:val="7AED487D"/>
    <w:rsid w:val="7AF5925A"/>
    <w:rsid w:val="7B0015AF"/>
    <w:rsid w:val="7B063C83"/>
    <w:rsid w:val="7B0A2746"/>
    <w:rsid w:val="7B0AA6FD"/>
    <w:rsid w:val="7B0F0FDC"/>
    <w:rsid w:val="7B10DF75"/>
    <w:rsid w:val="7B149DF9"/>
    <w:rsid w:val="7B14FD72"/>
    <w:rsid w:val="7B169661"/>
    <w:rsid w:val="7B1A536F"/>
    <w:rsid w:val="7B1BE683"/>
    <w:rsid w:val="7B1E3DB2"/>
    <w:rsid w:val="7B1E7E45"/>
    <w:rsid w:val="7B202FDE"/>
    <w:rsid w:val="7B20CCDB"/>
    <w:rsid w:val="7B3080C9"/>
    <w:rsid w:val="7B3B08D2"/>
    <w:rsid w:val="7B3EE07C"/>
    <w:rsid w:val="7B42FB34"/>
    <w:rsid w:val="7B49153E"/>
    <w:rsid w:val="7B51C138"/>
    <w:rsid w:val="7B553EE3"/>
    <w:rsid w:val="7B55D981"/>
    <w:rsid w:val="7B55F2CD"/>
    <w:rsid w:val="7B56CBF0"/>
    <w:rsid w:val="7B587437"/>
    <w:rsid w:val="7B5C3B39"/>
    <w:rsid w:val="7B6055E5"/>
    <w:rsid w:val="7B6D098E"/>
    <w:rsid w:val="7B6DD957"/>
    <w:rsid w:val="7B6FE21F"/>
    <w:rsid w:val="7B71C709"/>
    <w:rsid w:val="7B71D80B"/>
    <w:rsid w:val="7B71E314"/>
    <w:rsid w:val="7B77164E"/>
    <w:rsid w:val="7B780A85"/>
    <w:rsid w:val="7B82B995"/>
    <w:rsid w:val="7B8825C6"/>
    <w:rsid w:val="7B892724"/>
    <w:rsid w:val="7B89FC1B"/>
    <w:rsid w:val="7B8CF52A"/>
    <w:rsid w:val="7B8D5D6B"/>
    <w:rsid w:val="7B8DF278"/>
    <w:rsid w:val="7B8FCD3B"/>
    <w:rsid w:val="7B9518E6"/>
    <w:rsid w:val="7B98A644"/>
    <w:rsid w:val="7B9C0A82"/>
    <w:rsid w:val="7B9C572F"/>
    <w:rsid w:val="7B9DC438"/>
    <w:rsid w:val="7B9EE62D"/>
    <w:rsid w:val="7BA04986"/>
    <w:rsid w:val="7BA08B9D"/>
    <w:rsid w:val="7BA45EC8"/>
    <w:rsid w:val="7BA91453"/>
    <w:rsid w:val="7BABF722"/>
    <w:rsid w:val="7BB03333"/>
    <w:rsid w:val="7BB17EC0"/>
    <w:rsid w:val="7BB2974A"/>
    <w:rsid w:val="7BB2FB38"/>
    <w:rsid w:val="7BB316FB"/>
    <w:rsid w:val="7BB66345"/>
    <w:rsid w:val="7BB71616"/>
    <w:rsid w:val="7BB80741"/>
    <w:rsid w:val="7BBEA53F"/>
    <w:rsid w:val="7BC79436"/>
    <w:rsid w:val="7BCBC282"/>
    <w:rsid w:val="7BCED490"/>
    <w:rsid w:val="7BCF4B84"/>
    <w:rsid w:val="7BD3285B"/>
    <w:rsid w:val="7BD54B0B"/>
    <w:rsid w:val="7BD59B4A"/>
    <w:rsid w:val="7BE0FD87"/>
    <w:rsid w:val="7BE7B147"/>
    <w:rsid w:val="7BEE13BA"/>
    <w:rsid w:val="7BF75E75"/>
    <w:rsid w:val="7BF9FF23"/>
    <w:rsid w:val="7BFA2C7B"/>
    <w:rsid w:val="7BFC93E7"/>
    <w:rsid w:val="7BFD2503"/>
    <w:rsid w:val="7BFFE46B"/>
    <w:rsid w:val="7C00DF14"/>
    <w:rsid w:val="7C0315A1"/>
    <w:rsid w:val="7C05AE87"/>
    <w:rsid w:val="7C0783B2"/>
    <w:rsid w:val="7C0DC281"/>
    <w:rsid w:val="7C0F33DC"/>
    <w:rsid w:val="7C11E8BB"/>
    <w:rsid w:val="7C11FDBC"/>
    <w:rsid w:val="7C18026D"/>
    <w:rsid w:val="7C18883A"/>
    <w:rsid w:val="7C1AAA24"/>
    <w:rsid w:val="7C1B27DE"/>
    <w:rsid w:val="7C1D03A1"/>
    <w:rsid w:val="7C2373C3"/>
    <w:rsid w:val="7C25ACCE"/>
    <w:rsid w:val="7C26A05C"/>
    <w:rsid w:val="7C304519"/>
    <w:rsid w:val="7C3146DF"/>
    <w:rsid w:val="7C370EB4"/>
    <w:rsid w:val="7C3B6029"/>
    <w:rsid w:val="7C3C0D91"/>
    <w:rsid w:val="7C3CECF5"/>
    <w:rsid w:val="7C402AA2"/>
    <w:rsid w:val="7C4221DA"/>
    <w:rsid w:val="7C4339F9"/>
    <w:rsid w:val="7C435F2B"/>
    <w:rsid w:val="7C4B0E08"/>
    <w:rsid w:val="7C4B4F22"/>
    <w:rsid w:val="7C4BF1E6"/>
    <w:rsid w:val="7C4EDB37"/>
    <w:rsid w:val="7C553DA1"/>
    <w:rsid w:val="7C586D75"/>
    <w:rsid w:val="7C677C84"/>
    <w:rsid w:val="7C68A319"/>
    <w:rsid w:val="7C6C2759"/>
    <w:rsid w:val="7C6F368D"/>
    <w:rsid w:val="7C720DC7"/>
    <w:rsid w:val="7C720EDC"/>
    <w:rsid w:val="7C7677E6"/>
    <w:rsid w:val="7C76C748"/>
    <w:rsid w:val="7C782906"/>
    <w:rsid w:val="7C79BA0F"/>
    <w:rsid w:val="7C7B92B3"/>
    <w:rsid w:val="7C7C45D0"/>
    <w:rsid w:val="7C7CB8DB"/>
    <w:rsid w:val="7C86FB3A"/>
    <w:rsid w:val="7C92B20E"/>
    <w:rsid w:val="7C93A73D"/>
    <w:rsid w:val="7C966FB6"/>
    <w:rsid w:val="7C97AF78"/>
    <w:rsid w:val="7C99B1D2"/>
    <w:rsid w:val="7C9E326F"/>
    <w:rsid w:val="7C9E7375"/>
    <w:rsid w:val="7C9F11A5"/>
    <w:rsid w:val="7CA358F7"/>
    <w:rsid w:val="7CB0B823"/>
    <w:rsid w:val="7CB196C9"/>
    <w:rsid w:val="7CB1BC7F"/>
    <w:rsid w:val="7CB413E2"/>
    <w:rsid w:val="7CB66D3E"/>
    <w:rsid w:val="7CB7F142"/>
    <w:rsid w:val="7CCF9882"/>
    <w:rsid w:val="7CD57400"/>
    <w:rsid w:val="7CD68E98"/>
    <w:rsid w:val="7CD69A93"/>
    <w:rsid w:val="7CD7B224"/>
    <w:rsid w:val="7CD8B3BC"/>
    <w:rsid w:val="7CE3D7FF"/>
    <w:rsid w:val="7CE5FBA5"/>
    <w:rsid w:val="7CEAFF0F"/>
    <w:rsid w:val="7CEE4899"/>
    <w:rsid w:val="7CF6D6B4"/>
    <w:rsid w:val="7CF93FCA"/>
    <w:rsid w:val="7CFD9FB5"/>
    <w:rsid w:val="7CFE7D55"/>
    <w:rsid w:val="7D057C90"/>
    <w:rsid w:val="7D0C347A"/>
    <w:rsid w:val="7D0D5915"/>
    <w:rsid w:val="7D0F2021"/>
    <w:rsid w:val="7D11BDE3"/>
    <w:rsid w:val="7D1290C3"/>
    <w:rsid w:val="7D1738A2"/>
    <w:rsid w:val="7D192060"/>
    <w:rsid w:val="7D23BEC0"/>
    <w:rsid w:val="7D2F1319"/>
    <w:rsid w:val="7D306759"/>
    <w:rsid w:val="7D331CDB"/>
    <w:rsid w:val="7D333DF9"/>
    <w:rsid w:val="7D36F038"/>
    <w:rsid w:val="7D3DCBF0"/>
    <w:rsid w:val="7D3DEEBF"/>
    <w:rsid w:val="7D42156B"/>
    <w:rsid w:val="7D429522"/>
    <w:rsid w:val="7D4787B0"/>
    <w:rsid w:val="7D499B10"/>
    <w:rsid w:val="7D4F0B99"/>
    <w:rsid w:val="7D50E1DF"/>
    <w:rsid w:val="7D56E42A"/>
    <w:rsid w:val="7D57A237"/>
    <w:rsid w:val="7D65C941"/>
    <w:rsid w:val="7D681FCB"/>
    <w:rsid w:val="7D6C9E7B"/>
    <w:rsid w:val="7D6FD05F"/>
    <w:rsid w:val="7D70D99A"/>
    <w:rsid w:val="7D727F4E"/>
    <w:rsid w:val="7D758122"/>
    <w:rsid w:val="7D76E479"/>
    <w:rsid w:val="7D79B2AC"/>
    <w:rsid w:val="7D7E0671"/>
    <w:rsid w:val="7D834D2D"/>
    <w:rsid w:val="7D85C176"/>
    <w:rsid w:val="7D874511"/>
    <w:rsid w:val="7D88AFA5"/>
    <w:rsid w:val="7D88F84C"/>
    <w:rsid w:val="7D89A9F5"/>
    <w:rsid w:val="7D8BC737"/>
    <w:rsid w:val="7D908972"/>
    <w:rsid w:val="7D91F27D"/>
    <w:rsid w:val="7DA6657C"/>
    <w:rsid w:val="7DA8492E"/>
    <w:rsid w:val="7DA93FE5"/>
    <w:rsid w:val="7DB1CE07"/>
    <w:rsid w:val="7DB23E47"/>
    <w:rsid w:val="7DB77A6D"/>
    <w:rsid w:val="7DB81C1E"/>
    <w:rsid w:val="7DB8DEBF"/>
    <w:rsid w:val="7DC2AF25"/>
    <w:rsid w:val="7DC2CEC5"/>
    <w:rsid w:val="7DC36C3C"/>
    <w:rsid w:val="7DC506EC"/>
    <w:rsid w:val="7DCB1CD3"/>
    <w:rsid w:val="7DCE7B2B"/>
    <w:rsid w:val="7DCF0886"/>
    <w:rsid w:val="7DD0B879"/>
    <w:rsid w:val="7DD11034"/>
    <w:rsid w:val="7DD67B51"/>
    <w:rsid w:val="7DD77B8D"/>
    <w:rsid w:val="7DD7F578"/>
    <w:rsid w:val="7DD99816"/>
    <w:rsid w:val="7DDA618E"/>
    <w:rsid w:val="7DDB20D2"/>
    <w:rsid w:val="7DDED6E3"/>
    <w:rsid w:val="7DEB28ED"/>
    <w:rsid w:val="7DED81B4"/>
    <w:rsid w:val="7DF17599"/>
    <w:rsid w:val="7DF3215F"/>
    <w:rsid w:val="7DF5BAEA"/>
    <w:rsid w:val="7DF8CAA8"/>
    <w:rsid w:val="7DFFA711"/>
    <w:rsid w:val="7E021E77"/>
    <w:rsid w:val="7E043C82"/>
    <w:rsid w:val="7E0A0AA8"/>
    <w:rsid w:val="7E0AAAC5"/>
    <w:rsid w:val="7E0E5DAD"/>
    <w:rsid w:val="7E120EC8"/>
    <w:rsid w:val="7E156274"/>
    <w:rsid w:val="7E187E83"/>
    <w:rsid w:val="7E2A21CA"/>
    <w:rsid w:val="7E2B9435"/>
    <w:rsid w:val="7E2EFD79"/>
    <w:rsid w:val="7E321973"/>
    <w:rsid w:val="7E3462CD"/>
    <w:rsid w:val="7E348B47"/>
    <w:rsid w:val="7E372BB5"/>
    <w:rsid w:val="7E3A1ABE"/>
    <w:rsid w:val="7E3BE05B"/>
    <w:rsid w:val="7E3C7477"/>
    <w:rsid w:val="7E3E7961"/>
    <w:rsid w:val="7E3F9E36"/>
    <w:rsid w:val="7E411EB3"/>
    <w:rsid w:val="7E41DBA7"/>
    <w:rsid w:val="7E45EC7D"/>
    <w:rsid w:val="7E4681E1"/>
    <w:rsid w:val="7E4780C5"/>
    <w:rsid w:val="7E4D8807"/>
    <w:rsid w:val="7E4FE212"/>
    <w:rsid w:val="7E520224"/>
    <w:rsid w:val="7E55AD16"/>
    <w:rsid w:val="7E58AF0B"/>
    <w:rsid w:val="7E638A82"/>
    <w:rsid w:val="7E659246"/>
    <w:rsid w:val="7E65C54C"/>
    <w:rsid w:val="7E67C550"/>
    <w:rsid w:val="7E6829AB"/>
    <w:rsid w:val="7E71E141"/>
    <w:rsid w:val="7E7258A9"/>
    <w:rsid w:val="7E76E546"/>
    <w:rsid w:val="7E7888FE"/>
    <w:rsid w:val="7E79479F"/>
    <w:rsid w:val="7E7B2555"/>
    <w:rsid w:val="7E7D1B56"/>
    <w:rsid w:val="7E81BD74"/>
    <w:rsid w:val="7E881B96"/>
    <w:rsid w:val="7E909ACF"/>
    <w:rsid w:val="7E95A899"/>
    <w:rsid w:val="7E96EF25"/>
    <w:rsid w:val="7E982BE3"/>
    <w:rsid w:val="7E9A2800"/>
    <w:rsid w:val="7E9CCB9C"/>
    <w:rsid w:val="7EA540B9"/>
    <w:rsid w:val="7EA55984"/>
    <w:rsid w:val="7EAA7200"/>
    <w:rsid w:val="7EAFEB4F"/>
    <w:rsid w:val="7EB192E0"/>
    <w:rsid w:val="7EB1DA18"/>
    <w:rsid w:val="7EB9E64C"/>
    <w:rsid w:val="7EBA4851"/>
    <w:rsid w:val="7EBA48C1"/>
    <w:rsid w:val="7EBC6A2A"/>
    <w:rsid w:val="7EC4B222"/>
    <w:rsid w:val="7ECC8BBD"/>
    <w:rsid w:val="7ECE6B27"/>
    <w:rsid w:val="7ECEB289"/>
    <w:rsid w:val="7ECED9FC"/>
    <w:rsid w:val="7ED1073A"/>
    <w:rsid w:val="7ED27618"/>
    <w:rsid w:val="7ED324B1"/>
    <w:rsid w:val="7ED4CB8A"/>
    <w:rsid w:val="7ED6CF54"/>
    <w:rsid w:val="7EE0FD77"/>
    <w:rsid w:val="7EE36C6C"/>
    <w:rsid w:val="7EE385BD"/>
    <w:rsid w:val="7EE8F8AB"/>
    <w:rsid w:val="7EE90CAC"/>
    <w:rsid w:val="7EEC3FDB"/>
    <w:rsid w:val="7EEE59C2"/>
    <w:rsid w:val="7EF59218"/>
    <w:rsid w:val="7EF62B87"/>
    <w:rsid w:val="7EF7302A"/>
    <w:rsid w:val="7EF80521"/>
    <w:rsid w:val="7EF92BE4"/>
    <w:rsid w:val="7EFCDAC3"/>
    <w:rsid w:val="7EFD02DE"/>
    <w:rsid w:val="7EFE9948"/>
    <w:rsid w:val="7F0127F9"/>
    <w:rsid w:val="7F0269BE"/>
    <w:rsid w:val="7F06F117"/>
    <w:rsid w:val="7F0A806C"/>
    <w:rsid w:val="7F0B65E2"/>
    <w:rsid w:val="7F0BD66A"/>
    <w:rsid w:val="7F0D5EB3"/>
    <w:rsid w:val="7F0DE28C"/>
    <w:rsid w:val="7F0E776C"/>
    <w:rsid w:val="7F131571"/>
    <w:rsid w:val="7F13D6D1"/>
    <w:rsid w:val="7F171837"/>
    <w:rsid w:val="7F18A7C4"/>
    <w:rsid w:val="7F1923D1"/>
    <w:rsid w:val="7F1A36B9"/>
    <w:rsid w:val="7F1B3A1D"/>
    <w:rsid w:val="7F1B8433"/>
    <w:rsid w:val="7F1BFA8C"/>
    <w:rsid w:val="7F212810"/>
    <w:rsid w:val="7F224B75"/>
    <w:rsid w:val="7F30C2CA"/>
    <w:rsid w:val="7F34692F"/>
    <w:rsid w:val="7F35B0A0"/>
    <w:rsid w:val="7F37E81F"/>
    <w:rsid w:val="7F3A8F20"/>
    <w:rsid w:val="7F3B291F"/>
    <w:rsid w:val="7F3E0190"/>
    <w:rsid w:val="7F3EF428"/>
    <w:rsid w:val="7F3F1400"/>
    <w:rsid w:val="7F43878F"/>
    <w:rsid w:val="7F469453"/>
    <w:rsid w:val="7F474942"/>
    <w:rsid w:val="7F4CA4F2"/>
    <w:rsid w:val="7F4DA3AF"/>
    <w:rsid w:val="7F523E7E"/>
    <w:rsid w:val="7F561AE5"/>
    <w:rsid w:val="7F5693FF"/>
    <w:rsid w:val="7F56D731"/>
    <w:rsid w:val="7F57D9B9"/>
    <w:rsid w:val="7F5A861B"/>
    <w:rsid w:val="7F5C0090"/>
    <w:rsid w:val="7F5F2456"/>
    <w:rsid w:val="7F606294"/>
    <w:rsid w:val="7F699D22"/>
    <w:rsid w:val="7F6E0147"/>
    <w:rsid w:val="7F77F14A"/>
    <w:rsid w:val="7F799085"/>
    <w:rsid w:val="7F7A50A1"/>
    <w:rsid w:val="7F822E55"/>
    <w:rsid w:val="7F8271B0"/>
    <w:rsid w:val="7F82982C"/>
    <w:rsid w:val="7F85FC0C"/>
    <w:rsid w:val="7F8B9D10"/>
    <w:rsid w:val="7F8BA7E2"/>
    <w:rsid w:val="7F904449"/>
    <w:rsid w:val="7F9622C9"/>
    <w:rsid w:val="7F98DA25"/>
    <w:rsid w:val="7F992A84"/>
    <w:rsid w:val="7F9D5425"/>
    <w:rsid w:val="7FA1EAFD"/>
    <w:rsid w:val="7FA2D1D9"/>
    <w:rsid w:val="7FA5D033"/>
    <w:rsid w:val="7FA775A5"/>
    <w:rsid w:val="7FA7C0F7"/>
    <w:rsid w:val="7FB1BA19"/>
    <w:rsid w:val="7FB91D28"/>
    <w:rsid w:val="7FBD00CD"/>
    <w:rsid w:val="7FBD1E15"/>
    <w:rsid w:val="7FBECE79"/>
    <w:rsid w:val="7FBEE070"/>
    <w:rsid w:val="7FC2D099"/>
    <w:rsid w:val="7FC8F1B4"/>
    <w:rsid w:val="7FCB0A0E"/>
    <w:rsid w:val="7FD07D0D"/>
    <w:rsid w:val="7FD7DF78"/>
    <w:rsid w:val="7FE08636"/>
    <w:rsid w:val="7FE3D842"/>
    <w:rsid w:val="7FEDE318"/>
    <w:rsid w:val="7FEE9AE5"/>
    <w:rsid w:val="7FEF65C3"/>
    <w:rsid w:val="7FF2DFBD"/>
    <w:rsid w:val="7FF3621A"/>
    <w:rsid w:val="7FFB9F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F1AC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263"/>
    <w:pPr>
      <w:spacing w:before="120" w:after="120" w:line="240" w:lineRule="auto"/>
      <w:jc w:val="both"/>
    </w:pPr>
    <w:rPr>
      <w:rFonts w:ascii="Times New Roman" w:hAnsi="Times New Roman" w:cs="Times New Roman"/>
      <w:sz w:val="24"/>
      <w:szCs w:val="24"/>
    </w:rPr>
  </w:style>
  <w:style w:type="paragraph" w:styleId="Heading1">
    <w:name w:val="heading 1"/>
    <w:basedOn w:val="Normal"/>
    <w:next w:val="Text1"/>
    <w:link w:val="Heading1Char"/>
    <w:qFormat/>
    <w:rsid w:val="006B087E"/>
    <w:pPr>
      <w:keepNext/>
      <w:numPr>
        <w:numId w:val="22"/>
      </w:numPr>
      <w:spacing w:before="240"/>
      <w:outlineLvl w:val="0"/>
    </w:pPr>
    <w:rPr>
      <w:rFonts w:eastAsia="Times New Roman"/>
      <w:b/>
      <w:smallCaps/>
      <w:szCs w:val="20"/>
    </w:rPr>
  </w:style>
  <w:style w:type="paragraph" w:styleId="Heading2">
    <w:name w:val="heading 2"/>
    <w:basedOn w:val="Normal"/>
    <w:next w:val="Text2"/>
    <w:link w:val="Heading2Char"/>
    <w:qFormat/>
    <w:rsid w:val="00CC4199"/>
    <w:pPr>
      <w:keepNext/>
      <w:numPr>
        <w:ilvl w:val="1"/>
        <w:numId w:val="22"/>
      </w:numPr>
      <w:outlineLvl w:val="1"/>
    </w:pPr>
    <w:rPr>
      <w:rFonts w:eastAsia="Times New Roman"/>
      <w:b/>
      <w:szCs w:val="20"/>
    </w:rPr>
  </w:style>
  <w:style w:type="paragraph" w:styleId="Heading3">
    <w:name w:val="heading 3"/>
    <w:basedOn w:val="Normal"/>
    <w:next w:val="Normal"/>
    <w:link w:val="Heading3Char"/>
    <w:qFormat/>
    <w:rsid w:val="003F2F39"/>
    <w:pPr>
      <w:keepNext/>
      <w:spacing w:before="240" w:after="240"/>
      <w:outlineLvl w:val="2"/>
    </w:pPr>
    <w:rPr>
      <w:rFonts w:eastAsia="Times New Roman"/>
      <w:i/>
      <w:szCs w:val="20"/>
    </w:rPr>
  </w:style>
  <w:style w:type="paragraph" w:styleId="Heading4">
    <w:name w:val="heading 4"/>
    <w:basedOn w:val="Normal"/>
    <w:next w:val="Normal"/>
    <w:link w:val="Heading4Char"/>
    <w:qFormat/>
    <w:rsid w:val="00914722"/>
    <w:pPr>
      <w:keepNext/>
      <w:ind w:left="850"/>
      <w:outlineLvl w:val="3"/>
    </w:pPr>
    <w:rPr>
      <w:rFonts w:eastAsia="Times New Roman"/>
      <w:szCs w:val="20"/>
      <w:lang w:val="en-IE"/>
    </w:rPr>
  </w:style>
  <w:style w:type="paragraph" w:styleId="Heading5">
    <w:name w:val="heading 5"/>
    <w:basedOn w:val="Normal"/>
    <w:next w:val="Normal"/>
    <w:link w:val="Heading5Char"/>
    <w:uiPriority w:val="9"/>
    <w:unhideWhenUsed/>
    <w:qFormat/>
    <w:rsid w:val="0053316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087E"/>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sid w:val="006B087E"/>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6B087E"/>
    <w:rPr>
      <w:rFonts w:ascii="Times New Roman" w:eastAsia="Times New Roman" w:hAnsi="Times New Roman" w:cs="Times New Roman"/>
      <w:i/>
      <w:sz w:val="24"/>
      <w:szCs w:val="20"/>
    </w:rPr>
  </w:style>
  <w:style w:type="character" w:customStyle="1" w:styleId="Heading4Char">
    <w:name w:val="Heading 4 Char"/>
    <w:basedOn w:val="DefaultParagraphFont"/>
    <w:link w:val="Heading4"/>
    <w:rsid w:val="006B087E"/>
    <w:rPr>
      <w:rFonts w:ascii="Times New Roman" w:eastAsia="Times New Roman" w:hAnsi="Times New Roman" w:cs="Times New Roman"/>
      <w:sz w:val="24"/>
      <w:szCs w:val="20"/>
      <w:lang w:val="en-IE"/>
    </w:rPr>
  </w:style>
  <w:style w:type="character" w:customStyle="1" w:styleId="Marker">
    <w:name w:val="Marker"/>
    <w:basedOn w:val="DefaultParagraphFont"/>
    <w:rsid w:val="006B087E"/>
    <w:rPr>
      <w:color w:val="0000FF"/>
      <w:shd w:val="clear" w:color="auto" w:fill="auto"/>
    </w:rPr>
  </w:style>
  <w:style w:type="paragraph" w:customStyle="1" w:styleId="Pagedecouverture">
    <w:name w:val="Page de couverture"/>
    <w:basedOn w:val="Normal"/>
    <w:next w:val="Normal"/>
    <w:rsid w:val="006B087E"/>
    <w:pPr>
      <w:spacing w:after="0"/>
    </w:pPr>
  </w:style>
  <w:style w:type="paragraph" w:styleId="Header">
    <w:name w:val="header"/>
    <w:basedOn w:val="Normal"/>
    <w:link w:val="HeaderChar"/>
    <w:uiPriority w:val="99"/>
    <w:unhideWhenUsed/>
    <w:rsid w:val="006B087E"/>
    <w:pPr>
      <w:tabs>
        <w:tab w:val="center" w:pos="4535"/>
        <w:tab w:val="right" w:pos="9071"/>
      </w:tabs>
    </w:pPr>
  </w:style>
  <w:style w:type="character" w:customStyle="1" w:styleId="HeaderChar">
    <w:name w:val="Header Char"/>
    <w:basedOn w:val="DefaultParagraphFont"/>
    <w:link w:val="Header"/>
    <w:uiPriority w:val="99"/>
    <w:rsid w:val="006B087E"/>
    <w:rPr>
      <w:rFonts w:ascii="Times New Roman" w:hAnsi="Times New Roman" w:cs="Times New Roman"/>
      <w:sz w:val="24"/>
      <w:szCs w:val="24"/>
    </w:rPr>
  </w:style>
  <w:style w:type="paragraph" w:styleId="Footer">
    <w:name w:val="footer"/>
    <w:basedOn w:val="Normal"/>
    <w:link w:val="FooterChar"/>
    <w:uiPriority w:val="99"/>
    <w:unhideWhenUsed/>
    <w:rsid w:val="006B087E"/>
    <w:pPr>
      <w:tabs>
        <w:tab w:val="center" w:pos="4535"/>
        <w:tab w:val="right" w:pos="9071"/>
        <w:tab w:val="right" w:pos="9921"/>
      </w:tabs>
      <w:spacing w:before="360" w:after="0"/>
      <w:ind w:left="-850" w:right="-850"/>
    </w:pPr>
  </w:style>
  <w:style w:type="character" w:customStyle="1" w:styleId="FooterChar">
    <w:name w:val="Footer Char"/>
    <w:basedOn w:val="DefaultParagraphFont"/>
    <w:link w:val="Footer"/>
    <w:uiPriority w:val="99"/>
    <w:rsid w:val="006B087E"/>
    <w:rPr>
      <w:rFonts w:ascii="Times New Roman" w:hAnsi="Times New Roman" w:cs="Times New Roman"/>
      <w:sz w:val="24"/>
    </w:rPr>
  </w:style>
  <w:style w:type="paragraph" w:customStyle="1" w:styleId="FooterCoverPage">
    <w:name w:val="Footer Cover Page"/>
    <w:basedOn w:val="Normal"/>
    <w:link w:val="FooterCoverPageChar"/>
    <w:rsid w:val="006B087E"/>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sid w:val="006B087E"/>
    <w:rPr>
      <w:rFonts w:ascii="Times New Roman" w:hAnsi="Times New Roman" w:cs="Times New Roman"/>
      <w:sz w:val="24"/>
      <w:szCs w:val="24"/>
    </w:rPr>
  </w:style>
  <w:style w:type="paragraph" w:customStyle="1" w:styleId="HeaderCoverPage">
    <w:name w:val="Header Cover Page"/>
    <w:basedOn w:val="Normal"/>
    <w:link w:val="HeaderCoverPageChar"/>
    <w:rsid w:val="006B087E"/>
    <w:pPr>
      <w:tabs>
        <w:tab w:val="center" w:pos="4535"/>
        <w:tab w:val="right" w:pos="9071"/>
      </w:tabs>
      <w:spacing w:before="0"/>
    </w:pPr>
  </w:style>
  <w:style w:type="character" w:customStyle="1" w:styleId="HeaderCoverPageChar">
    <w:name w:val="Header Cover Page Char"/>
    <w:basedOn w:val="DefaultParagraphFont"/>
    <w:link w:val="HeaderCoverPage"/>
    <w:rsid w:val="006B087E"/>
    <w:rPr>
      <w:rFonts w:ascii="Times New Roman" w:hAnsi="Times New Roman" w:cs="Times New Roman"/>
      <w:sz w:val="24"/>
      <w:szCs w:val="24"/>
    </w:rPr>
  </w:style>
  <w:style w:type="paragraph" w:customStyle="1" w:styleId="Text1">
    <w:name w:val="Text 1"/>
    <w:basedOn w:val="Normal"/>
    <w:rsid w:val="006B087E"/>
    <w:pPr>
      <w:ind w:left="482"/>
    </w:pPr>
    <w:rPr>
      <w:rFonts w:eastAsia="Times New Roman"/>
      <w:szCs w:val="20"/>
    </w:rPr>
  </w:style>
  <w:style w:type="paragraph" w:customStyle="1" w:styleId="Text2">
    <w:name w:val="Text 2"/>
    <w:basedOn w:val="Normal"/>
    <w:rsid w:val="006B087E"/>
    <w:pPr>
      <w:tabs>
        <w:tab w:val="left" w:pos="2302"/>
      </w:tabs>
      <w:ind w:left="1202"/>
    </w:pPr>
    <w:rPr>
      <w:rFonts w:eastAsia="Times New Roman"/>
      <w:szCs w:val="20"/>
    </w:rPr>
  </w:style>
  <w:style w:type="paragraph" w:styleId="ListBullet">
    <w:name w:val="List Bullet"/>
    <w:basedOn w:val="Normal"/>
    <w:rsid w:val="006B087E"/>
    <w:pPr>
      <w:numPr>
        <w:numId w:val="17"/>
      </w:numPr>
    </w:pPr>
    <w:rPr>
      <w:rFonts w:eastAsia="Times New Roman"/>
      <w:szCs w:val="20"/>
    </w:rPr>
  </w:style>
  <w:style w:type="paragraph" w:customStyle="1" w:styleId="ListDash1">
    <w:name w:val="List Dash 1"/>
    <w:basedOn w:val="Text1"/>
    <w:rsid w:val="006B087E"/>
    <w:pPr>
      <w:numPr>
        <w:numId w:val="18"/>
      </w:numPr>
    </w:pPr>
  </w:style>
  <w:style w:type="table" w:styleId="TableGrid">
    <w:name w:val="Table Grid"/>
    <w:aliases w:val="Document Table,CV1,Table Grid IDEA,CV table,TabelEcorys,Simple table,simple table,Deloitte,Tabellengitternetz,Standard table format,HTG,Style321,The right style"/>
    <w:basedOn w:val="TableNormal"/>
    <w:qFormat/>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Heading1"/>
    <w:next w:val="Normal"/>
    <w:link w:val="AnnexTitleChar"/>
    <w:autoRedefine/>
    <w:qFormat/>
    <w:rsid w:val="00C22AB4"/>
    <w:pPr>
      <w:numPr>
        <w:numId w:val="0"/>
      </w:numPr>
      <w:spacing w:after="480"/>
      <w:jc w:val="center"/>
    </w:pPr>
    <w:rPr>
      <w:sz w:val="32"/>
    </w:rPr>
  </w:style>
  <w:style w:type="character" w:customStyle="1" w:styleId="AnnexTitleChar">
    <w:name w:val="Annex Title Char"/>
    <w:basedOn w:val="DefaultParagraphFont"/>
    <w:link w:val="AnnexTitle"/>
    <w:rsid w:val="00C22AB4"/>
    <w:rPr>
      <w:rFonts w:ascii="Times New Roman" w:eastAsia="Times New Roman" w:hAnsi="Times New Roman" w:cs="Times New Roman"/>
      <w:b/>
      <w:smallCaps/>
      <w:sz w:val="32"/>
      <w:szCs w:val="20"/>
    </w:rPr>
  </w:style>
  <w:style w:type="table" w:customStyle="1" w:styleId="CV11">
    <w:name w:val="CV11"/>
    <w:basedOn w:val="TableNormal"/>
    <w:next w:val="TableGrid"/>
    <w:uiPriority w:val="5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6B087E"/>
    <w:pPr>
      <w:tabs>
        <w:tab w:val="right" w:leader="dot" w:pos="8640"/>
      </w:tabs>
      <w:ind w:left="482" w:right="720" w:hanging="482"/>
    </w:pPr>
    <w:rPr>
      <w:rFonts w:eastAsia="Times New Roman"/>
      <w:caps/>
      <w:sz w:val="20"/>
      <w:szCs w:val="20"/>
    </w:rPr>
  </w:style>
  <w:style w:type="paragraph" w:styleId="TOC2">
    <w:name w:val="toc 2"/>
    <w:basedOn w:val="Normal"/>
    <w:next w:val="Normal"/>
    <w:uiPriority w:val="39"/>
    <w:rsid w:val="006B087E"/>
    <w:pPr>
      <w:tabs>
        <w:tab w:val="right" w:leader="dot" w:pos="8640"/>
      </w:tabs>
      <w:spacing w:before="60" w:after="60"/>
      <w:ind w:left="1077" w:right="720" w:hanging="595"/>
    </w:pPr>
    <w:rPr>
      <w:rFonts w:eastAsia="Times New Roman"/>
      <w:szCs w:val="20"/>
    </w:rPr>
  </w:style>
  <w:style w:type="paragraph" w:styleId="TOCHeading">
    <w:name w:val="TOC Heading"/>
    <w:basedOn w:val="Normal"/>
    <w:next w:val="Normal"/>
    <w:qFormat/>
    <w:rsid w:val="006B087E"/>
    <w:pPr>
      <w:keepNext/>
      <w:spacing w:before="240"/>
      <w:jc w:val="center"/>
    </w:pPr>
    <w:rPr>
      <w:rFonts w:eastAsia="Times New Roman"/>
      <w:b/>
      <w:szCs w:val="20"/>
    </w:rPr>
  </w:style>
  <w:style w:type="character" w:styleId="Hyperlink">
    <w:name w:val="Hyperlink"/>
    <w:aliases w:val="draft"/>
    <w:basedOn w:val="DefaultParagraphFont"/>
    <w:uiPriority w:val="99"/>
    <w:unhideWhenUsed/>
    <w:rsid w:val="006B087E"/>
    <w:rPr>
      <w:color w:val="0000FF" w:themeColor="hyperlink"/>
      <w:u w:val="single"/>
    </w:rPr>
  </w:style>
  <w:style w:type="paragraph" w:styleId="BalloonText">
    <w:name w:val="Balloon Text"/>
    <w:basedOn w:val="Normal"/>
    <w:link w:val="BalloonTextChar"/>
    <w:uiPriority w:val="99"/>
    <w:semiHidden/>
    <w:unhideWhenUsed/>
    <w:rsid w:val="006B08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87E"/>
    <w:rPr>
      <w:rFonts w:ascii="Tahoma" w:hAnsi="Tahoma" w:cs="Tahoma"/>
      <w:sz w:val="16"/>
      <w:szCs w:val="16"/>
    </w:rPr>
  </w:style>
  <w:style w:type="paragraph" w:customStyle="1" w:styleId="Declassification">
    <w:name w:val="Declassification"/>
    <w:basedOn w:val="Normal"/>
    <w:next w:val="Normal"/>
    <w:rsid w:val="006B087E"/>
    <w:pPr>
      <w:spacing w:after="0"/>
    </w:pPr>
  </w:style>
  <w:style w:type="paragraph" w:customStyle="1" w:styleId="HeaderLandscape">
    <w:name w:val="HeaderLandscape"/>
    <w:basedOn w:val="Normal"/>
    <w:rsid w:val="006B087E"/>
    <w:pPr>
      <w:tabs>
        <w:tab w:val="center" w:pos="7285"/>
        <w:tab w:val="right" w:pos="14003"/>
      </w:tabs>
    </w:pPr>
  </w:style>
  <w:style w:type="paragraph" w:customStyle="1" w:styleId="HeaderSensitivity">
    <w:name w:val="Header Sensitivity"/>
    <w:basedOn w:val="Normal"/>
    <w:rsid w:val="006B087E"/>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rsid w:val="006B087E"/>
    <w:pPr>
      <w:tabs>
        <w:tab w:val="center" w:pos="7285"/>
        <w:tab w:val="center" w:pos="10913"/>
        <w:tab w:val="right" w:pos="15137"/>
      </w:tabs>
      <w:spacing w:before="360" w:after="0"/>
      <w:ind w:left="-567" w:right="-567"/>
    </w:pPr>
  </w:style>
  <w:style w:type="paragraph" w:customStyle="1" w:styleId="FooterSensitivity">
    <w:name w:val="Footer Sensitivity"/>
    <w:basedOn w:val="Normal"/>
    <w:rsid w:val="006B087E"/>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HeaderSensitivityRight">
    <w:name w:val="Header Sensitivity Right"/>
    <w:basedOn w:val="Normal"/>
    <w:link w:val="HeaderSensitivityRightChar"/>
    <w:rsid w:val="004938C4"/>
    <w:pPr>
      <w:spacing w:before="0"/>
      <w:jc w:val="right"/>
    </w:pPr>
    <w:rPr>
      <w:sz w:val="28"/>
    </w:rPr>
  </w:style>
  <w:style w:type="character" w:customStyle="1" w:styleId="HeaderSensitivityRightChar">
    <w:name w:val="Header Sensitivity Right Char"/>
    <w:basedOn w:val="DefaultParagraphFont"/>
    <w:link w:val="HeaderSensitivityRight"/>
    <w:rsid w:val="006B087E"/>
    <w:rPr>
      <w:rFonts w:ascii="Times New Roman" w:hAnsi="Times New Roman" w:cs="Times New Roman"/>
      <w:sz w:val="28"/>
      <w:szCs w:val="24"/>
    </w:rPr>
  </w:style>
  <w:style w:type="character" w:customStyle="1" w:styleId="Heading5Char">
    <w:name w:val="Heading 5 Char"/>
    <w:basedOn w:val="DefaultParagraphFont"/>
    <w:link w:val="Heading5"/>
    <w:uiPriority w:val="9"/>
    <w:rsid w:val="0053316B"/>
    <w:rPr>
      <w:rFonts w:asciiTheme="majorHAnsi" w:eastAsiaTheme="majorEastAsia" w:hAnsiTheme="majorHAnsi" w:cstheme="majorBidi"/>
      <w:color w:val="365F91" w:themeColor="accent1" w:themeShade="BF"/>
    </w:rPr>
  </w:style>
  <w:style w:type="paragraph" w:styleId="Title">
    <w:name w:val="Title"/>
    <w:basedOn w:val="Normal"/>
    <w:next w:val="Normal"/>
    <w:link w:val="TitleChar"/>
    <w:uiPriority w:val="10"/>
    <w:qFormat/>
    <w:rsid w:val="0053316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316B"/>
    <w:rPr>
      <w:rFonts w:asciiTheme="majorHAnsi" w:eastAsiaTheme="majorEastAsia" w:hAnsiTheme="majorHAnsi" w:cstheme="majorBidi"/>
      <w:spacing w:val="-10"/>
      <w:kern w:val="28"/>
      <w:sz w:val="56"/>
      <w:szCs w:val="56"/>
    </w:rPr>
  </w:style>
  <w:style w:type="paragraph" w:styleId="NoSpacing">
    <w:name w:val="No Spacing"/>
    <w:uiPriority w:val="1"/>
    <w:qFormat/>
    <w:rsid w:val="00FB0D73"/>
    <w:pPr>
      <w:spacing w:after="0" w:line="240" w:lineRule="auto"/>
    </w:pPr>
    <w:rPr>
      <w:rFonts w:eastAsiaTheme="minorEastAsia"/>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rsid w:val="00FB0D73"/>
    <w:pPr>
      <w:spacing w:after="0"/>
    </w:pPr>
    <w:rPr>
      <w:rFonts w:eastAsiaTheme="minorEastAsia"/>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FB0D73"/>
    <w:rPr>
      <w:rFonts w:ascii="Times New Roman" w:eastAsiaTheme="minorEastAsia" w:hAnsi="Times New Roman"/>
      <w:sz w:val="20"/>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basedOn w:val="DefaultParagraphFont"/>
    <w:link w:val="CharCharChar1"/>
    <w:uiPriority w:val="99"/>
    <w:unhideWhenUsed/>
    <w:qFormat/>
    <w:rsid w:val="00FB0D73"/>
    <w:rPr>
      <w:vertAlign w:val="superscript"/>
    </w:rPr>
  </w:style>
  <w:style w:type="paragraph" w:customStyle="1" w:styleId="CharCharChar1">
    <w:name w:val="Char Char Char1"/>
    <w:basedOn w:val="Normal"/>
    <w:link w:val="FootnoteReference"/>
    <w:uiPriority w:val="99"/>
    <w:qFormat/>
    <w:rsid w:val="00FB0D73"/>
    <w:pPr>
      <w:spacing w:after="160" w:line="240" w:lineRule="exact"/>
    </w:pPr>
    <w:rPr>
      <w:vertAlign w:val="superscript"/>
    </w:rPr>
  </w:style>
  <w:style w:type="paragraph" w:styleId="ListParagraph">
    <w:name w:val="List Paragraph"/>
    <w:aliases w:val="List Paragraph_Sections,Paragraphe EI,Paragraphe de liste1,EC,List_Paragraph,Multilevel para_II,List Paragraph1,Akapit z listą BS,Bullet1,Main numbered paragraph,Dot pt,F5 List Paragraph,No Spacing1,List Paragraph Char Char Char,Bullet 1"/>
    <w:basedOn w:val="Normal"/>
    <w:link w:val="ListParagraphChar"/>
    <w:uiPriority w:val="34"/>
    <w:qFormat/>
    <w:rsid w:val="00281573"/>
    <w:pPr>
      <w:ind w:left="720"/>
      <w:contextualSpacing/>
    </w:pPr>
  </w:style>
  <w:style w:type="character" w:styleId="CommentReference">
    <w:name w:val="annotation reference"/>
    <w:basedOn w:val="DefaultParagraphFont"/>
    <w:uiPriority w:val="99"/>
    <w:semiHidden/>
    <w:unhideWhenUsed/>
    <w:rsid w:val="002252CF"/>
    <w:rPr>
      <w:sz w:val="16"/>
      <w:szCs w:val="16"/>
    </w:rPr>
  </w:style>
  <w:style w:type="paragraph" w:styleId="CommentText">
    <w:name w:val="annotation text"/>
    <w:basedOn w:val="Normal"/>
    <w:link w:val="CommentTextChar"/>
    <w:uiPriority w:val="99"/>
    <w:unhideWhenUsed/>
    <w:rsid w:val="002252CF"/>
    <w:rPr>
      <w:sz w:val="20"/>
      <w:szCs w:val="20"/>
    </w:rPr>
  </w:style>
  <w:style w:type="character" w:customStyle="1" w:styleId="CommentTextChar">
    <w:name w:val="Comment Text Char"/>
    <w:basedOn w:val="DefaultParagraphFont"/>
    <w:link w:val="CommentText"/>
    <w:uiPriority w:val="99"/>
    <w:rsid w:val="002252C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252CF"/>
    <w:rPr>
      <w:b/>
      <w:bCs/>
    </w:rPr>
  </w:style>
  <w:style w:type="character" w:customStyle="1" w:styleId="CommentSubjectChar">
    <w:name w:val="Comment Subject Char"/>
    <w:basedOn w:val="CommentTextChar"/>
    <w:link w:val="CommentSubject"/>
    <w:uiPriority w:val="99"/>
    <w:semiHidden/>
    <w:rsid w:val="002252CF"/>
    <w:rPr>
      <w:rFonts w:ascii="Times New Roman" w:hAnsi="Times New Roman" w:cs="Times New Roman"/>
      <w:b/>
      <w:bCs/>
      <w:sz w:val="20"/>
      <w:szCs w:val="20"/>
    </w:rPr>
  </w:style>
  <w:style w:type="paragraph" w:styleId="Revision">
    <w:name w:val="Revision"/>
    <w:hidden/>
    <w:uiPriority w:val="99"/>
    <w:semiHidden/>
    <w:rsid w:val="002252CF"/>
    <w:pPr>
      <w:spacing w:after="0" w:line="240" w:lineRule="auto"/>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303B8A"/>
    <w:rPr>
      <w:color w:val="605E5C"/>
      <w:shd w:val="clear" w:color="auto" w:fill="E1DFDD"/>
    </w:rPr>
  </w:style>
  <w:style w:type="character" w:styleId="FollowedHyperlink">
    <w:name w:val="FollowedHyperlink"/>
    <w:basedOn w:val="DefaultParagraphFont"/>
    <w:uiPriority w:val="99"/>
    <w:semiHidden/>
    <w:unhideWhenUsed/>
    <w:rsid w:val="002564DE"/>
    <w:rPr>
      <w:color w:val="800080" w:themeColor="followedHyperlink"/>
      <w:u w:val="single"/>
    </w:rPr>
  </w:style>
  <w:style w:type="character" w:customStyle="1" w:styleId="ListParagraphChar">
    <w:name w:val="List Paragraph Char"/>
    <w:aliases w:val="List Paragraph_Sections Char,Paragraphe EI Char,Paragraphe de liste1 Char,EC Char,List_Paragraph Char,Multilevel para_II Char,List Paragraph1 Char,Akapit z listą BS Char,Bullet1 Char,Main numbered paragraph Char,Dot pt Char"/>
    <w:basedOn w:val="DefaultParagraphFont"/>
    <w:link w:val="ListParagraph"/>
    <w:uiPriority w:val="34"/>
    <w:qFormat/>
    <w:locked/>
    <w:rsid w:val="00995F32"/>
    <w:rPr>
      <w:rFonts w:ascii="Times New Roman" w:hAnsi="Times New Roman" w:cs="Times New Roman"/>
      <w:sz w:val="24"/>
      <w:szCs w:val="24"/>
    </w:rPr>
  </w:style>
  <w:style w:type="character" w:customStyle="1" w:styleId="eop">
    <w:name w:val="eop"/>
    <w:basedOn w:val="DefaultParagraphFont"/>
    <w:rsid w:val="00E248C2"/>
  </w:style>
  <w:style w:type="character" w:customStyle="1" w:styleId="ui-provider">
    <w:name w:val="ui-provider"/>
    <w:basedOn w:val="DefaultParagraphFont"/>
    <w:rsid w:val="00E248C2"/>
  </w:style>
  <w:style w:type="character" w:customStyle="1" w:styleId="normaltextrun">
    <w:name w:val="normaltextrun"/>
    <w:basedOn w:val="DefaultParagraphFont"/>
    <w:rsid w:val="006F2FDC"/>
    <w:rPr>
      <w:rFonts w:ascii="Times New Roman" w:hAnsi="Times New Roman"/>
      <w:noProof w:val="0"/>
      <w:sz w:val="24"/>
      <w:lang w:val="en-GB"/>
    </w:rPr>
  </w:style>
  <w:style w:type="paragraph" w:customStyle="1" w:styleId="paragraph">
    <w:name w:val="paragraph"/>
    <w:basedOn w:val="Normal"/>
    <w:rsid w:val="00C23DEA"/>
    <w:pPr>
      <w:spacing w:before="100" w:beforeAutospacing="1" w:after="100" w:afterAutospacing="1"/>
      <w:jc w:val="left"/>
    </w:pPr>
    <w:rPr>
      <w:rFonts w:eastAsia="Times New Roman"/>
      <w:sz w:val="22"/>
      <w:lang w:val="en-IE" w:eastAsia="en-IE"/>
    </w:rPr>
  </w:style>
  <w:style w:type="paragraph" w:customStyle="1" w:styleId="RTDBody">
    <w:name w:val="RTD Body"/>
    <w:basedOn w:val="Normal"/>
    <w:link w:val="RTDBodyChar"/>
    <w:qFormat/>
    <w:rsid w:val="00C23DEA"/>
    <w:pPr>
      <w:spacing w:before="60" w:after="60"/>
    </w:pPr>
    <w:rPr>
      <w:rFonts w:ascii="Arial" w:eastAsia="Times New Roman" w:hAnsi="Arial"/>
      <w:sz w:val="20"/>
      <w:szCs w:val="19"/>
      <w:lang w:val="it-IT" w:eastAsia="nl-BE"/>
    </w:rPr>
  </w:style>
  <w:style w:type="character" w:customStyle="1" w:styleId="RTDBodyChar">
    <w:name w:val="RTD Body Char"/>
    <w:link w:val="RTDBody"/>
    <w:qFormat/>
    <w:rsid w:val="00C23DEA"/>
    <w:rPr>
      <w:rFonts w:ascii="Arial" w:eastAsia="Times New Roman" w:hAnsi="Arial" w:cs="Times New Roman"/>
      <w:sz w:val="20"/>
      <w:szCs w:val="19"/>
      <w:lang w:val="it-IT" w:eastAsia="nl-BE"/>
    </w:rPr>
  </w:style>
  <w:style w:type="character" w:customStyle="1" w:styleId="normaltextrun0">
    <w:name w:val="normaltextrun0"/>
    <w:basedOn w:val="DefaultParagraphFont"/>
    <w:rsid w:val="009F682E"/>
  </w:style>
  <w:style w:type="paragraph" w:styleId="EndnoteText">
    <w:name w:val="endnote text"/>
    <w:basedOn w:val="Normal"/>
    <w:link w:val="EndnoteTextChar"/>
    <w:uiPriority w:val="99"/>
    <w:semiHidden/>
    <w:unhideWhenUsed/>
    <w:rsid w:val="006B1138"/>
    <w:pPr>
      <w:spacing w:after="0"/>
    </w:pPr>
    <w:rPr>
      <w:sz w:val="20"/>
      <w:szCs w:val="20"/>
    </w:rPr>
  </w:style>
  <w:style w:type="character" w:customStyle="1" w:styleId="EndnoteTextChar">
    <w:name w:val="Endnote Text Char"/>
    <w:basedOn w:val="DefaultParagraphFont"/>
    <w:link w:val="EndnoteText"/>
    <w:uiPriority w:val="99"/>
    <w:semiHidden/>
    <w:rsid w:val="006B1138"/>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B1138"/>
    <w:rPr>
      <w:vertAlign w:val="superscript"/>
    </w:rPr>
  </w:style>
  <w:style w:type="character" w:customStyle="1" w:styleId="Mention1">
    <w:name w:val="Mention1"/>
    <w:basedOn w:val="DefaultParagraphFont"/>
    <w:uiPriority w:val="99"/>
    <w:unhideWhenUsed/>
    <w:rsid w:val="0030176A"/>
    <w:rPr>
      <w:color w:val="2B579A"/>
      <w:shd w:val="clear" w:color="auto" w:fill="E1DFDD"/>
    </w:rPr>
  </w:style>
  <w:style w:type="paragraph" w:styleId="Caption">
    <w:name w:val="caption"/>
    <w:aliases w:val="Table caption,paveikslas,Paveikslo pavadinimas,Char Char Char,Caption1 Char Char Char Char Char Char Char Char,Caption1 Char Char Char Char Char Char Char Char Tegn Tegn Tegn Tegn Tegn,Tabelkop,label,Beschriftung Char1,la,TF, Char Char Char"/>
    <w:basedOn w:val="Normal"/>
    <w:next w:val="Normal"/>
    <w:link w:val="CaptionChar"/>
    <w:unhideWhenUsed/>
    <w:qFormat/>
    <w:rsid w:val="0030176A"/>
    <w:pPr>
      <w:spacing w:after="200"/>
    </w:pPr>
    <w:rPr>
      <w:i/>
      <w:iCs/>
      <w:color w:val="1F497D" w:themeColor="text2"/>
      <w:sz w:val="18"/>
      <w:szCs w:val="18"/>
    </w:rPr>
  </w:style>
  <w:style w:type="paragraph" w:styleId="NormalWeb">
    <w:name w:val="Normal (Web)"/>
    <w:basedOn w:val="Normal"/>
    <w:uiPriority w:val="99"/>
    <w:unhideWhenUsed/>
    <w:rsid w:val="009050FA"/>
    <w:pPr>
      <w:spacing w:before="100" w:beforeAutospacing="1" w:after="100" w:afterAutospacing="1"/>
      <w:jc w:val="left"/>
    </w:pPr>
    <w:rPr>
      <w:rFonts w:eastAsia="Times New Roman"/>
      <w:lang w:val="en-US"/>
    </w:rPr>
  </w:style>
  <w:style w:type="paragraph" w:styleId="TOC3">
    <w:name w:val="toc 3"/>
    <w:basedOn w:val="Normal"/>
    <w:next w:val="Normal"/>
    <w:autoRedefine/>
    <w:uiPriority w:val="39"/>
    <w:unhideWhenUsed/>
    <w:rsid w:val="00DC310E"/>
    <w:pPr>
      <w:spacing w:after="100"/>
      <w:ind w:left="480"/>
    </w:pPr>
  </w:style>
  <w:style w:type="paragraph" w:customStyle="1" w:styleId="LegalNumPar">
    <w:name w:val="LegalNumPar"/>
    <w:basedOn w:val="Normal"/>
    <w:rsid w:val="00371CFC"/>
    <w:pPr>
      <w:numPr>
        <w:numId w:val="24"/>
      </w:numPr>
      <w:spacing w:line="360" w:lineRule="auto"/>
    </w:pPr>
  </w:style>
  <w:style w:type="paragraph" w:customStyle="1" w:styleId="LegalNumPar2">
    <w:name w:val="LegalNumPar2"/>
    <w:basedOn w:val="Normal"/>
    <w:rsid w:val="00371CFC"/>
    <w:pPr>
      <w:numPr>
        <w:ilvl w:val="1"/>
        <w:numId w:val="24"/>
      </w:numPr>
      <w:tabs>
        <w:tab w:val="num" w:pos="1440"/>
      </w:tabs>
      <w:spacing w:line="360" w:lineRule="auto"/>
    </w:pPr>
  </w:style>
  <w:style w:type="paragraph" w:customStyle="1" w:styleId="LegalNumPar3">
    <w:name w:val="LegalNumPar3"/>
    <w:basedOn w:val="Normal"/>
    <w:rsid w:val="00371CFC"/>
    <w:pPr>
      <w:numPr>
        <w:ilvl w:val="2"/>
        <w:numId w:val="24"/>
      </w:numPr>
      <w:tabs>
        <w:tab w:val="num" w:pos="2160"/>
      </w:tabs>
      <w:spacing w:line="360" w:lineRule="auto"/>
      <w:ind w:hanging="360"/>
    </w:pPr>
  </w:style>
  <w:style w:type="character" w:customStyle="1" w:styleId="cf01">
    <w:name w:val="cf01"/>
    <w:basedOn w:val="DefaultParagraphFont"/>
    <w:rsid w:val="00FC3D58"/>
    <w:rPr>
      <w:rFonts w:ascii="Segoe UI" w:hAnsi="Segoe UI" w:cs="Segoe UI" w:hint="default"/>
      <w:sz w:val="18"/>
      <w:szCs w:val="18"/>
    </w:rPr>
  </w:style>
  <w:style w:type="paragraph" w:styleId="Quote">
    <w:name w:val="Quote"/>
    <w:basedOn w:val="Normal"/>
    <w:next w:val="Normal"/>
    <w:link w:val="QuoteChar"/>
    <w:uiPriority w:val="29"/>
    <w:qFormat/>
    <w:rsid w:val="00FC3D58"/>
    <w:pPr>
      <w:spacing w:before="160" w:after="160" w:line="276" w:lineRule="auto"/>
      <w:jc w:val="center"/>
    </w:pPr>
    <w:rPr>
      <w:rFonts w:asciiTheme="minorHAnsi" w:hAnsiTheme="minorHAnsi" w:cstheme="minorBidi"/>
      <w:i/>
      <w:iCs/>
      <w:color w:val="404040" w:themeColor="text1" w:themeTint="BF"/>
      <w:sz w:val="22"/>
      <w:szCs w:val="22"/>
      <w:lang w:val="pl-PL"/>
    </w:rPr>
  </w:style>
  <w:style w:type="character" w:customStyle="1" w:styleId="QuoteChar">
    <w:name w:val="Quote Char"/>
    <w:basedOn w:val="DefaultParagraphFont"/>
    <w:link w:val="Quote"/>
    <w:uiPriority w:val="29"/>
    <w:rsid w:val="00FC3D58"/>
    <w:rPr>
      <w:i/>
      <w:iCs/>
      <w:color w:val="404040" w:themeColor="text1" w:themeTint="BF"/>
      <w:lang w:val="pl-PL"/>
    </w:rPr>
  </w:style>
  <w:style w:type="character" w:customStyle="1" w:styleId="draft1">
    <w:name w:val="draft1"/>
    <w:basedOn w:val="DefaultParagraphFont"/>
    <w:uiPriority w:val="99"/>
    <w:unhideWhenUsed/>
    <w:rsid w:val="00FC3D58"/>
    <w:rPr>
      <w:color w:val="0000FF"/>
      <w:u w:val="single"/>
    </w:rPr>
  </w:style>
  <w:style w:type="paragraph" w:customStyle="1" w:styleId="FootnoteTextEP-LC1">
    <w:name w:val="Footnote Text_EP-LC1"/>
    <w:basedOn w:val="Normal"/>
    <w:next w:val="FootnoteText"/>
    <w:unhideWhenUsed/>
    <w:qFormat/>
    <w:rsid w:val="00FC3D58"/>
    <w:pPr>
      <w:spacing w:before="0" w:after="0"/>
    </w:pPr>
    <w:rPr>
      <w:rFonts w:eastAsia="MS Mincho" w:cstheme="minorBidi"/>
      <w:kern w:val="2"/>
      <w:sz w:val="20"/>
      <w:szCs w:val="20"/>
      <w:lang w:val="en-IE"/>
      <w14:ligatures w14:val="standardContextual"/>
    </w:rPr>
  </w:style>
  <w:style w:type="paragraph" w:customStyle="1" w:styleId="RTDBulletlevel1">
    <w:name w:val="RTD Bullet level 1"/>
    <w:basedOn w:val="NormalIndent"/>
    <w:link w:val="RTDBulletlevel1Char"/>
    <w:qFormat/>
    <w:rsid w:val="00FC3D58"/>
    <w:pPr>
      <w:ind w:left="360" w:hanging="360"/>
      <w:contextualSpacing/>
    </w:pPr>
    <w:rPr>
      <w:rFonts w:ascii="Arial" w:eastAsia="Times New Roman" w:hAnsi="Arial"/>
      <w:sz w:val="20"/>
      <w:szCs w:val="19"/>
      <w:lang w:eastAsia="nl-BE"/>
    </w:rPr>
  </w:style>
  <w:style w:type="character" w:customStyle="1" w:styleId="RTDBulletlevel1Char">
    <w:name w:val="RTD Bullet level 1 Char"/>
    <w:basedOn w:val="DefaultParagraphFont"/>
    <w:link w:val="RTDBulletlevel1"/>
    <w:qFormat/>
    <w:rsid w:val="00FC3D58"/>
    <w:rPr>
      <w:rFonts w:ascii="Arial" w:eastAsia="Times New Roman" w:hAnsi="Arial" w:cs="Times New Roman"/>
      <w:sz w:val="20"/>
      <w:szCs w:val="19"/>
      <w:lang w:eastAsia="nl-BE"/>
    </w:rPr>
  </w:style>
  <w:style w:type="character" w:customStyle="1" w:styleId="CaptionChar">
    <w:name w:val="Caption Char"/>
    <w:aliases w:val="Table caption Char,paveikslas Char,Paveikslo pavadinimas Char,Char Char Char Char,Caption1 Char Char Char Char Char Char Char Char Char,Caption1 Char Char Char Char Char Char Char Char Tegn Tegn Tegn Tegn Tegn Char,Tabelkop Char,label Char"/>
    <w:link w:val="Caption"/>
    <w:qFormat/>
    <w:locked/>
    <w:rsid w:val="00FC3D58"/>
    <w:rPr>
      <w:rFonts w:ascii="Times New Roman" w:hAnsi="Times New Roman" w:cs="Times New Roman"/>
      <w:i/>
      <w:iCs/>
      <w:color w:val="1F497D" w:themeColor="text2"/>
      <w:sz w:val="18"/>
      <w:szCs w:val="18"/>
    </w:rPr>
  </w:style>
  <w:style w:type="paragraph" w:customStyle="1" w:styleId="RTDfootnote">
    <w:name w:val="RTD footnote"/>
    <w:basedOn w:val="FootnoteText"/>
    <w:link w:val="RTDfootnoteCarattere"/>
    <w:qFormat/>
    <w:rsid w:val="00FC3D58"/>
    <w:pPr>
      <w:spacing w:before="0" w:line="276" w:lineRule="auto"/>
      <w:ind w:left="357" w:hanging="357"/>
    </w:pPr>
    <w:rPr>
      <w:rFonts w:ascii="Arial" w:eastAsia="Times New Roman" w:hAnsi="Arial"/>
      <w:sz w:val="16"/>
      <w:lang w:val="nl-BE" w:eastAsia="nl-BE"/>
    </w:rPr>
  </w:style>
  <w:style w:type="character" w:customStyle="1" w:styleId="RTDfootnoteCarattere">
    <w:name w:val="RTD footnote Carattere"/>
    <w:basedOn w:val="FootnoteTextChar"/>
    <w:link w:val="RTDfootnote"/>
    <w:rsid w:val="00FC3D58"/>
    <w:rPr>
      <w:rFonts w:ascii="Arial" w:eastAsia="Times New Roman" w:hAnsi="Arial" w:cs="Times New Roman"/>
      <w:sz w:val="16"/>
      <w:szCs w:val="20"/>
      <w:lang w:val="nl-BE" w:eastAsia="nl-BE"/>
    </w:rPr>
  </w:style>
  <w:style w:type="paragraph" w:customStyle="1" w:styleId="pf0">
    <w:name w:val="pf0"/>
    <w:basedOn w:val="Normal"/>
    <w:rsid w:val="00FC3D58"/>
    <w:pPr>
      <w:spacing w:before="100" w:beforeAutospacing="1" w:after="100" w:afterAutospacing="1"/>
      <w:jc w:val="left"/>
    </w:pPr>
    <w:rPr>
      <w:rFonts w:eastAsia="Times New Roman"/>
      <w:lang w:val="en-US"/>
    </w:rPr>
  </w:style>
  <w:style w:type="paragraph" w:styleId="NormalIndent">
    <w:name w:val="Normal Indent"/>
    <w:basedOn w:val="Normal"/>
    <w:uiPriority w:val="99"/>
    <w:semiHidden/>
    <w:unhideWhenUsed/>
    <w:rsid w:val="00FC3D58"/>
    <w:pPr>
      <w:spacing w:before="0" w:after="240"/>
      <w:ind w:left="720"/>
    </w:pPr>
  </w:style>
  <w:style w:type="paragraph" w:customStyle="1" w:styleId="BodyText1">
    <w:name w:val="Body Text1"/>
    <w:basedOn w:val="Normal"/>
    <w:link w:val="BodytextChar"/>
    <w:qFormat/>
    <w:rsid w:val="008A21E0"/>
    <w:rPr>
      <w:rFonts w:ascii="Arial" w:eastAsia="Times New Roman" w:hAnsi="Arial"/>
      <w:noProof/>
      <w:sz w:val="22"/>
      <w:szCs w:val="20"/>
    </w:rPr>
  </w:style>
  <w:style w:type="character" w:customStyle="1" w:styleId="BodytextChar">
    <w:name w:val="Body text Char"/>
    <w:link w:val="BodyText1"/>
    <w:rsid w:val="008A21E0"/>
    <w:rPr>
      <w:rFonts w:ascii="Arial" w:eastAsia="Times New Roman" w:hAnsi="Arial" w:cs="Times New Roman"/>
      <w:noProof/>
      <w:szCs w:val="20"/>
    </w:rPr>
  </w:style>
  <w:style w:type="character" w:styleId="Strong">
    <w:name w:val="Strong"/>
    <w:basedOn w:val="DefaultParagraphFont"/>
    <w:uiPriority w:val="22"/>
    <w:qFormat/>
    <w:rsid w:val="003F5282"/>
    <w:rPr>
      <w:b/>
      <w:bCs/>
    </w:rPr>
  </w:style>
  <w:style w:type="paragraph" w:customStyle="1" w:styleId="Figure">
    <w:name w:val="Figure"/>
    <w:basedOn w:val="Normal"/>
    <w:link w:val="FigureChar"/>
    <w:qFormat/>
    <w:rsid w:val="00132647"/>
    <w:pPr>
      <w:jc w:val="center"/>
    </w:pPr>
    <w:rPr>
      <w:rFonts w:ascii="Arial" w:eastAsia="Times New Roman" w:hAnsi="Arial"/>
      <w:i/>
      <w:sz w:val="16"/>
      <w:szCs w:val="14"/>
      <w:lang w:eastAsia="nl-BE"/>
    </w:rPr>
  </w:style>
  <w:style w:type="character" w:customStyle="1" w:styleId="FigureChar">
    <w:name w:val="Figure Char"/>
    <w:basedOn w:val="DefaultParagraphFont"/>
    <w:link w:val="Figure"/>
    <w:rsid w:val="00132647"/>
    <w:rPr>
      <w:rFonts w:ascii="Arial" w:eastAsia="Times New Roman" w:hAnsi="Arial" w:cs="Times New Roman"/>
      <w:i/>
      <w:sz w:val="16"/>
      <w:szCs w:val="14"/>
      <w:lang w:eastAsia="nl-BE"/>
    </w:rPr>
  </w:style>
  <w:style w:type="table" w:styleId="TableGrid1">
    <w:name w:val="Table Grid 1"/>
    <w:basedOn w:val="TableNormal"/>
    <w:rsid w:val="00FC5C30"/>
    <w:pPr>
      <w:spacing w:after="240" w:line="240" w:lineRule="auto"/>
      <w:jc w:val="both"/>
    </w:pPr>
    <w:rPr>
      <w:rFonts w:ascii="Times New Roman" w:eastAsia="Times New Roman" w:hAnsi="Times New Roman" w:cs="Times New Roman"/>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59"/>
    <w:rsid w:val="00FC5C30"/>
    <w:pPr>
      <w:spacing w:after="0" w:line="240" w:lineRule="auto"/>
    </w:pPr>
    <w:rPr>
      <w:rFonts w:eastAsia="MS Mincho"/>
      <w:sz w:val="24"/>
      <w:szCs w:val="24"/>
      <w:lang w:val="en-US"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itle">
    <w:name w:val="table title"/>
    <w:basedOn w:val="BodyText1"/>
    <w:link w:val="tabletitleChar"/>
    <w:qFormat/>
    <w:rsid w:val="007F4255"/>
    <w:pPr>
      <w:jc w:val="center"/>
    </w:pPr>
    <w:rPr>
      <w:b/>
      <w:color w:val="1F497D" w:themeColor="text2"/>
      <w:lang w:val="fr-BE"/>
    </w:rPr>
  </w:style>
  <w:style w:type="character" w:customStyle="1" w:styleId="tabletitleChar">
    <w:name w:val="table title Char"/>
    <w:basedOn w:val="BodytextChar"/>
    <w:link w:val="tabletitle"/>
    <w:rsid w:val="007F4255"/>
    <w:rPr>
      <w:rFonts w:ascii="Arial" w:eastAsia="Times New Roman" w:hAnsi="Arial" w:cs="Times New Roman"/>
      <w:b/>
      <w:noProof/>
      <w:color w:val="1F497D" w:themeColor="text2"/>
      <w:szCs w:val="20"/>
      <w:lang w:val="fr-BE"/>
    </w:rPr>
  </w:style>
  <w:style w:type="paragraph" w:customStyle="1" w:styleId="bullet1">
    <w:name w:val="bullet 1"/>
    <w:basedOn w:val="BodyText1"/>
    <w:link w:val="bullet1Char"/>
    <w:qFormat/>
    <w:rsid w:val="00A23BE1"/>
    <w:pPr>
      <w:numPr>
        <w:numId w:val="104"/>
      </w:numPr>
    </w:pPr>
    <w:rPr>
      <w:szCs w:val="24"/>
    </w:rPr>
  </w:style>
  <w:style w:type="character" w:customStyle="1" w:styleId="bullet1Char">
    <w:name w:val="bullet 1 Char"/>
    <w:basedOn w:val="BodytextChar"/>
    <w:link w:val="bullet1"/>
    <w:rsid w:val="00A23BE1"/>
    <w:rPr>
      <w:rFonts w:ascii="Arial" w:eastAsia="Times New Roman" w:hAnsi="Arial" w:cs="Times New Roman"/>
      <w:noProof/>
      <w:szCs w:val="24"/>
    </w:rPr>
  </w:style>
  <w:style w:type="paragraph" w:customStyle="1" w:styleId="Subtitle1">
    <w:name w:val="Subtitle 1"/>
    <w:basedOn w:val="BodyText1"/>
    <w:link w:val="Subtitle1Char"/>
    <w:qFormat/>
    <w:rsid w:val="00F56D32"/>
    <w:pPr>
      <w:spacing w:before="240" w:after="240"/>
    </w:pPr>
    <w:rPr>
      <w:i/>
      <w:color w:val="1F497D" w:themeColor="text2"/>
      <w:sz w:val="24"/>
      <w:szCs w:val="24"/>
    </w:rPr>
  </w:style>
  <w:style w:type="character" w:customStyle="1" w:styleId="Subtitle1Char">
    <w:name w:val="Subtitle 1 Char"/>
    <w:basedOn w:val="BodytextChar"/>
    <w:link w:val="Subtitle1"/>
    <w:rsid w:val="00F56D32"/>
    <w:rPr>
      <w:rFonts w:ascii="Arial" w:eastAsia="Times New Roman" w:hAnsi="Arial" w:cs="Times New Roman"/>
      <w:i/>
      <w:noProof/>
      <w:color w:val="1F497D" w:themeColor="text2"/>
      <w:sz w:val="24"/>
      <w:szCs w:val="24"/>
    </w:rPr>
  </w:style>
  <w:style w:type="paragraph" w:customStyle="1" w:styleId="Subtitle2">
    <w:name w:val="Subtitle 2"/>
    <w:basedOn w:val="Subtitle1"/>
    <w:link w:val="Subtitle2Char"/>
    <w:qFormat/>
    <w:rsid w:val="00F56D32"/>
    <w:rPr>
      <w:i w:val="0"/>
    </w:rPr>
  </w:style>
  <w:style w:type="character" w:customStyle="1" w:styleId="Subtitle2Char">
    <w:name w:val="Subtitle 2 Char"/>
    <w:basedOn w:val="Subtitle1Char"/>
    <w:link w:val="Subtitle2"/>
    <w:rsid w:val="00F56D32"/>
    <w:rPr>
      <w:rFonts w:ascii="Arial" w:eastAsia="Times New Roman" w:hAnsi="Arial" w:cs="Times New Roman"/>
      <w:i w:val="0"/>
      <w:noProof/>
      <w:color w:val="1F497D" w:themeColor="text2"/>
      <w:sz w:val="24"/>
      <w:szCs w:val="24"/>
    </w:rPr>
  </w:style>
  <w:style w:type="paragraph" w:customStyle="1" w:styleId="Disclaimer">
    <w:name w:val="Disclaimer"/>
    <w:basedOn w:val="Normal"/>
    <w:rsid w:val="004938C4"/>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szCs w:val="22"/>
    </w:rPr>
  </w:style>
  <w:style w:type="paragraph" w:customStyle="1" w:styleId="SecurityMarking">
    <w:name w:val="SecurityMarking"/>
    <w:basedOn w:val="Normal"/>
    <w:rsid w:val="004938C4"/>
    <w:pPr>
      <w:spacing w:before="0" w:after="0" w:line="276" w:lineRule="auto"/>
      <w:ind w:left="5103"/>
      <w:jc w:val="left"/>
    </w:pPr>
    <w:rPr>
      <w:sz w:val="28"/>
      <w:szCs w:val="22"/>
    </w:rPr>
  </w:style>
  <w:style w:type="paragraph" w:customStyle="1" w:styleId="DateMarking">
    <w:name w:val="DateMarking"/>
    <w:basedOn w:val="Normal"/>
    <w:rsid w:val="004938C4"/>
    <w:pPr>
      <w:spacing w:before="0" w:after="0" w:line="276" w:lineRule="auto"/>
      <w:ind w:left="5103"/>
      <w:jc w:val="left"/>
    </w:pPr>
    <w:rPr>
      <w:i/>
      <w:sz w:val="28"/>
      <w:szCs w:val="22"/>
    </w:rPr>
  </w:style>
  <w:style w:type="paragraph" w:customStyle="1" w:styleId="ReleasableTo">
    <w:name w:val="ReleasableTo"/>
    <w:basedOn w:val="Normal"/>
    <w:rsid w:val="004938C4"/>
    <w:pPr>
      <w:spacing w:before="0" w:after="0" w:line="276" w:lineRule="auto"/>
      <w:ind w:left="5103"/>
      <w:jc w:val="left"/>
    </w:pPr>
    <w:rPr>
      <w: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7188">
      <w:bodyDiv w:val="1"/>
      <w:marLeft w:val="0"/>
      <w:marRight w:val="0"/>
      <w:marTop w:val="0"/>
      <w:marBottom w:val="0"/>
      <w:divBdr>
        <w:top w:val="none" w:sz="0" w:space="0" w:color="auto"/>
        <w:left w:val="none" w:sz="0" w:space="0" w:color="auto"/>
        <w:bottom w:val="none" w:sz="0" w:space="0" w:color="auto"/>
        <w:right w:val="none" w:sz="0" w:space="0" w:color="auto"/>
      </w:divBdr>
    </w:div>
    <w:div w:id="14041767">
      <w:bodyDiv w:val="1"/>
      <w:marLeft w:val="0"/>
      <w:marRight w:val="0"/>
      <w:marTop w:val="0"/>
      <w:marBottom w:val="0"/>
      <w:divBdr>
        <w:top w:val="none" w:sz="0" w:space="0" w:color="auto"/>
        <w:left w:val="none" w:sz="0" w:space="0" w:color="auto"/>
        <w:bottom w:val="none" w:sz="0" w:space="0" w:color="auto"/>
        <w:right w:val="none" w:sz="0" w:space="0" w:color="auto"/>
      </w:divBdr>
    </w:div>
    <w:div w:id="15427522">
      <w:bodyDiv w:val="1"/>
      <w:marLeft w:val="0"/>
      <w:marRight w:val="0"/>
      <w:marTop w:val="0"/>
      <w:marBottom w:val="0"/>
      <w:divBdr>
        <w:top w:val="none" w:sz="0" w:space="0" w:color="auto"/>
        <w:left w:val="none" w:sz="0" w:space="0" w:color="auto"/>
        <w:bottom w:val="none" w:sz="0" w:space="0" w:color="auto"/>
        <w:right w:val="none" w:sz="0" w:space="0" w:color="auto"/>
      </w:divBdr>
    </w:div>
    <w:div w:id="25523972">
      <w:bodyDiv w:val="1"/>
      <w:marLeft w:val="0"/>
      <w:marRight w:val="0"/>
      <w:marTop w:val="0"/>
      <w:marBottom w:val="0"/>
      <w:divBdr>
        <w:top w:val="none" w:sz="0" w:space="0" w:color="auto"/>
        <w:left w:val="none" w:sz="0" w:space="0" w:color="auto"/>
        <w:bottom w:val="none" w:sz="0" w:space="0" w:color="auto"/>
        <w:right w:val="none" w:sz="0" w:space="0" w:color="auto"/>
      </w:divBdr>
    </w:div>
    <w:div w:id="36508773">
      <w:bodyDiv w:val="1"/>
      <w:marLeft w:val="0"/>
      <w:marRight w:val="0"/>
      <w:marTop w:val="0"/>
      <w:marBottom w:val="0"/>
      <w:divBdr>
        <w:top w:val="none" w:sz="0" w:space="0" w:color="auto"/>
        <w:left w:val="none" w:sz="0" w:space="0" w:color="auto"/>
        <w:bottom w:val="none" w:sz="0" w:space="0" w:color="auto"/>
        <w:right w:val="none" w:sz="0" w:space="0" w:color="auto"/>
      </w:divBdr>
    </w:div>
    <w:div w:id="43214011">
      <w:bodyDiv w:val="1"/>
      <w:marLeft w:val="0"/>
      <w:marRight w:val="0"/>
      <w:marTop w:val="0"/>
      <w:marBottom w:val="0"/>
      <w:divBdr>
        <w:top w:val="none" w:sz="0" w:space="0" w:color="auto"/>
        <w:left w:val="none" w:sz="0" w:space="0" w:color="auto"/>
        <w:bottom w:val="none" w:sz="0" w:space="0" w:color="auto"/>
        <w:right w:val="none" w:sz="0" w:space="0" w:color="auto"/>
      </w:divBdr>
    </w:div>
    <w:div w:id="70666991">
      <w:bodyDiv w:val="1"/>
      <w:marLeft w:val="0"/>
      <w:marRight w:val="0"/>
      <w:marTop w:val="0"/>
      <w:marBottom w:val="0"/>
      <w:divBdr>
        <w:top w:val="none" w:sz="0" w:space="0" w:color="auto"/>
        <w:left w:val="none" w:sz="0" w:space="0" w:color="auto"/>
        <w:bottom w:val="none" w:sz="0" w:space="0" w:color="auto"/>
        <w:right w:val="none" w:sz="0" w:space="0" w:color="auto"/>
      </w:divBdr>
    </w:div>
    <w:div w:id="89354899">
      <w:bodyDiv w:val="1"/>
      <w:marLeft w:val="0"/>
      <w:marRight w:val="0"/>
      <w:marTop w:val="0"/>
      <w:marBottom w:val="0"/>
      <w:divBdr>
        <w:top w:val="none" w:sz="0" w:space="0" w:color="auto"/>
        <w:left w:val="none" w:sz="0" w:space="0" w:color="auto"/>
        <w:bottom w:val="none" w:sz="0" w:space="0" w:color="auto"/>
        <w:right w:val="none" w:sz="0" w:space="0" w:color="auto"/>
      </w:divBdr>
    </w:div>
    <w:div w:id="93134473">
      <w:bodyDiv w:val="1"/>
      <w:marLeft w:val="0"/>
      <w:marRight w:val="0"/>
      <w:marTop w:val="0"/>
      <w:marBottom w:val="0"/>
      <w:divBdr>
        <w:top w:val="none" w:sz="0" w:space="0" w:color="auto"/>
        <w:left w:val="none" w:sz="0" w:space="0" w:color="auto"/>
        <w:bottom w:val="none" w:sz="0" w:space="0" w:color="auto"/>
        <w:right w:val="none" w:sz="0" w:space="0" w:color="auto"/>
      </w:divBdr>
    </w:div>
    <w:div w:id="108744037">
      <w:bodyDiv w:val="1"/>
      <w:marLeft w:val="0"/>
      <w:marRight w:val="0"/>
      <w:marTop w:val="0"/>
      <w:marBottom w:val="0"/>
      <w:divBdr>
        <w:top w:val="none" w:sz="0" w:space="0" w:color="auto"/>
        <w:left w:val="none" w:sz="0" w:space="0" w:color="auto"/>
        <w:bottom w:val="none" w:sz="0" w:space="0" w:color="auto"/>
        <w:right w:val="none" w:sz="0" w:space="0" w:color="auto"/>
      </w:divBdr>
    </w:div>
    <w:div w:id="123695717">
      <w:bodyDiv w:val="1"/>
      <w:marLeft w:val="0"/>
      <w:marRight w:val="0"/>
      <w:marTop w:val="0"/>
      <w:marBottom w:val="0"/>
      <w:divBdr>
        <w:top w:val="none" w:sz="0" w:space="0" w:color="auto"/>
        <w:left w:val="none" w:sz="0" w:space="0" w:color="auto"/>
        <w:bottom w:val="none" w:sz="0" w:space="0" w:color="auto"/>
        <w:right w:val="none" w:sz="0" w:space="0" w:color="auto"/>
      </w:divBdr>
    </w:div>
    <w:div w:id="141889863">
      <w:bodyDiv w:val="1"/>
      <w:marLeft w:val="0"/>
      <w:marRight w:val="0"/>
      <w:marTop w:val="0"/>
      <w:marBottom w:val="0"/>
      <w:divBdr>
        <w:top w:val="none" w:sz="0" w:space="0" w:color="auto"/>
        <w:left w:val="none" w:sz="0" w:space="0" w:color="auto"/>
        <w:bottom w:val="none" w:sz="0" w:space="0" w:color="auto"/>
        <w:right w:val="none" w:sz="0" w:space="0" w:color="auto"/>
      </w:divBdr>
    </w:div>
    <w:div w:id="155417929">
      <w:bodyDiv w:val="1"/>
      <w:marLeft w:val="0"/>
      <w:marRight w:val="0"/>
      <w:marTop w:val="0"/>
      <w:marBottom w:val="0"/>
      <w:divBdr>
        <w:top w:val="none" w:sz="0" w:space="0" w:color="auto"/>
        <w:left w:val="none" w:sz="0" w:space="0" w:color="auto"/>
        <w:bottom w:val="none" w:sz="0" w:space="0" w:color="auto"/>
        <w:right w:val="none" w:sz="0" w:space="0" w:color="auto"/>
      </w:divBdr>
    </w:div>
    <w:div w:id="165480086">
      <w:bodyDiv w:val="1"/>
      <w:marLeft w:val="0"/>
      <w:marRight w:val="0"/>
      <w:marTop w:val="0"/>
      <w:marBottom w:val="0"/>
      <w:divBdr>
        <w:top w:val="none" w:sz="0" w:space="0" w:color="auto"/>
        <w:left w:val="none" w:sz="0" w:space="0" w:color="auto"/>
        <w:bottom w:val="none" w:sz="0" w:space="0" w:color="auto"/>
        <w:right w:val="none" w:sz="0" w:space="0" w:color="auto"/>
      </w:divBdr>
    </w:div>
    <w:div w:id="166017581">
      <w:bodyDiv w:val="1"/>
      <w:marLeft w:val="0"/>
      <w:marRight w:val="0"/>
      <w:marTop w:val="0"/>
      <w:marBottom w:val="0"/>
      <w:divBdr>
        <w:top w:val="none" w:sz="0" w:space="0" w:color="auto"/>
        <w:left w:val="none" w:sz="0" w:space="0" w:color="auto"/>
        <w:bottom w:val="none" w:sz="0" w:space="0" w:color="auto"/>
        <w:right w:val="none" w:sz="0" w:space="0" w:color="auto"/>
      </w:divBdr>
    </w:div>
    <w:div w:id="209150950">
      <w:bodyDiv w:val="1"/>
      <w:marLeft w:val="0"/>
      <w:marRight w:val="0"/>
      <w:marTop w:val="0"/>
      <w:marBottom w:val="0"/>
      <w:divBdr>
        <w:top w:val="none" w:sz="0" w:space="0" w:color="auto"/>
        <w:left w:val="none" w:sz="0" w:space="0" w:color="auto"/>
        <w:bottom w:val="none" w:sz="0" w:space="0" w:color="auto"/>
        <w:right w:val="none" w:sz="0" w:space="0" w:color="auto"/>
      </w:divBdr>
    </w:div>
    <w:div w:id="230895204">
      <w:bodyDiv w:val="1"/>
      <w:marLeft w:val="0"/>
      <w:marRight w:val="0"/>
      <w:marTop w:val="0"/>
      <w:marBottom w:val="0"/>
      <w:divBdr>
        <w:top w:val="none" w:sz="0" w:space="0" w:color="auto"/>
        <w:left w:val="none" w:sz="0" w:space="0" w:color="auto"/>
        <w:bottom w:val="none" w:sz="0" w:space="0" w:color="auto"/>
        <w:right w:val="none" w:sz="0" w:space="0" w:color="auto"/>
      </w:divBdr>
    </w:div>
    <w:div w:id="234246342">
      <w:bodyDiv w:val="1"/>
      <w:marLeft w:val="0"/>
      <w:marRight w:val="0"/>
      <w:marTop w:val="0"/>
      <w:marBottom w:val="0"/>
      <w:divBdr>
        <w:top w:val="none" w:sz="0" w:space="0" w:color="auto"/>
        <w:left w:val="none" w:sz="0" w:space="0" w:color="auto"/>
        <w:bottom w:val="none" w:sz="0" w:space="0" w:color="auto"/>
        <w:right w:val="none" w:sz="0" w:space="0" w:color="auto"/>
      </w:divBdr>
    </w:div>
    <w:div w:id="281763109">
      <w:bodyDiv w:val="1"/>
      <w:marLeft w:val="0"/>
      <w:marRight w:val="0"/>
      <w:marTop w:val="0"/>
      <w:marBottom w:val="0"/>
      <w:divBdr>
        <w:top w:val="none" w:sz="0" w:space="0" w:color="auto"/>
        <w:left w:val="none" w:sz="0" w:space="0" w:color="auto"/>
        <w:bottom w:val="none" w:sz="0" w:space="0" w:color="auto"/>
        <w:right w:val="none" w:sz="0" w:space="0" w:color="auto"/>
      </w:divBdr>
    </w:div>
    <w:div w:id="304438337">
      <w:bodyDiv w:val="1"/>
      <w:marLeft w:val="0"/>
      <w:marRight w:val="0"/>
      <w:marTop w:val="0"/>
      <w:marBottom w:val="0"/>
      <w:divBdr>
        <w:top w:val="none" w:sz="0" w:space="0" w:color="auto"/>
        <w:left w:val="none" w:sz="0" w:space="0" w:color="auto"/>
        <w:bottom w:val="none" w:sz="0" w:space="0" w:color="auto"/>
        <w:right w:val="none" w:sz="0" w:space="0" w:color="auto"/>
      </w:divBdr>
    </w:div>
    <w:div w:id="310213141">
      <w:bodyDiv w:val="1"/>
      <w:marLeft w:val="0"/>
      <w:marRight w:val="0"/>
      <w:marTop w:val="0"/>
      <w:marBottom w:val="0"/>
      <w:divBdr>
        <w:top w:val="none" w:sz="0" w:space="0" w:color="auto"/>
        <w:left w:val="none" w:sz="0" w:space="0" w:color="auto"/>
        <w:bottom w:val="none" w:sz="0" w:space="0" w:color="auto"/>
        <w:right w:val="none" w:sz="0" w:space="0" w:color="auto"/>
      </w:divBdr>
      <w:divsChild>
        <w:div w:id="1193304655">
          <w:marLeft w:val="0"/>
          <w:marRight w:val="0"/>
          <w:marTop w:val="0"/>
          <w:marBottom w:val="0"/>
          <w:divBdr>
            <w:top w:val="none" w:sz="0" w:space="0" w:color="auto"/>
            <w:left w:val="none" w:sz="0" w:space="0" w:color="auto"/>
            <w:bottom w:val="none" w:sz="0" w:space="0" w:color="auto"/>
            <w:right w:val="none" w:sz="0" w:space="0" w:color="auto"/>
          </w:divBdr>
        </w:div>
        <w:div w:id="1203176512">
          <w:marLeft w:val="0"/>
          <w:marRight w:val="0"/>
          <w:marTop w:val="0"/>
          <w:marBottom w:val="0"/>
          <w:divBdr>
            <w:top w:val="none" w:sz="0" w:space="0" w:color="auto"/>
            <w:left w:val="none" w:sz="0" w:space="0" w:color="auto"/>
            <w:bottom w:val="none" w:sz="0" w:space="0" w:color="auto"/>
            <w:right w:val="none" w:sz="0" w:space="0" w:color="auto"/>
          </w:divBdr>
          <w:divsChild>
            <w:div w:id="133378380">
              <w:marLeft w:val="0"/>
              <w:marRight w:val="0"/>
              <w:marTop w:val="0"/>
              <w:marBottom w:val="0"/>
              <w:divBdr>
                <w:top w:val="none" w:sz="0" w:space="0" w:color="auto"/>
                <w:left w:val="none" w:sz="0" w:space="0" w:color="auto"/>
                <w:bottom w:val="none" w:sz="0" w:space="0" w:color="auto"/>
                <w:right w:val="none" w:sz="0" w:space="0" w:color="auto"/>
              </w:divBdr>
            </w:div>
            <w:div w:id="210533792">
              <w:marLeft w:val="0"/>
              <w:marRight w:val="0"/>
              <w:marTop w:val="0"/>
              <w:marBottom w:val="0"/>
              <w:divBdr>
                <w:top w:val="none" w:sz="0" w:space="0" w:color="auto"/>
                <w:left w:val="none" w:sz="0" w:space="0" w:color="auto"/>
                <w:bottom w:val="none" w:sz="0" w:space="0" w:color="auto"/>
                <w:right w:val="none" w:sz="0" w:space="0" w:color="auto"/>
              </w:divBdr>
            </w:div>
            <w:div w:id="233709113">
              <w:marLeft w:val="0"/>
              <w:marRight w:val="0"/>
              <w:marTop w:val="0"/>
              <w:marBottom w:val="0"/>
              <w:divBdr>
                <w:top w:val="none" w:sz="0" w:space="0" w:color="auto"/>
                <w:left w:val="none" w:sz="0" w:space="0" w:color="auto"/>
                <w:bottom w:val="none" w:sz="0" w:space="0" w:color="auto"/>
                <w:right w:val="none" w:sz="0" w:space="0" w:color="auto"/>
              </w:divBdr>
            </w:div>
            <w:div w:id="275142384">
              <w:marLeft w:val="0"/>
              <w:marRight w:val="0"/>
              <w:marTop w:val="0"/>
              <w:marBottom w:val="0"/>
              <w:divBdr>
                <w:top w:val="none" w:sz="0" w:space="0" w:color="auto"/>
                <w:left w:val="none" w:sz="0" w:space="0" w:color="auto"/>
                <w:bottom w:val="none" w:sz="0" w:space="0" w:color="auto"/>
                <w:right w:val="none" w:sz="0" w:space="0" w:color="auto"/>
              </w:divBdr>
            </w:div>
            <w:div w:id="302468771">
              <w:marLeft w:val="0"/>
              <w:marRight w:val="0"/>
              <w:marTop w:val="0"/>
              <w:marBottom w:val="0"/>
              <w:divBdr>
                <w:top w:val="none" w:sz="0" w:space="0" w:color="auto"/>
                <w:left w:val="none" w:sz="0" w:space="0" w:color="auto"/>
                <w:bottom w:val="none" w:sz="0" w:space="0" w:color="auto"/>
                <w:right w:val="none" w:sz="0" w:space="0" w:color="auto"/>
              </w:divBdr>
            </w:div>
            <w:div w:id="325868696">
              <w:marLeft w:val="0"/>
              <w:marRight w:val="0"/>
              <w:marTop w:val="0"/>
              <w:marBottom w:val="0"/>
              <w:divBdr>
                <w:top w:val="none" w:sz="0" w:space="0" w:color="auto"/>
                <w:left w:val="none" w:sz="0" w:space="0" w:color="auto"/>
                <w:bottom w:val="none" w:sz="0" w:space="0" w:color="auto"/>
                <w:right w:val="none" w:sz="0" w:space="0" w:color="auto"/>
              </w:divBdr>
            </w:div>
            <w:div w:id="799032158">
              <w:marLeft w:val="0"/>
              <w:marRight w:val="0"/>
              <w:marTop w:val="0"/>
              <w:marBottom w:val="0"/>
              <w:divBdr>
                <w:top w:val="none" w:sz="0" w:space="0" w:color="auto"/>
                <w:left w:val="none" w:sz="0" w:space="0" w:color="auto"/>
                <w:bottom w:val="none" w:sz="0" w:space="0" w:color="auto"/>
                <w:right w:val="none" w:sz="0" w:space="0" w:color="auto"/>
              </w:divBdr>
            </w:div>
            <w:div w:id="898319498">
              <w:marLeft w:val="0"/>
              <w:marRight w:val="0"/>
              <w:marTop w:val="0"/>
              <w:marBottom w:val="0"/>
              <w:divBdr>
                <w:top w:val="none" w:sz="0" w:space="0" w:color="auto"/>
                <w:left w:val="none" w:sz="0" w:space="0" w:color="auto"/>
                <w:bottom w:val="none" w:sz="0" w:space="0" w:color="auto"/>
                <w:right w:val="none" w:sz="0" w:space="0" w:color="auto"/>
              </w:divBdr>
            </w:div>
            <w:div w:id="1121614243">
              <w:marLeft w:val="0"/>
              <w:marRight w:val="0"/>
              <w:marTop w:val="0"/>
              <w:marBottom w:val="0"/>
              <w:divBdr>
                <w:top w:val="none" w:sz="0" w:space="0" w:color="auto"/>
                <w:left w:val="none" w:sz="0" w:space="0" w:color="auto"/>
                <w:bottom w:val="none" w:sz="0" w:space="0" w:color="auto"/>
                <w:right w:val="none" w:sz="0" w:space="0" w:color="auto"/>
              </w:divBdr>
            </w:div>
            <w:div w:id="1223365159">
              <w:marLeft w:val="0"/>
              <w:marRight w:val="0"/>
              <w:marTop w:val="0"/>
              <w:marBottom w:val="0"/>
              <w:divBdr>
                <w:top w:val="none" w:sz="0" w:space="0" w:color="auto"/>
                <w:left w:val="none" w:sz="0" w:space="0" w:color="auto"/>
                <w:bottom w:val="none" w:sz="0" w:space="0" w:color="auto"/>
                <w:right w:val="none" w:sz="0" w:space="0" w:color="auto"/>
              </w:divBdr>
            </w:div>
            <w:div w:id="1239362229">
              <w:marLeft w:val="0"/>
              <w:marRight w:val="0"/>
              <w:marTop w:val="0"/>
              <w:marBottom w:val="0"/>
              <w:divBdr>
                <w:top w:val="none" w:sz="0" w:space="0" w:color="auto"/>
                <w:left w:val="none" w:sz="0" w:space="0" w:color="auto"/>
                <w:bottom w:val="none" w:sz="0" w:space="0" w:color="auto"/>
                <w:right w:val="none" w:sz="0" w:space="0" w:color="auto"/>
              </w:divBdr>
            </w:div>
            <w:div w:id="1339580606">
              <w:marLeft w:val="0"/>
              <w:marRight w:val="0"/>
              <w:marTop w:val="0"/>
              <w:marBottom w:val="0"/>
              <w:divBdr>
                <w:top w:val="none" w:sz="0" w:space="0" w:color="auto"/>
                <w:left w:val="none" w:sz="0" w:space="0" w:color="auto"/>
                <w:bottom w:val="none" w:sz="0" w:space="0" w:color="auto"/>
                <w:right w:val="none" w:sz="0" w:space="0" w:color="auto"/>
              </w:divBdr>
            </w:div>
            <w:div w:id="1399399528">
              <w:marLeft w:val="0"/>
              <w:marRight w:val="0"/>
              <w:marTop w:val="0"/>
              <w:marBottom w:val="0"/>
              <w:divBdr>
                <w:top w:val="none" w:sz="0" w:space="0" w:color="auto"/>
                <w:left w:val="none" w:sz="0" w:space="0" w:color="auto"/>
                <w:bottom w:val="none" w:sz="0" w:space="0" w:color="auto"/>
                <w:right w:val="none" w:sz="0" w:space="0" w:color="auto"/>
              </w:divBdr>
            </w:div>
            <w:div w:id="1559437817">
              <w:marLeft w:val="0"/>
              <w:marRight w:val="0"/>
              <w:marTop w:val="0"/>
              <w:marBottom w:val="0"/>
              <w:divBdr>
                <w:top w:val="none" w:sz="0" w:space="0" w:color="auto"/>
                <w:left w:val="none" w:sz="0" w:space="0" w:color="auto"/>
                <w:bottom w:val="none" w:sz="0" w:space="0" w:color="auto"/>
                <w:right w:val="none" w:sz="0" w:space="0" w:color="auto"/>
              </w:divBdr>
            </w:div>
            <w:div w:id="1771317101">
              <w:marLeft w:val="0"/>
              <w:marRight w:val="0"/>
              <w:marTop w:val="0"/>
              <w:marBottom w:val="0"/>
              <w:divBdr>
                <w:top w:val="none" w:sz="0" w:space="0" w:color="auto"/>
                <w:left w:val="none" w:sz="0" w:space="0" w:color="auto"/>
                <w:bottom w:val="none" w:sz="0" w:space="0" w:color="auto"/>
                <w:right w:val="none" w:sz="0" w:space="0" w:color="auto"/>
              </w:divBdr>
            </w:div>
            <w:div w:id="1796873403">
              <w:marLeft w:val="0"/>
              <w:marRight w:val="0"/>
              <w:marTop w:val="0"/>
              <w:marBottom w:val="0"/>
              <w:divBdr>
                <w:top w:val="none" w:sz="0" w:space="0" w:color="auto"/>
                <w:left w:val="none" w:sz="0" w:space="0" w:color="auto"/>
                <w:bottom w:val="none" w:sz="0" w:space="0" w:color="auto"/>
                <w:right w:val="none" w:sz="0" w:space="0" w:color="auto"/>
              </w:divBdr>
            </w:div>
            <w:div w:id="1885479815">
              <w:marLeft w:val="0"/>
              <w:marRight w:val="0"/>
              <w:marTop w:val="0"/>
              <w:marBottom w:val="0"/>
              <w:divBdr>
                <w:top w:val="none" w:sz="0" w:space="0" w:color="auto"/>
                <w:left w:val="none" w:sz="0" w:space="0" w:color="auto"/>
                <w:bottom w:val="none" w:sz="0" w:space="0" w:color="auto"/>
                <w:right w:val="none" w:sz="0" w:space="0" w:color="auto"/>
              </w:divBdr>
            </w:div>
            <w:div w:id="1959221736">
              <w:marLeft w:val="0"/>
              <w:marRight w:val="0"/>
              <w:marTop w:val="0"/>
              <w:marBottom w:val="0"/>
              <w:divBdr>
                <w:top w:val="none" w:sz="0" w:space="0" w:color="auto"/>
                <w:left w:val="none" w:sz="0" w:space="0" w:color="auto"/>
                <w:bottom w:val="none" w:sz="0" w:space="0" w:color="auto"/>
                <w:right w:val="none" w:sz="0" w:space="0" w:color="auto"/>
              </w:divBdr>
            </w:div>
            <w:div w:id="2032799645">
              <w:marLeft w:val="0"/>
              <w:marRight w:val="0"/>
              <w:marTop w:val="0"/>
              <w:marBottom w:val="0"/>
              <w:divBdr>
                <w:top w:val="none" w:sz="0" w:space="0" w:color="auto"/>
                <w:left w:val="none" w:sz="0" w:space="0" w:color="auto"/>
                <w:bottom w:val="none" w:sz="0" w:space="0" w:color="auto"/>
                <w:right w:val="none" w:sz="0" w:space="0" w:color="auto"/>
              </w:divBdr>
            </w:div>
            <w:div w:id="2105567337">
              <w:marLeft w:val="0"/>
              <w:marRight w:val="0"/>
              <w:marTop w:val="0"/>
              <w:marBottom w:val="0"/>
              <w:divBdr>
                <w:top w:val="none" w:sz="0" w:space="0" w:color="auto"/>
                <w:left w:val="none" w:sz="0" w:space="0" w:color="auto"/>
                <w:bottom w:val="none" w:sz="0" w:space="0" w:color="auto"/>
                <w:right w:val="none" w:sz="0" w:space="0" w:color="auto"/>
              </w:divBdr>
            </w:div>
          </w:divsChild>
        </w:div>
        <w:div w:id="1805614311">
          <w:marLeft w:val="0"/>
          <w:marRight w:val="0"/>
          <w:marTop w:val="0"/>
          <w:marBottom w:val="0"/>
          <w:divBdr>
            <w:top w:val="none" w:sz="0" w:space="0" w:color="auto"/>
            <w:left w:val="none" w:sz="0" w:space="0" w:color="auto"/>
            <w:bottom w:val="none" w:sz="0" w:space="0" w:color="auto"/>
            <w:right w:val="none" w:sz="0" w:space="0" w:color="auto"/>
          </w:divBdr>
          <w:divsChild>
            <w:div w:id="1968126292">
              <w:marLeft w:val="-75"/>
              <w:marRight w:val="0"/>
              <w:marTop w:val="30"/>
              <w:marBottom w:val="30"/>
              <w:divBdr>
                <w:top w:val="none" w:sz="0" w:space="0" w:color="auto"/>
                <w:left w:val="none" w:sz="0" w:space="0" w:color="auto"/>
                <w:bottom w:val="none" w:sz="0" w:space="0" w:color="auto"/>
                <w:right w:val="none" w:sz="0" w:space="0" w:color="auto"/>
              </w:divBdr>
              <w:divsChild>
                <w:div w:id="234510645">
                  <w:marLeft w:val="0"/>
                  <w:marRight w:val="0"/>
                  <w:marTop w:val="0"/>
                  <w:marBottom w:val="0"/>
                  <w:divBdr>
                    <w:top w:val="none" w:sz="0" w:space="0" w:color="auto"/>
                    <w:left w:val="none" w:sz="0" w:space="0" w:color="auto"/>
                    <w:bottom w:val="none" w:sz="0" w:space="0" w:color="auto"/>
                    <w:right w:val="none" w:sz="0" w:space="0" w:color="auto"/>
                  </w:divBdr>
                  <w:divsChild>
                    <w:div w:id="5132185">
                      <w:marLeft w:val="0"/>
                      <w:marRight w:val="0"/>
                      <w:marTop w:val="0"/>
                      <w:marBottom w:val="0"/>
                      <w:divBdr>
                        <w:top w:val="none" w:sz="0" w:space="0" w:color="auto"/>
                        <w:left w:val="none" w:sz="0" w:space="0" w:color="auto"/>
                        <w:bottom w:val="none" w:sz="0" w:space="0" w:color="auto"/>
                        <w:right w:val="none" w:sz="0" w:space="0" w:color="auto"/>
                      </w:divBdr>
                    </w:div>
                    <w:div w:id="38481539">
                      <w:marLeft w:val="0"/>
                      <w:marRight w:val="0"/>
                      <w:marTop w:val="0"/>
                      <w:marBottom w:val="0"/>
                      <w:divBdr>
                        <w:top w:val="none" w:sz="0" w:space="0" w:color="auto"/>
                        <w:left w:val="none" w:sz="0" w:space="0" w:color="auto"/>
                        <w:bottom w:val="none" w:sz="0" w:space="0" w:color="auto"/>
                        <w:right w:val="none" w:sz="0" w:space="0" w:color="auto"/>
                      </w:divBdr>
                    </w:div>
                    <w:div w:id="56756222">
                      <w:marLeft w:val="0"/>
                      <w:marRight w:val="0"/>
                      <w:marTop w:val="0"/>
                      <w:marBottom w:val="0"/>
                      <w:divBdr>
                        <w:top w:val="none" w:sz="0" w:space="0" w:color="auto"/>
                        <w:left w:val="none" w:sz="0" w:space="0" w:color="auto"/>
                        <w:bottom w:val="none" w:sz="0" w:space="0" w:color="auto"/>
                        <w:right w:val="none" w:sz="0" w:space="0" w:color="auto"/>
                      </w:divBdr>
                    </w:div>
                    <w:div w:id="166479269">
                      <w:marLeft w:val="0"/>
                      <w:marRight w:val="0"/>
                      <w:marTop w:val="0"/>
                      <w:marBottom w:val="0"/>
                      <w:divBdr>
                        <w:top w:val="none" w:sz="0" w:space="0" w:color="auto"/>
                        <w:left w:val="none" w:sz="0" w:space="0" w:color="auto"/>
                        <w:bottom w:val="none" w:sz="0" w:space="0" w:color="auto"/>
                        <w:right w:val="none" w:sz="0" w:space="0" w:color="auto"/>
                      </w:divBdr>
                    </w:div>
                    <w:div w:id="338582861">
                      <w:marLeft w:val="0"/>
                      <w:marRight w:val="0"/>
                      <w:marTop w:val="0"/>
                      <w:marBottom w:val="0"/>
                      <w:divBdr>
                        <w:top w:val="none" w:sz="0" w:space="0" w:color="auto"/>
                        <w:left w:val="none" w:sz="0" w:space="0" w:color="auto"/>
                        <w:bottom w:val="none" w:sz="0" w:space="0" w:color="auto"/>
                        <w:right w:val="none" w:sz="0" w:space="0" w:color="auto"/>
                      </w:divBdr>
                    </w:div>
                    <w:div w:id="367070180">
                      <w:marLeft w:val="0"/>
                      <w:marRight w:val="0"/>
                      <w:marTop w:val="0"/>
                      <w:marBottom w:val="0"/>
                      <w:divBdr>
                        <w:top w:val="none" w:sz="0" w:space="0" w:color="auto"/>
                        <w:left w:val="none" w:sz="0" w:space="0" w:color="auto"/>
                        <w:bottom w:val="none" w:sz="0" w:space="0" w:color="auto"/>
                        <w:right w:val="none" w:sz="0" w:space="0" w:color="auto"/>
                      </w:divBdr>
                    </w:div>
                    <w:div w:id="434057845">
                      <w:marLeft w:val="0"/>
                      <w:marRight w:val="0"/>
                      <w:marTop w:val="0"/>
                      <w:marBottom w:val="0"/>
                      <w:divBdr>
                        <w:top w:val="none" w:sz="0" w:space="0" w:color="auto"/>
                        <w:left w:val="none" w:sz="0" w:space="0" w:color="auto"/>
                        <w:bottom w:val="none" w:sz="0" w:space="0" w:color="auto"/>
                        <w:right w:val="none" w:sz="0" w:space="0" w:color="auto"/>
                      </w:divBdr>
                    </w:div>
                    <w:div w:id="622153494">
                      <w:marLeft w:val="0"/>
                      <w:marRight w:val="0"/>
                      <w:marTop w:val="0"/>
                      <w:marBottom w:val="0"/>
                      <w:divBdr>
                        <w:top w:val="none" w:sz="0" w:space="0" w:color="auto"/>
                        <w:left w:val="none" w:sz="0" w:space="0" w:color="auto"/>
                        <w:bottom w:val="none" w:sz="0" w:space="0" w:color="auto"/>
                        <w:right w:val="none" w:sz="0" w:space="0" w:color="auto"/>
                      </w:divBdr>
                    </w:div>
                    <w:div w:id="636447019">
                      <w:marLeft w:val="0"/>
                      <w:marRight w:val="0"/>
                      <w:marTop w:val="0"/>
                      <w:marBottom w:val="0"/>
                      <w:divBdr>
                        <w:top w:val="none" w:sz="0" w:space="0" w:color="auto"/>
                        <w:left w:val="none" w:sz="0" w:space="0" w:color="auto"/>
                        <w:bottom w:val="none" w:sz="0" w:space="0" w:color="auto"/>
                        <w:right w:val="none" w:sz="0" w:space="0" w:color="auto"/>
                      </w:divBdr>
                    </w:div>
                    <w:div w:id="747842832">
                      <w:marLeft w:val="0"/>
                      <w:marRight w:val="0"/>
                      <w:marTop w:val="0"/>
                      <w:marBottom w:val="0"/>
                      <w:divBdr>
                        <w:top w:val="none" w:sz="0" w:space="0" w:color="auto"/>
                        <w:left w:val="none" w:sz="0" w:space="0" w:color="auto"/>
                        <w:bottom w:val="none" w:sz="0" w:space="0" w:color="auto"/>
                        <w:right w:val="none" w:sz="0" w:space="0" w:color="auto"/>
                      </w:divBdr>
                    </w:div>
                    <w:div w:id="762460412">
                      <w:marLeft w:val="0"/>
                      <w:marRight w:val="0"/>
                      <w:marTop w:val="0"/>
                      <w:marBottom w:val="0"/>
                      <w:divBdr>
                        <w:top w:val="none" w:sz="0" w:space="0" w:color="auto"/>
                        <w:left w:val="none" w:sz="0" w:space="0" w:color="auto"/>
                        <w:bottom w:val="none" w:sz="0" w:space="0" w:color="auto"/>
                        <w:right w:val="none" w:sz="0" w:space="0" w:color="auto"/>
                      </w:divBdr>
                    </w:div>
                    <w:div w:id="775711228">
                      <w:marLeft w:val="0"/>
                      <w:marRight w:val="0"/>
                      <w:marTop w:val="0"/>
                      <w:marBottom w:val="0"/>
                      <w:divBdr>
                        <w:top w:val="none" w:sz="0" w:space="0" w:color="auto"/>
                        <w:left w:val="none" w:sz="0" w:space="0" w:color="auto"/>
                        <w:bottom w:val="none" w:sz="0" w:space="0" w:color="auto"/>
                        <w:right w:val="none" w:sz="0" w:space="0" w:color="auto"/>
                      </w:divBdr>
                    </w:div>
                    <w:div w:id="825124366">
                      <w:marLeft w:val="0"/>
                      <w:marRight w:val="0"/>
                      <w:marTop w:val="0"/>
                      <w:marBottom w:val="0"/>
                      <w:divBdr>
                        <w:top w:val="none" w:sz="0" w:space="0" w:color="auto"/>
                        <w:left w:val="none" w:sz="0" w:space="0" w:color="auto"/>
                        <w:bottom w:val="none" w:sz="0" w:space="0" w:color="auto"/>
                        <w:right w:val="none" w:sz="0" w:space="0" w:color="auto"/>
                      </w:divBdr>
                    </w:div>
                    <w:div w:id="1317032249">
                      <w:marLeft w:val="0"/>
                      <w:marRight w:val="0"/>
                      <w:marTop w:val="0"/>
                      <w:marBottom w:val="0"/>
                      <w:divBdr>
                        <w:top w:val="none" w:sz="0" w:space="0" w:color="auto"/>
                        <w:left w:val="none" w:sz="0" w:space="0" w:color="auto"/>
                        <w:bottom w:val="none" w:sz="0" w:space="0" w:color="auto"/>
                        <w:right w:val="none" w:sz="0" w:space="0" w:color="auto"/>
                      </w:divBdr>
                    </w:div>
                    <w:div w:id="1346402443">
                      <w:marLeft w:val="0"/>
                      <w:marRight w:val="0"/>
                      <w:marTop w:val="0"/>
                      <w:marBottom w:val="0"/>
                      <w:divBdr>
                        <w:top w:val="none" w:sz="0" w:space="0" w:color="auto"/>
                        <w:left w:val="none" w:sz="0" w:space="0" w:color="auto"/>
                        <w:bottom w:val="none" w:sz="0" w:space="0" w:color="auto"/>
                        <w:right w:val="none" w:sz="0" w:space="0" w:color="auto"/>
                      </w:divBdr>
                    </w:div>
                    <w:div w:id="1436557750">
                      <w:marLeft w:val="0"/>
                      <w:marRight w:val="0"/>
                      <w:marTop w:val="0"/>
                      <w:marBottom w:val="0"/>
                      <w:divBdr>
                        <w:top w:val="none" w:sz="0" w:space="0" w:color="auto"/>
                        <w:left w:val="none" w:sz="0" w:space="0" w:color="auto"/>
                        <w:bottom w:val="none" w:sz="0" w:space="0" w:color="auto"/>
                        <w:right w:val="none" w:sz="0" w:space="0" w:color="auto"/>
                      </w:divBdr>
                    </w:div>
                    <w:div w:id="1441998065">
                      <w:marLeft w:val="0"/>
                      <w:marRight w:val="0"/>
                      <w:marTop w:val="0"/>
                      <w:marBottom w:val="0"/>
                      <w:divBdr>
                        <w:top w:val="none" w:sz="0" w:space="0" w:color="auto"/>
                        <w:left w:val="none" w:sz="0" w:space="0" w:color="auto"/>
                        <w:bottom w:val="none" w:sz="0" w:space="0" w:color="auto"/>
                        <w:right w:val="none" w:sz="0" w:space="0" w:color="auto"/>
                      </w:divBdr>
                    </w:div>
                    <w:div w:id="1564289441">
                      <w:marLeft w:val="0"/>
                      <w:marRight w:val="0"/>
                      <w:marTop w:val="0"/>
                      <w:marBottom w:val="0"/>
                      <w:divBdr>
                        <w:top w:val="none" w:sz="0" w:space="0" w:color="auto"/>
                        <w:left w:val="none" w:sz="0" w:space="0" w:color="auto"/>
                        <w:bottom w:val="none" w:sz="0" w:space="0" w:color="auto"/>
                        <w:right w:val="none" w:sz="0" w:space="0" w:color="auto"/>
                      </w:divBdr>
                    </w:div>
                    <w:div w:id="1766874956">
                      <w:marLeft w:val="0"/>
                      <w:marRight w:val="0"/>
                      <w:marTop w:val="0"/>
                      <w:marBottom w:val="0"/>
                      <w:divBdr>
                        <w:top w:val="none" w:sz="0" w:space="0" w:color="auto"/>
                        <w:left w:val="none" w:sz="0" w:space="0" w:color="auto"/>
                        <w:bottom w:val="none" w:sz="0" w:space="0" w:color="auto"/>
                        <w:right w:val="none" w:sz="0" w:space="0" w:color="auto"/>
                      </w:divBdr>
                    </w:div>
                    <w:div w:id="1854108418">
                      <w:marLeft w:val="0"/>
                      <w:marRight w:val="0"/>
                      <w:marTop w:val="0"/>
                      <w:marBottom w:val="0"/>
                      <w:divBdr>
                        <w:top w:val="none" w:sz="0" w:space="0" w:color="auto"/>
                        <w:left w:val="none" w:sz="0" w:space="0" w:color="auto"/>
                        <w:bottom w:val="none" w:sz="0" w:space="0" w:color="auto"/>
                        <w:right w:val="none" w:sz="0" w:space="0" w:color="auto"/>
                      </w:divBdr>
                    </w:div>
                    <w:div w:id="1857307040">
                      <w:marLeft w:val="0"/>
                      <w:marRight w:val="0"/>
                      <w:marTop w:val="0"/>
                      <w:marBottom w:val="0"/>
                      <w:divBdr>
                        <w:top w:val="none" w:sz="0" w:space="0" w:color="auto"/>
                        <w:left w:val="none" w:sz="0" w:space="0" w:color="auto"/>
                        <w:bottom w:val="none" w:sz="0" w:space="0" w:color="auto"/>
                        <w:right w:val="none" w:sz="0" w:space="0" w:color="auto"/>
                      </w:divBdr>
                    </w:div>
                    <w:div w:id="2066949911">
                      <w:marLeft w:val="0"/>
                      <w:marRight w:val="0"/>
                      <w:marTop w:val="0"/>
                      <w:marBottom w:val="0"/>
                      <w:divBdr>
                        <w:top w:val="none" w:sz="0" w:space="0" w:color="auto"/>
                        <w:left w:val="none" w:sz="0" w:space="0" w:color="auto"/>
                        <w:bottom w:val="none" w:sz="0" w:space="0" w:color="auto"/>
                        <w:right w:val="none" w:sz="0" w:space="0" w:color="auto"/>
                      </w:divBdr>
                    </w:div>
                    <w:div w:id="2085570356">
                      <w:marLeft w:val="0"/>
                      <w:marRight w:val="0"/>
                      <w:marTop w:val="0"/>
                      <w:marBottom w:val="0"/>
                      <w:divBdr>
                        <w:top w:val="none" w:sz="0" w:space="0" w:color="auto"/>
                        <w:left w:val="none" w:sz="0" w:space="0" w:color="auto"/>
                        <w:bottom w:val="none" w:sz="0" w:space="0" w:color="auto"/>
                        <w:right w:val="none" w:sz="0" w:space="0" w:color="auto"/>
                      </w:divBdr>
                    </w:div>
                  </w:divsChild>
                </w:div>
                <w:div w:id="379281017">
                  <w:marLeft w:val="0"/>
                  <w:marRight w:val="0"/>
                  <w:marTop w:val="0"/>
                  <w:marBottom w:val="0"/>
                  <w:divBdr>
                    <w:top w:val="none" w:sz="0" w:space="0" w:color="auto"/>
                    <w:left w:val="none" w:sz="0" w:space="0" w:color="auto"/>
                    <w:bottom w:val="none" w:sz="0" w:space="0" w:color="auto"/>
                    <w:right w:val="none" w:sz="0" w:space="0" w:color="auto"/>
                  </w:divBdr>
                  <w:divsChild>
                    <w:div w:id="1385250334">
                      <w:marLeft w:val="0"/>
                      <w:marRight w:val="0"/>
                      <w:marTop w:val="0"/>
                      <w:marBottom w:val="0"/>
                      <w:divBdr>
                        <w:top w:val="none" w:sz="0" w:space="0" w:color="auto"/>
                        <w:left w:val="none" w:sz="0" w:space="0" w:color="auto"/>
                        <w:bottom w:val="none" w:sz="0" w:space="0" w:color="auto"/>
                        <w:right w:val="none" w:sz="0" w:space="0" w:color="auto"/>
                      </w:divBdr>
                    </w:div>
                  </w:divsChild>
                </w:div>
                <w:div w:id="381246930">
                  <w:marLeft w:val="0"/>
                  <w:marRight w:val="0"/>
                  <w:marTop w:val="0"/>
                  <w:marBottom w:val="0"/>
                  <w:divBdr>
                    <w:top w:val="none" w:sz="0" w:space="0" w:color="auto"/>
                    <w:left w:val="none" w:sz="0" w:space="0" w:color="auto"/>
                    <w:bottom w:val="none" w:sz="0" w:space="0" w:color="auto"/>
                    <w:right w:val="none" w:sz="0" w:space="0" w:color="auto"/>
                  </w:divBdr>
                  <w:divsChild>
                    <w:div w:id="1600672811">
                      <w:marLeft w:val="0"/>
                      <w:marRight w:val="0"/>
                      <w:marTop w:val="0"/>
                      <w:marBottom w:val="0"/>
                      <w:divBdr>
                        <w:top w:val="none" w:sz="0" w:space="0" w:color="auto"/>
                        <w:left w:val="none" w:sz="0" w:space="0" w:color="auto"/>
                        <w:bottom w:val="none" w:sz="0" w:space="0" w:color="auto"/>
                        <w:right w:val="none" w:sz="0" w:space="0" w:color="auto"/>
                      </w:divBdr>
                    </w:div>
                  </w:divsChild>
                </w:div>
                <w:div w:id="430053725">
                  <w:marLeft w:val="0"/>
                  <w:marRight w:val="0"/>
                  <w:marTop w:val="0"/>
                  <w:marBottom w:val="0"/>
                  <w:divBdr>
                    <w:top w:val="none" w:sz="0" w:space="0" w:color="auto"/>
                    <w:left w:val="none" w:sz="0" w:space="0" w:color="auto"/>
                    <w:bottom w:val="none" w:sz="0" w:space="0" w:color="auto"/>
                    <w:right w:val="none" w:sz="0" w:space="0" w:color="auto"/>
                  </w:divBdr>
                  <w:divsChild>
                    <w:div w:id="533856837">
                      <w:marLeft w:val="0"/>
                      <w:marRight w:val="0"/>
                      <w:marTop w:val="0"/>
                      <w:marBottom w:val="0"/>
                      <w:divBdr>
                        <w:top w:val="none" w:sz="0" w:space="0" w:color="auto"/>
                        <w:left w:val="none" w:sz="0" w:space="0" w:color="auto"/>
                        <w:bottom w:val="none" w:sz="0" w:space="0" w:color="auto"/>
                        <w:right w:val="none" w:sz="0" w:space="0" w:color="auto"/>
                      </w:divBdr>
                    </w:div>
                    <w:div w:id="542525512">
                      <w:marLeft w:val="0"/>
                      <w:marRight w:val="0"/>
                      <w:marTop w:val="0"/>
                      <w:marBottom w:val="0"/>
                      <w:divBdr>
                        <w:top w:val="none" w:sz="0" w:space="0" w:color="auto"/>
                        <w:left w:val="none" w:sz="0" w:space="0" w:color="auto"/>
                        <w:bottom w:val="none" w:sz="0" w:space="0" w:color="auto"/>
                        <w:right w:val="none" w:sz="0" w:space="0" w:color="auto"/>
                      </w:divBdr>
                    </w:div>
                    <w:div w:id="666329562">
                      <w:marLeft w:val="0"/>
                      <w:marRight w:val="0"/>
                      <w:marTop w:val="0"/>
                      <w:marBottom w:val="0"/>
                      <w:divBdr>
                        <w:top w:val="none" w:sz="0" w:space="0" w:color="auto"/>
                        <w:left w:val="none" w:sz="0" w:space="0" w:color="auto"/>
                        <w:bottom w:val="none" w:sz="0" w:space="0" w:color="auto"/>
                        <w:right w:val="none" w:sz="0" w:space="0" w:color="auto"/>
                      </w:divBdr>
                    </w:div>
                  </w:divsChild>
                </w:div>
                <w:div w:id="618295041">
                  <w:marLeft w:val="0"/>
                  <w:marRight w:val="0"/>
                  <w:marTop w:val="0"/>
                  <w:marBottom w:val="0"/>
                  <w:divBdr>
                    <w:top w:val="none" w:sz="0" w:space="0" w:color="auto"/>
                    <w:left w:val="none" w:sz="0" w:space="0" w:color="auto"/>
                    <w:bottom w:val="none" w:sz="0" w:space="0" w:color="auto"/>
                    <w:right w:val="none" w:sz="0" w:space="0" w:color="auto"/>
                  </w:divBdr>
                  <w:divsChild>
                    <w:div w:id="69932424">
                      <w:marLeft w:val="0"/>
                      <w:marRight w:val="0"/>
                      <w:marTop w:val="0"/>
                      <w:marBottom w:val="0"/>
                      <w:divBdr>
                        <w:top w:val="none" w:sz="0" w:space="0" w:color="auto"/>
                        <w:left w:val="none" w:sz="0" w:space="0" w:color="auto"/>
                        <w:bottom w:val="none" w:sz="0" w:space="0" w:color="auto"/>
                        <w:right w:val="none" w:sz="0" w:space="0" w:color="auto"/>
                      </w:divBdr>
                    </w:div>
                    <w:div w:id="159004655">
                      <w:marLeft w:val="0"/>
                      <w:marRight w:val="0"/>
                      <w:marTop w:val="0"/>
                      <w:marBottom w:val="0"/>
                      <w:divBdr>
                        <w:top w:val="none" w:sz="0" w:space="0" w:color="auto"/>
                        <w:left w:val="none" w:sz="0" w:space="0" w:color="auto"/>
                        <w:bottom w:val="none" w:sz="0" w:space="0" w:color="auto"/>
                        <w:right w:val="none" w:sz="0" w:space="0" w:color="auto"/>
                      </w:divBdr>
                    </w:div>
                    <w:div w:id="273751125">
                      <w:marLeft w:val="0"/>
                      <w:marRight w:val="0"/>
                      <w:marTop w:val="0"/>
                      <w:marBottom w:val="0"/>
                      <w:divBdr>
                        <w:top w:val="none" w:sz="0" w:space="0" w:color="auto"/>
                        <w:left w:val="none" w:sz="0" w:space="0" w:color="auto"/>
                        <w:bottom w:val="none" w:sz="0" w:space="0" w:color="auto"/>
                        <w:right w:val="none" w:sz="0" w:space="0" w:color="auto"/>
                      </w:divBdr>
                    </w:div>
                    <w:div w:id="1061364342">
                      <w:marLeft w:val="0"/>
                      <w:marRight w:val="0"/>
                      <w:marTop w:val="0"/>
                      <w:marBottom w:val="0"/>
                      <w:divBdr>
                        <w:top w:val="none" w:sz="0" w:space="0" w:color="auto"/>
                        <w:left w:val="none" w:sz="0" w:space="0" w:color="auto"/>
                        <w:bottom w:val="none" w:sz="0" w:space="0" w:color="auto"/>
                        <w:right w:val="none" w:sz="0" w:space="0" w:color="auto"/>
                      </w:divBdr>
                    </w:div>
                    <w:div w:id="1126659214">
                      <w:marLeft w:val="0"/>
                      <w:marRight w:val="0"/>
                      <w:marTop w:val="0"/>
                      <w:marBottom w:val="0"/>
                      <w:divBdr>
                        <w:top w:val="none" w:sz="0" w:space="0" w:color="auto"/>
                        <w:left w:val="none" w:sz="0" w:space="0" w:color="auto"/>
                        <w:bottom w:val="none" w:sz="0" w:space="0" w:color="auto"/>
                        <w:right w:val="none" w:sz="0" w:space="0" w:color="auto"/>
                      </w:divBdr>
                    </w:div>
                    <w:div w:id="1596476170">
                      <w:marLeft w:val="0"/>
                      <w:marRight w:val="0"/>
                      <w:marTop w:val="0"/>
                      <w:marBottom w:val="0"/>
                      <w:divBdr>
                        <w:top w:val="none" w:sz="0" w:space="0" w:color="auto"/>
                        <w:left w:val="none" w:sz="0" w:space="0" w:color="auto"/>
                        <w:bottom w:val="none" w:sz="0" w:space="0" w:color="auto"/>
                        <w:right w:val="none" w:sz="0" w:space="0" w:color="auto"/>
                      </w:divBdr>
                    </w:div>
                  </w:divsChild>
                </w:div>
                <w:div w:id="622421658">
                  <w:marLeft w:val="0"/>
                  <w:marRight w:val="0"/>
                  <w:marTop w:val="0"/>
                  <w:marBottom w:val="0"/>
                  <w:divBdr>
                    <w:top w:val="none" w:sz="0" w:space="0" w:color="auto"/>
                    <w:left w:val="none" w:sz="0" w:space="0" w:color="auto"/>
                    <w:bottom w:val="none" w:sz="0" w:space="0" w:color="auto"/>
                    <w:right w:val="none" w:sz="0" w:space="0" w:color="auto"/>
                  </w:divBdr>
                  <w:divsChild>
                    <w:div w:id="1803620517">
                      <w:marLeft w:val="0"/>
                      <w:marRight w:val="0"/>
                      <w:marTop w:val="0"/>
                      <w:marBottom w:val="0"/>
                      <w:divBdr>
                        <w:top w:val="none" w:sz="0" w:space="0" w:color="auto"/>
                        <w:left w:val="none" w:sz="0" w:space="0" w:color="auto"/>
                        <w:bottom w:val="none" w:sz="0" w:space="0" w:color="auto"/>
                        <w:right w:val="none" w:sz="0" w:space="0" w:color="auto"/>
                      </w:divBdr>
                    </w:div>
                  </w:divsChild>
                </w:div>
                <w:div w:id="663122900">
                  <w:marLeft w:val="0"/>
                  <w:marRight w:val="0"/>
                  <w:marTop w:val="0"/>
                  <w:marBottom w:val="0"/>
                  <w:divBdr>
                    <w:top w:val="none" w:sz="0" w:space="0" w:color="auto"/>
                    <w:left w:val="none" w:sz="0" w:space="0" w:color="auto"/>
                    <w:bottom w:val="none" w:sz="0" w:space="0" w:color="auto"/>
                    <w:right w:val="none" w:sz="0" w:space="0" w:color="auto"/>
                  </w:divBdr>
                  <w:divsChild>
                    <w:div w:id="20785076">
                      <w:marLeft w:val="0"/>
                      <w:marRight w:val="0"/>
                      <w:marTop w:val="0"/>
                      <w:marBottom w:val="0"/>
                      <w:divBdr>
                        <w:top w:val="none" w:sz="0" w:space="0" w:color="auto"/>
                        <w:left w:val="none" w:sz="0" w:space="0" w:color="auto"/>
                        <w:bottom w:val="none" w:sz="0" w:space="0" w:color="auto"/>
                        <w:right w:val="none" w:sz="0" w:space="0" w:color="auto"/>
                      </w:divBdr>
                    </w:div>
                    <w:div w:id="85157964">
                      <w:marLeft w:val="0"/>
                      <w:marRight w:val="0"/>
                      <w:marTop w:val="0"/>
                      <w:marBottom w:val="0"/>
                      <w:divBdr>
                        <w:top w:val="none" w:sz="0" w:space="0" w:color="auto"/>
                        <w:left w:val="none" w:sz="0" w:space="0" w:color="auto"/>
                        <w:bottom w:val="none" w:sz="0" w:space="0" w:color="auto"/>
                        <w:right w:val="none" w:sz="0" w:space="0" w:color="auto"/>
                      </w:divBdr>
                    </w:div>
                    <w:div w:id="180631061">
                      <w:marLeft w:val="0"/>
                      <w:marRight w:val="0"/>
                      <w:marTop w:val="0"/>
                      <w:marBottom w:val="0"/>
                      <w:divBdr>
                        <w:top w:val="none" w:sz="0" w:space="0" w:color="auto"/>
                        <w:left w:val="none" w:sz="0" w:space="0" w:color="auto"/>
                        <w:bottom w:val="none" w:sz="0" w:space="0" w:color="auto"/>
                        <w:right w:val="none" w:sz="0" w:space="0" w:color="auto"/>
                      </w:divBdr>
                    </w:div>
                    <w:div w:id="576476917">
                      <w:marLeft w:val="0"/>
                      <w:marRight w:val="0"/>
                      <w:marTop w:val="0"/>
                      <w:marBottom w:val="0"/>
                      <w:divBdr>
                        <w:top w:val="none" w:sz="0" w:space="0" w:color="auto"/>
                        <w:left w:val="none" w:sz="0" w:space="0" w:color="auto"/>
                        <w:bottom w:val="none" w:sz="0" w:space="0" w:color="auto"/>
                        <w:right w:val="none" w:sz="0" w:space="0" w:color="auto"/>
                      </w:divBdr>
                    </w:div>
                    <w:div w:id="711539076">
                      <w:marLeft w:val="0"/>
                      <w:marRight w:val="0"/>
                      <w:marTop w:val="0"/>
                      <w:marBottom w:val="0"/>
                      <w:divBdr>
                        <w:top w:val="none" w:sz="0" w:space="0" w:color="auto"/>
                        <w:left w:val="none" w:sz="0" w:space="0" w:color="auto"/>
                        <w:bottom w:val="none" w:sz="0" w:space="0" w:color="auto"/>
                        <w:right w:val="none" w:sz="0" w:space="0" w:color="auto"/>
                      </w:divBdr>
                    </w:div>
                    <w:div w:id="1208644751">
                      <w:marLeft w:val="0"/>
                      <w:marRight w:val="0"/>
                      <w:marTop w:val="0"/>
                      <w:marBottom w:val="0"/>
                      <w:divBdr>
                        <w:top w:val="none" w:sz="0" w:space="0" w:color="auto"/>
                        <w:left w:val="none" w:sz="0" w:space="0" w:color="auto"/>
                        <w:bottom w:val="none" w:sz="0" w:space="0" w:color="auto"/>
                        <w:right w:val="none" w:sz="0" w:space="0" w:color="auto"/>
                      </w:divBdr>
                    </w:div>
                    <w:div w:id="1414622130">
                      <w:marLeft w:val="0"/>
                      <w:marRight w:val="0"/>
                      <w:marTop w:val="0"/>
                      <w:marBottom w:val="0"/>
                      <w:divBdr>
                        <w:top w:val="none" w:sz="0" w:space="0" w:color="auto"/>
                        <w:left w:val="none" w:sz="0" w:space="0" w:color="auto"/>
                        <w:bottom w:val="none" w:sz="0" w:space="0" w:color="auto"/>
                        <w:right w:val="none" w:sz="0" w:space="0" w:color="auto"/>
                      </w:divBdr>
                    </w:div>
                    <w:div w:id="2007321021">
                      <w:marLeft w:val="0"/>
                      <w:marRight w:val="0"/>
                      <w:marTop w:val="0"/>
                      <w:marBottom w:val="0"/>
                      <w:divBdr>
                        <w:top w:val="none" w:sz="0" w:space="0" w:color="auto"/>
                        <w:left w:val="none" w:sz="0" w:space="0" w:color="auto"/>
                        <w:bottom w:val="none" w:sz="0" w:space="0" w:color="auto"/>
                        <w:right w:val="none" w:sz="0" w:space="0" w:color="auto"/>
                      </w:divBdr>
                    </w:div>
                  </w:divsChild>
                </w:div>
                <w:div w:id="1005131184">
                  <w:marLeft w:val="0"/>
                  <w:marRight w:val="0"/>
                  <w:marTop w:val="0"/>
                  <w:marBottom w:val="0"/>
                  <w:divBdr>
                    <w:top w:val="none" w:sz="0" w:space="0" w:color="auto"/>
                    <w:left w:val="none" w:sz="0" w:space="0" w:color="auto"/>
                    <w:bottom w:val="none" w:sz="0" w:space="0" w:color="auto"/>
                    <w:right w:val="none" w:sz="0" w:space="0" w:color="auto"/>
                  </w:divBdr>
                  <w:divsChild>
                    <w:div w:id="78062946">
                      <w:marLeft w:val="0"/>
                      <w:marRight w:val="0"/>
                      <w:marTop w:val="0"/>
                      <w:marBottom w:val="0"/>
                      <w:divBdr>
                        <w:top w:val="none" w:sz="0" w:space="0" w:color="auto"/>
                        <w:left w:val="none" w:sz="0" w:space="0" w:color="auto"/>
                        <w:bottom w:val="none" w:sz="0" w:space="0" w:color="auto"/>
                        <w:right w:val="none" w:sz="0" w:space="0" w:color="auto"/>
                      </w:divBdr>
                    </w:div>
                  </w:divsChild>
                </w:div>
                <w:div w:id="1027634827">
                  <w:marLeft w:val="0"/>
                  <w:marRight w:val="0"/>
                  <w:marTop w:val="0"/>
                  <w:marBottom w:val="0"/>
                  <w:divBdr>
                    <w:top w:val="none" w:sz="0" w:space="0" w:color="auto"/>
                    <w:left w:val="none" w:sz="0" w:space="0" w:color="auto"/>
                    <w:bottom w:val="none" w:sz="0" w:space="0" w:color="auto"/>
                    <w:right w:val="none" w:sz="0" w:space="0" w:color="auto"/>
                  </w:divBdr>
                  <w:divsChild>
                    <w:div w:id="651493825">
                      <w:marLeft w:val="0"/>
                      <w:marRight w:val="0"/>
                      <w:marTop w:val="0"/>
                      <w:marBottom w:val="0"/>
                      <w:divBdr>
                        <w:top w:val="none" w:sz="0" w:space="0" w:color="auto"/>
                        <w:left w:val="none" w:sz="0" w:space="0" w:color="auto"/>
                        <w:bottom w:val="none" w:sz="0" w:space="0" w:color="auto"/>
                        <w:right w:val="none" w:sz="0" w:space="0" w:color="auto"/>
                      </w:divBdr>
                    </w:div>
                    <w:div w:id="737092350">
                      <w:marLeft w:val="0"/>
                      <w:marRight w:val="0"/>
                      <w:marTop w:val="0"/>
                      <w:marBottom w:val="0"/>
                      <w:divBdr>
                        <w:top w:val="none" w:sz="0" w:space="0" w:color="auto"/>
                        <w:left w:val="none" w:sz="0" w:space="0" w:color="auto"/>
                        <w:bottom w:val="none" w:sz="0" w:space="0" w:color="auto"/>
                        <w:right w:val="none" w:sz="0" w:space="0" w:color="auto"/>
                      </w:divBdr>
                    </w:div>
                    <w:div w:id="742876170">
                      <w:marLeft w:val="0"/>
                      <w:marRight w:val="0"/>
                      <w:marTop w:val="0"/>
                      <w:marBottom w:val="0"/>
                      <w:divBdr>
                        <w:top w:val="none" w:sz="0" w:space="0" w:color="auto"/>
                        <w:left w:val="none" w:sz="0" w:space="0" w:color="auto"/>
                        <w:bottom w:val="none" w:sz="0" w:space="0" w:color="auto"/>
                        <w:right w:val="none" w:sz="0" w:space="0" w:color="auto"/>
                      </w:divBdr>
                    </w:div>
                    <w:div w:id="914320777">
                      <w:marLeft w:val="0"/>
                      <w:marRight w:val="0"/>
                      <w:marTop w:val="0"/>
                      <w:marBottom w:val="0"/>
                      <w:divBdr>
                        <w:top w:val="none" w:sz="0" w:space="0" w:color="auto"/>
                        <w:left w:val="none" w:sz="0" w:space="0" w:color="auto"/>
                        <w:bottom w:val="none" w:sz="0" w:space="0" w:color="auto"/>
                        <w:right w:val="none" w:sz="0" w:space="0" w:color="auto"/>
                      </w:divBdr>
                    </w:div>
                    <w:div w:id="1635211792">
                      <w:marLeft w:val="0"/>
                      <w:marRight w:val="0"/>
                      <w:marTop w:val="0"/>
                      <w:marBottom w:val="0"/>
                      <w:divBdr>
                        <w:top w:val="none" w:sz="0" w:space="0" w:color="auto"/>
                        <w:left w:val="none" w:sz="0" w:space="0" w:color="auto"/>
                        <w:bottom w:val="none" w:sz="0" w:space="0" w:color="auto"/>
                        <w:right w:val="none" w:sz="0" w:space="0" w:color="auto"/>
                      </w:divBdr>
                    </w:div>
                    <w:div w:id="2024504696">
                      <w:marLeft w:val="0"/>
                      <w:marRight w:val="0"/>
                      <w:marTop w:val="0"/>
                      <w:marBottom w:val="0"/>
                      <w:divBdr>
                        <w:top w:val="none" w:sz="0" w:space="0" w:color="auto"/>
                        <w:left w:val="none" w:sz="0" w:space="0" w:color="auto"/>
                        <w:bottom w:val="none" w:sz="0" w:space="0" w:color="auto"/>
                        <w:right w:val="none" w:sz="0" w:space="0" w:color="auto"/>
                      </w:divBdr>
                    </w:div>
                  </w:divsChild>
                </w:div>
                <w:div w:id="1042292058">
                  <w:marLeft w:val="0"/>
                  <w:marRight w:val="0"/>
                  <w:marTop w:val="0"/>
                  <w:marBottom w:val="0"/>
                  <w:divBdr>
                    <w:top w:val="none" w:sz="0" w:space="0" w:color="auto"/>
                    <w:left w:val="none" w:sz="0" w:space="0" w:color="auto"/>
                    <w:bottom w:val="none" w:sz="0" w:space="0" w:color="auto"/>
                    <w:right w:val="none" w:sz="0" w:space="0" w:color="auto"/>
                  </w:divBdr>
                  <w:divsChild>
                    <w:div w:id="145243578">
                      <w:marLeft w:val="0"/>
                      <w:marRight w:val="0"/>
                      <w:marTop w:val="0"/>
                      <w:marBottom w:val="0"/>
                      <w:divBdr>
                        <w:top w:val="none" w:sz="0" w:space="0" w:color="auto"/>
                        <w:left w:val="none" w:sz="0" w:space="0" w:color="auto"/>
                        <w:bottom w:val="none" w:sz="0" w:space="0" w:color="auto"/>
                        <w:right w:val="none" w:sz="0" w:space="0" w:color="auto"/>
                      </w:divBdr>
                    </w:div>
                    <w:div w:id="986783798">
                      <w:marLeft w:val="0"/>
                      <w:marRight w:val="0"/>
                      <w:marTop w:val="0"/>
                      <w:marBottom w:val="0"/>
                      <w:divBdr>
                        <w:top w:val="none" w:sz="0" w:space="0" w:color="auto"/>
                        <w:left w:val="none" w:sz="0" w:space="0" w:color="auto"/>
                        <w:bottom w:val="none" w:sz="0" w:space="0" w:color="auto"/>
                        <w:right w:val="none" w:sz="0" w:space="0" w:color="auto"/>
                      </w:divBdr>
                    </w:div>
                  </w:divsChild>
                </w:div>
                <w:div w:id="1060783390">
                  <w:marLeft w:val="0"/>
                  <w:marRight w:val="0"/>
                  <w:marTop w:val="0"/>
                  <w:marBottom w:val="0"/>
                  <w:divBdr>
                    <w:top w:val="none" w:sz="0" w:space="0" w:color="auto"/>
                    <w:left w:val="none" w:sz="0" w:space="0" w:color="auto"/>
                    <w:bottom w:val="none" w:sz="0" w:space="0" w:color="auto"/>
                    <w:right w:val="none" w:sz="0" w:space="0" w:color="auto"/>
                  </w:divBdr>
                  <w:divsChild>
                    <w:div w:id="539437804">
                      <w:marLeft w:val="0"/>
                      <w:marRight w:val="0"/>
                      <w:marTop w:val="0"/>
                      <w:marBottom w:val="0"/>
                      <w:divBdr>
                        <w:top w:val="none" w:sz="0" w:space="0" w:color="auto"/>
                        <w:left w:val="none" w:sz="0" w:space="0" w:color="auto"/>
                        <w:bottom w:val="none" w:sz="0" w:space="0" w:color="auto"/>
                        <w:right w:val="none" w:sz="0" w:space="0" w:color="auto"/>
                      </w:divBdr>
                    </w:div>
                  </w:divsChild>
                </w:div>
                <w:div w:id="1107777704">
                  <w:marLeft w:val="0"/>
                  <w:marRight w:val="0"/>
                  <w:marTop w:val="0"/>
                  <w:marBottom w:val="0"/>
                  <w:divBdr>
                    <w:top w:val="none" w:sz="0" w:space="0" w:color="auto"/>
                    <w:left w:val="none" w:sz="0" w:space="0" w:color="auto"/>
                    <w:bottom w:val="none" w:sz="0" w:space="0" w:color="auto"/>
                    <w:right w:val="none" w:sz="0" w:space="0" w:color="auto"/>
                  </w:divBdr>
                  <w:divsChild>
                    <w:div w:id="1363359743">
                      <w:marLeft w:val="0"/>
                      <w:marRight w:val="0"/>
                      <w:marTop w:val="0"/>
                      <w:marBottom w:val="0"/>
                      <w:divBdr>
                        <w:top w:val="none" w:sz="0" w:space="0" w:color="auto"/>
                        <w:left w:val="none" w:sz="0" w:space="0" w:color="auto"/>
                        <w:bottom w:val="none" w:sz="0" w:space="0" w:color="auto"/>
                        <w:right w:val="none" w:sz="0" w:space="0" w:color="auto"/>
                      </w:divBdr>
                    </w:div>
                  </w:divsChild>
                </w:div>
                <w:div w:id="1150632193">
                  <w:marLeft w:val="0"/>
                  <w:marRight w:val="0"/>
                  <w:marTop w:val="0"/>
                  <w:marBottom w:val="0"/>
                  <w:divBdr>
                    <w:top w:val="none" w:sz="0" w:space="0" w:color="auto"/>
                    <w:left w:val="none" w:sz="0" w:space="0" w:color="auto"/>
                    <w:bottom w:val="none" w:sz="0" w:space="0" w:color="auto"/>
                    <w:right w:val="none" w:sz="0" w:space="0" w:color="auto"/>
                  </w:divBdr>
                  <w:divsChild>
                    <w:div w:id="545724169">
                      <w:marLeft w:val="0"/>
                      <w:marRight w:val="0"/>
                      <w:marTop w:val="0"/>
                      <w:marBottom w:val="0"/>
                      <w:divBdr>
                        <w:top w:val="none" w:sz="0" w:space="0" w:color="auto"/>
                        <w:left w:val="none" w:sz="0" w:space="0" w:color="auto"/>
                        <w:bottom w:val="none" w:sz="0" w:space="0" w:color="auto"/>
                        <w:right w:val="none" w:sz="0" w:space="0" w:color="auto"/>
                      </w:divBdr>
                    </w:div>
                    <w:div w:id="1458570869">
                      <w:marLeft w:val="0"/>
                      <w:marRight w:val="0"/>
                      <w:marTop w:val="0"/>
                      <w:marBottom w:val="0"/>
                      <w:divBdr>
                        <w:top w:val="none" w:sz="0" w:space="0" w:color="auto"/>
                        <w:left w:val="none" w:sz="0" w:space="0" w:color="auto"/>
                        <w:bottom w:val="none" w:sz="0" w:space="0" w:color="auto"/>
                        <w:right w:val="none" w:sz="0" w:space="0" w:color="auto"/>
                      </w:divBdr>
                    </w:div>
                    <w:div w:id="1756171580">
                      <w:marLeft w:val="0"/>
                      <w:marRight w:val="0"/>
                      <w:marTop w:val="0"/>
                      <w:marBottom w:val="0"/>
                      <w:divBdr>
                        <w:top w:val="none" w:sz="0" w:space="0" w:color="auto"/>
                        <w:left w:val="none" w:sz="0" w:space="0" w:color="auto"/>
                        <w:bottom w:val="none" w:sz="0" w:space="0" w:color="auto"/>
                        <w:right w:val="none" w:sz="0" w:space="0" w:color="auto"/>
                      </w:divBdr>
                    </w:div>
                  </w:divsChild>
                </w:div>
                <w:div w:id="1304458861">
                  <w:marLeft w:val="0"/>
                  <w:marRight w:val="0"/>
                  <w:marTop w:val="0"/>
                  <w:marBottom w:val="0"/>
                  <w:divBdr>
                    <w:top w:val="none" w:sz="0" w:space="0" w:color="auto"/>
                    <w:left w:val="none" w:sz="0" w:space="0" w:color="auto"/>
                    <w:bottom w:val="none" w:sz="0" w:space="0" w:color="auto"/>
                    <w:right w:val="none" w:sz="0" w:space="0" w:color="auto"/>
                  </w:divBdr>
                  <w:divsChild>
                    <w:div w:id="264465721">
                      <w:marLeft w:val="0"/>
                      <w:marRight w:val="0"/>
                      <w:marTop w:val="0"/>
                      <w:marBottom w:val="0"/>
                      <w:divBdr>
                        <w:top w:val="none" w:sz="0" w:space="0" w:color="auto"/>
                        <w:left w:val="none" w:sz="0" w:space="0" w:color="auto"/>
                        <w:bottom w:val="none" w:sz="0" w:space="0" w:color="auto"/>
                        <w:right w:val="none" w:sz="0" w:space="0" w:color="auto"/>
                      </w:divBdr>
                    </w:div>
                  </w:divsChild>
                </w:div>
                <w:div w:id="1358583366">
                  <w:marLeft w:val="0"/>
                  <w:marRight w:val="0"/>
                  <w:marTop w:val="0"/>
                  <w:marBottom w:val="0"/>
                  <w:divBdr>
                    <w:top w:val="none" w:sz="0" w:space="0" w:color="auto"/>
                    <w:left w:val="none" w:sz="0" w:space="0" w:color="auto"/>
                    <w:bottom w:val="none" w:sz="0" w:space="0" w:color="auto"/>
                    <w:right w:val="none" w:sz="0" w:space="0" w:color="auto"/>
                  </w:divBdr>
                  <w:divsChild>
                    <w:div w:id="729305089">
                      <w:marLeft w:val="0"/>
                      <w:marRight w:val="0"/>
                      <w:marTop w:val="0"/>
                      <w:marBottom w:val="0"/>
                      <w:divBdr>
                        <w:top w:val="none" w:sz="0" w:space="0" w:color="auto"/>
                        <w:left w:val="none" w:sz="0" w:space="0" w:color="auto"/>
                        <w:bottom w:val="none" w:sz="0" w:space="0" w:color="auto"/>
                        <w:right w:val="none" w:sz="0" w:space="0" w:color="auto"/>
                      </w:divBdr>
                    </w:div>
                    <w:div w:id="2046758141">
                      <w:marLeft w:val="0"/>
                      <w:marRight w:val="0"/>
                      <w:marTop w:val="0"/>
                      <w:marBottom w:val="0"/>
                      <w:divBdr>
                        <w:top w:val="none" w:sz="0" w:space="0" w:color="auto"/>
                        <w:left w:val="none" w:sz="0" w:space="0" w:color="auto"/>
                        <w:bottom w:val="none" w:sz="0" w:space="0" w:color="auto"/>
                        <w:right w:val="none" w:sz="0" w:space="0" w:color="auto"/>
                      </w:divBdr>
                    </w:div>
                    <w:div w:id="2131974737">
                      <w:marLeft w:val="0"/>
                      <w:marRight w:val="0"/>
                      <w:marTop w:val="0"/>
                      <w:marBottom w:val="0"/>
                      <w:divBdr>
                        <w:top w:val="none" w:sz="0" w:space="0" w:color="auto"/>
                        <w:left w:val="none" w:sz="0" w:space="0" w:color="auto"/>
                        <w:bottom w:val="none" w:sz="0" w:space="0" w:color="auto"/>
                        <w:right w:val="none" w:sz="0" w:space="0" w:color="auto"/>
                      </w:divBdr>
                    </w:div>
                  </w:divsChild>
                </w:div>
                <w:div w:id="1405492768">
                  <w:marLeft w:val="0"/>
                  <w:marRight w:val="0"/>
                  <w:marTop w:val="0"/>
                  <w:marBottom w:val="0"/>
                  <w:divBdr>
                    <w:top w:val="none" w:sz="0" w:space="0" w:color="auto"/>
                    <w:left w:val="none" w:sz="0" w:space="0" w:color="auto"/>
                    <w:bottom w:val="none" w:sz="0" w:space="0" w:color="auto"/>
                    <w:right w:val="none" w:sz="0" w:space="0" w:color="auto"/>
                  </w:divBdr>
                  <w:divsChild>
                    <w:div w:id="112601803">
                      <w:marLeft w:val="0"/>
                      <w:marRight w:val="0"/>
                      <w:marTop w:val="0"/>
                      <w:marBottom w:val="0"/>
                      <w:divBdr>
                        <w:top w:val="none" w:sz="0" w:space="0" w:color="auto"/>
                        <w:left w:val="none" w:sz="0" w:space="0" w:color="auto"/>
                        <w:bottom w:val="none" w:sz="0" w:space="0" w:color="auto"/>
                        <w:right w:val="none" w:sz="0" w:space="0" w:color="auto"/>
                      </w:divBdr>
                    </w:div>
                  </w:divsChild>
                </w:div>
                <w:div w:id="1412431921">
                  <w:marLeft w:val="0"/>
                  <w:marRight w:val="0"/>
                  <w:marTop w:val="0"/>
                  <w:marBottom w:val="0"/>
                  <w:divBdr>
                    <w:top w:val="none" w:sz="0" w:space="0" w:color="auto"/>
                    <w:left w:val="none" w:sz="0" w:space="0" w:color="auto"/>
                    <w:bottom w:val="none" w:sz="0" w:space="0" w:color="auto"/>
                    <w:right w:val="none" w:sz="0" w:space="0" w:color="auto"/>
                  </w:divBdr>
                  <w:divsChild>
                    <w:div w:id="522790143">
                      <w:marLeft w:val="0"/>
                      <w:marRight w:val="0"/>
                      <w:marTop w:val="0"/>
                      <w:marBottom w:val="0"/>
                      <w:divBdr>
                        <w:top w:val="none" w:sz="0" w:space="0" w:color="auto"/>
                        <w:left w:val="none" w:sz="0" w:space="0" w:color="auto"/>
                        <w:bottom w:val="none" w:sz="0" w:space="0" w:color="auto"/>
                        <w:right w:val="none" w:sz="0" w:space="0" w:color="auto"/>
                      </w:divBdr>
                    </w:div>
                    <w:div w:id="648752699">
                      <w:marLeft w:val="0"/>
                      <w:marRight w:val="0"/>
                      <w:marTop w:val="0"/>
                      <w:marBottom w:val="0"/>
                      <w:divBdr>
                        <w:top w:val="none" w:sz="0" w:space="0" w:color="auto"/>
                        <w:left w:val="none" w:sz="0" w:space="0" w:color="auto"/>
                        <w:bottom w:val="none" w:sz="0" w:space="0" w:color="auto"/>
                        <w:right w:val="none" w:sz="0" w:space="0" w:color="auto"/>
                      </w:divBdr>
                    </w:div>
                    <w:div w:id="1164320627">
                      <w:marLeft w:val="0"/>
                      <w:marRight w:val="0"/>
                      <w:marTop w:val="0"/>
                      <w:marBottom w:val="0"/>
                      <w:divBdr>
                        <w:top w:val="none" w:sz="0" w:space="0" w:color="auto"/>
                        <w:left w:val="none" w:sz="0" w:space="0" w:color="auto"/>
                        <w:bottom w:val="none" w:sz="0" w:space="0" w:color="auto"/>
                        <w:right w:val="none" w:sz="0" w:space="0" w:color="auto"/>
                      </w:divBdr>
                    </w:div>
                    <w:div w:id="1921059982">
                      <w:marLeft w:val="0"/>
                      <w:marRight w:val="0"/>
                      <w:marTop w:val="0"/>
                      <w:marBottom w:val="0"/>
                      <w:divBdr>
                        <w:top w:val="none" w:sz="0" w:space="0" w:color="auto"/>
                        <w:left w:val="none" w:sz="0" w:space="0" w:color="auto"/>
                        <w:bottom w:val="none" w:sz="0" w:space="0" w:color="auto"/>
                        <w:right w:val="none" w:sz="0" w:space="0" w:color="auto"/>
                      </w:divBdr>
                    </w:div>
                    <w:div w:id="2082557769">
                      <w:marLeft w:val="0"/>
                      <w:marRight w:val="0"/>
                      <w:marTop w:val="0"/>
                      <w:marBottom w:val="0"/>
                      <w:divBdr>
                        <w:top w:val="none" w:sz="0" w:space="0" w:color="auto"/>
                        <w:left w:val="none" w:sz="0" w:space="0" w:color="auto"/>
                        <w:bottom w:val="none" w:sz="0" w:space="0" w:color="auto"/>
                        <w:right w:val="none" w:sz="0" w:space="0" w:color="auto"/>
                      </w:divBdr>
                    </w:div>
                  </w:divsChild>
                </w:div>
                <w:div w:id="1424760150">
                  <w:marLeft w:val="0"/>
                  <w:marRight w:val="0"/>
                  <w:marTop w:val="0"/>
                  <w:marBottom w:val="0"/>
                  <w:divBdr>
                    <w:top w:val="none" w:sz="0" w:space="0" w:color="auto"/>
                    <w:left w:val="none" w:sz="0" w:space="0" w:color="auto"/>
                    <w:bottom w:val="none" w:sz="0" w:space="0" w:color="auto"/>
                    <w:right w:val="none" w:sz="0" w:space="0" w:color="auto"/>
                  </w:divBdr>
                  <w:divsChild>
                    <w:div w:id="1651520458">
                      <w:marLeft w:val="0"/>
                      <w:marRight w:val="0"/>
                      <w:marTop w:val="0"/>
                      <w:marBottom w:val="0"/>
                      <w:divBdr>
                        <w:top w:val="none" w:sz="0" w:space="0" w:color="auto"/>
                        <w:left w:val="none" w:sz="0" w:space="0" w:color="auto"/>
                        <w:bottom w:val="none" w:sz="0" w:space="0" w:color="auto"/>
                        <w:right w:val="none" w:sz="0" w:space="0" w:color="auto"/>
                      </w:divBdr>
                    </w:div>
                  </w:divsChild>
                </w:div>
                <w:div w:id="1605577575">
                  <w:marLeft w:val="0"/>
                  <w:marRight w:val="0"/>
                  <w:marTop w:val="0"/>
                  <w:marBottom w:val="0"/>
                  <w:divBdr>
                    <w:top w:val="none" w:sz="0" w:space="0" w:color="auto"/>
                    <w:left w:val="none" w:sz="0" w:space="0" w:color="auto"/>
                    <w:bottom w:val="none" w:sz="0" w:space="0" w:color="auto"/>
                    <w:right w:val="none" w:sz="0" w:space="0" w:color="auto"/>
                  </w:divBdr>
                  <w:divsChild>
                    <w:div w:id="437532495">
                      <w:marLeft w:val="0"/>
                      <w:marRight w:val="0"/>
                      <w:marTop w:val="0"/>
                      <w:marBottom w:val="0"/>
                      <w:divBdr>
                        <w:top w:val="none" w:sz="0" w:space="0" w:color="auto"/>
                        <w:left w:val="none" w:sz="0" w:space="0" w:color="auto"/>
                        <w:bottom w:val="none" w:sz="0" w:space="0" w:color="auto"/>
                        <w:right w:val="none" w:sz="0" w:space="0" w:color="auto"/>
                      </w:divBdr>
                    </w:div>
                  </w:divsChild>
                </w:div>
                <w:div w:id="1670057393">
                  <w:marLeft w:val="0"/>
                  <w:marRight w:val="0"/>
                  <w:marTop w:val="0"/>
                  <w:marBottom w:val="0"/>
                  <w:divBdr>
                    <w:top w:val="none" w:sz="0" w:space="0" w:color="auto"/>
                    <w:left w:val="none" w:sz="0" w:space="0" w:color="auto"/>
                    <w:bottom w:val="none" w:sz="0" w:space="0" w:color="auto"/>
                    <w:right w:val="none" w:sz="0" w:space="0" w:color="auto"/>
                  </w:divBdr>
                  <w:divsChild>
                    <w:div w:id="168720151">
                      <w:marLeft w:val="0"/>
                      <w:marRight w:val="0"/>
                      <w:marTop w:val="0"/>
                      <w:marBottom w:val="0"/>
                      <w:divBdr>
                        <w:top w:val="none" w:sz="0" w:space="0" w:color="auto"/>
                        <w:left w:val="none" w:sz="0" w:space="0" w:color="auto"/>
                        <w:bottom w:val="none" w:sz="0" w:space="0" w:color="auto"/>
                        <w:right w:val="none" w:sz="0" w:space="0" w:color="auto"/>
                      </w:divBdr>
                    </w:div>
                    <w:div w:id="263533797">
                      <w:marLeft w:val="0"/>
                      <w:marRight w:val="0"/>
                      <w:marTop w:val="0"/>
                      <w:marBottom w:val="0"/>
                      <w:divBdr>
                        <w:top w:val="none" w:sz="0" w:space="0" w:color="auto"/>
                        <w:left w:val="none" w:sz="0" w:space="0" w:color="auto"/>
                        <w:bottom w:val="none" w:sz="0" w:space="0" w:color="auto"/>
                        <w:right w:val="none" w:sz="0" w:space="0" w:color="auto"/>
                      </w:divBdr>
                    </w:div>
                    <w:div w:id="1536769122">
                      <w:marLeft w:val="0"/>
                      <w:marRight w:val="0"/>
                      <w:marTop w:val="0"/>
                      <w:marBottom w:val="0"/>
                      <w:divBdr>
                        <w:top w:val="none" w:sz="0" w:space="0" w:color="auto"/>
                        <w:left w:val="none" w:sz="0" w:space="0" w:color="auto"/>
                        <w:bottom w:val="none" w:sz="0" w:space="0" w:color="auto"/>
                        <w:right w:val="none" w:sz="0" w:space="0" w:color="auto"/>
                      </w:divBdr>
                    </w:div>
                  </w:divsChild>
                </w:div>
                <w:div w:id="1708792801">
                  <w:marLeft w:val="0"/>
                  <w:marRight w:val="0"/>
                  <w:marTop w:val="0"/>
                  <w:marBottom w:val="0"/>
                  <w:divBdr>
                    <w:top w:val="none" w:sz="0" w:space="0" w:color="auto"/>
                    <w:left w:val="none" w:sz="0" w:space="0" w:color="auto"/>
                    <w:bottom w:val="none" w:sz="0" w:space="0" w:color="auto"/>
                    <w:right w:val="none" w:sz="0" w:space="0" w:color="auto"/>
                  </w:divBdr>
                  <w:divsChild>
                    <w:div w:id="71435287">
                      <w:marLeft w:val="0"/>
                      <w:marRight w:val="0"/>
                      <w:marTop w:val="0"/>
                      <w:marBottom w:val="0"/>
                      <w:divBdr>
                        <w:top w:val="none" w:sz="0" w:space="0" w:color="auto"/>
                        <w:left w:val="none" w:sz="0" w:space="0" w:color="auto"/>
                        <w:bottom w:val="none" w:sz="0" w:space="0" w:color="auto"/>
                        <w:right w:val="none" w:sz="0" w:space="0" w:color="auto"/>
                      </w:divBdr>
                    </w:div>
                    <w:div w:id="199320277">
                      <w:marLeft w:val="0"/>
                      <w:marRight w:val="0"/>
                      <w:marTop w:val="0"/>
                      <w:marBottom w:val="0"/>
                      <w:divBdr>
                        <w:top w:val="none" w:sz="0" w:space="0" w:color="auto"/>
                        <w:left w:val="none" w:sz="0" w:space="0" w:color="auto"/>
                        <w:bottom w:val="none" w:sz="0" w:space="0" w:color="auto"/>
                        <w:right w:val="none" w:sz="0" w:space="0" w:color="auto"/>
                      </w:divBdr>
                    </w:div>
                    <w:div w:id="594437449">
                      <w:marLeft w:val="0"/>
                      <w:marRight w:val="0"/>
                      <w:marTop w:val="0"/>
                      <w:marBottom w:val="0"/>
                      <w:divBdr>
                        <w:top w:val="none" w:sz="0" w:space="0" w:color="auto"/>
                        <w:left w:val="none" w:sz="0" w:space="0" w:color="auto"/>
                        <w:bottom w:val="none" w:sz="0" w:space="0" w:color="auto"/>
                        <w:right w:val="none" w:sz="0" w:space="0" w:color="auto"/>
                      </w:divBdr>
                    </w:div>
                    <w:div w:id="828715998">
                      <w:marLeft w:val="0"/>
                      <w:marRight w:val="0"/>
                      <w:marTop w:val="0"/>
                      <w:marBottom w:val="0"/>
                      <w:divBdr>
                        <w:top w:val="none" w:sz="0" w:space="0" w:color="auto"/>
                        <w:left w:val="none" w:sz="0" w:space="0" w:color="auto"/>
                        <w:bottom w:val="none" w:sz="0" w:space="0" w:color="auto"/>
                        <w:right w:val="none" w:sz="0" w:space="0" w:color="auto"/>
                      </w:divBdr>
                    </w:div>
                  </w:divsChild>
                </w:div>
                <w:div w:id="1790928239">
                  <w:marLeft w:val="0"/>
                  <w:marRight w:val="0"/>
                  <w:marTop w:val="0"/>
                  <w:marBottom w:val="0"/>
                  <w:divBdr>
                    <w:top w:val="none" w:sz="0" w:space="0" w:color="auto"/>
                    <w:left w:val="none" w:sz="0" w:space="0" w:color="auto"/>
                    <w:bottom w:val="none" w:sz="0" w:space="0" w:color="auto"/>
                    <w:right w:val="none" w:sz="0" w:space="0" w:color="auto"/>
                  </w:divBdr>
                  <w:divsChild>
                    <w:div w:id="573710758">
                      <w:marLeft w:val="0"/>
                      <w:marRight w:val="0"/>
                      <w:marTop w:val="0"/>
                      <w:marBottom w:val="0"/>
                      <w:divBdr>
                        <w:top w:val="none" w:sz="0" w:space="0" w:color="auto"/>
                        <w:left w:val="none" w:sz="0" w:space="0" w:color="auto"/>
                        <w:bottom w:val="none" w:sz="0" w:space="0" w:color="auto"/>
                        <w:right w:val="none" w:sz="0" w:space="0" w:color="auto"/>
                      </w:divBdr>
                    </w:div>
                  </w:divsChild>
                </w:div>
                <w:div w:id="1839729059">
                  <w:marLeft w:val="0"/>
                  <w:marRight w:val="0"/>
                  <w:marTop w:val="0"/>
                  <w:marBottom w:val="0"/>
                  <w:divBdr>
                    <w:top w:val="none" w:sz="0" w:space="0" w:color="auto"/>
                    <w:left w:val="none" w:sz="0" w:space="0" w:color="auto"/>
                    <w:bottom w:val="none" w:sz="0" w:space="0" w:color="auto"/>
                    <w:right w:val="none" w:sz="0" w:space="0" w:color="auto"/>
                  </w:divBdr>
                  <w:divsChild>
                    <w:div w:id="1205172108">
                      <w:marLeft w:val="0"/>
                      <w:marRight w:val="0"/>
                      <w:marTop w:val="0"/>
                      <w:marBottom w:val="0"/>
                      <w:divBdr>
                        <w:top w:val="none" w:sz="0" w:space="0" w:color="auto"/>
                        <w:left w:val="none" w:sz="0" w:space="0" w:color="auto"/>
                        <w:bottom w:val="none" w:sz="0" w:space="0" w:color="auto"/>
                        <w:right w:val="none" w:sz="0" w:space="0" w:color="auto"/>
                      </w:divBdr>
                    </w:div>
                  </w:divsChild>
                </w:div>
                <w:div w:id="1850174310">
                  <w:marLeft w:val="0"/>
                  <w:marRight w:val="0"/>
                  <w:marTop w:val="0"/>
                  <w:marBottom w:val="0"/>
                  <w:divBdr>
                    <w:top w:val="none" w:sz="0" w:space="0" w:color="auto"/>
                    <w:left w:val="none" w:sz="0" w:space="0" w:color="auto"/>
                    <w:bottom w:val="none" w:sz="0" w:space="0" w:color="auto"/>
                    <w:right w:val="none" w:sz="0" w:space="0" w:color="auto"/>
                  </w:divBdr>
                  <w:divsChild>
                    <w:div w:id="494996857">
                      <w:marLeft w:val="0"/>
                      <w:marRight w:val="0"/>
                      <w:marTop w:val="0"/>
                      <w:marBottom w:val="0"/>
                      <w:divBdr>
                        <w:top w:val="none" w:sz="0" w:space="0" w:color="auto"/>
                        <w:left w:val="none" w:sz="0" w:space="0" w:color="auto"/>
                        <w:bottom w:val="none" w:sz="0" w:space="0" w:color="auto"/>
                        <w:right w:val="none" w:sz="0" w:space="0" w:color="auto"/>
                      </w:divBdr>
                    </w:div>
                    <w:div w:id="1940871333">
                      <w:marLeft w:val="0"/>
                      <w:marRight w:val="0"/>
                      <w:marTop w:val="0"/>
                      <w:marBottom w:val="0"/>
                      <w:divBdr>
                        <w:top w:val="none" w:sz="0" w:space="0" w:color="auto"/>
                        <w:left w:val="none" w:sz="0" w:space="0" w:color="auto"/>
                        <w:bottom w:val="none" w:sz="0" w:space="0" w:color="auto"/>
                        <w:right w:val="none" w:sz="0" w:space="0" w:color="auto"/>
                      </w:divBdr>
                    </w:div>
                  </w:divsChild>
                </w:div>
                <w:div w:id="1891770401">
                  <w:marLeft w:val="0"/>
                  <w:marRight w:val="0"/>
                  <w:marTop w:val="0"/>
                  <w:marBottom w:val="0"/>
                  <w:divBdr>
                    <w:top w:val="none" w:sz="0" w:space="0" w:color="auto"/>
                    <w:left w:val="none" w:sz="0" w:space="0" w:color="auto"/>
                    <w:bottom w:val="none" w:sz="0" w:space="0" w:color="auto"/>
                    <w:right w:val="none" w:sz="0" w:space="0" w:color="auto"/>
                  </w:divBdr>
                  <w:divsChild>
                    <w:div w:id="637225625">
                      <w:marLeft w:val="0"/>
                      <w:marRight w:val="0"/>
                      <w:marTop w:val="0"/>
                      <w:marBottom w:val="0"/>
                      <w:divBdr>
                        <w:top w:val="none" w:sz="0" w:space="0" w:color="auto"/>
                        <w:left w:val="none" w:sz="0" w:space="0" w:color="auto"/>
                        <w:bottom w:val="none" w:sz="0" w:space="0" w:color="auto"/>
                        <w:right w:val="none" w:sz="0" w:space="0" w:color="auto"/>
                      </w:divBdr>
                    </w:div>
                    <w:div w:id="1985697801">
                      <w:marLeft w:val="0"/>
                      <w:marRight w:val="0"/>
                      <w:marTop w:val="0"/>
                      <w:marBottom w:val="0"/>
                      <w:divBdr>
                        <w:top w:val="none" w:sz="0" w:space="0" w:color="auto"/>
                        <w:left w:val="none" w:sz="0" w:space="0" w:color="auto"/>
                        <w:bottom w:val="none" w:sz="0" w:space="0" w:color="auto"/>
                        <w:right w:val="none" w:sz="0" w:space="0" w:color="auto"/>
                      </w:divBdr>
                    </w:div>
                  </w:divsChild>
                </w:div>
                <w:div w:id="2102750617">
                  <w:marLeft w:val="0"/>
                  <w:marRight w:val="0"/>
                  <w:marTop w:val="0"/>
                  <w:marBottom w:val="0"/>
                  <w:divBdr>
                    <w:top w:val="none" w:sz="0" w:space="0" w:color="auto"/>
                    <w:left w:val="none" w:sz="0" w:space="0" w:color="auto"/>
                    <w:bottom w:val="none" w:sz="0" w:space="0" w:color="auto"/>
                    <w:right w:val="none" w:sz="0" w:space="0" w:color="auto"/>
                  </w:divBdr>
                  <w:divsChild>
                    <w:div w:id="1266496869">
                      <w:marLeft w:val="0"/>
                      <w:marRight w:val="0"/>
                      <w:marTop w:val="0"/>
                      <w:marBottom w:val="0"/>
                      <w:divBdr>
                        <w:top w:val="none" w:sz="0" w:space="0" w:color="auto"/>
                        <w:left w:val="none" w:sz="0" w:space="0" w:color="auto"/>
                        <w:bottom w:val="none" w:sz="0" w:space="0" w:color="auto"/>
                        <w:right w:val="none" w:sz="0" w:space="0" w:color="auto"/>
                      </w:divBdr>
                    </w:div>
                  </w:divsChild>
                </w:div>
                <w:div w:id="2133749401">
                  <w:marLeft w:val="0"/>
                  <w:marRight w:val="0"/>
                  <w:marTop w:val="0"/>
                  <w:marBottom w:val="0"/>
                  <w:divBdr>
                    <w:top w:val="none" w:sz="0" w:space="0" w:color="auto"/>
                    <w:left w:val="none" w:sz="0" w:space="0" w:color="auto"/>
                    <w:bottom w:val="none" w:sz="0" w:space="0" w:color="auto"/>
                    <w:right w:val="none" w:sz="0" w:space="0" w:color="auto"/>
                  </w:divBdr>
                  <w:divsChild>
                    <w:div w:id="893001290">
                      <w:marLeft w:val="0"/>
                      <w:marRight w:val="0"/>
                      <w:marTop w:val="0"/>
                      <w:marBottom w:val="0"/>
                      <w:divBdr>
                        <w:top w:val="none" w:sz="0" w:space="0" w:color="auto"/>
                        <w:left w:val="none" w:sz="0" w:space="0" w:color="auto"/>
                        <w:bottom w:val="none" w:sz="0" w:space="0" w:color="auto"/>
                        <w:right w:val="none" w:sz="0" w:space="0" w:color="auto"/>
                      </w:divBdr>
                    </w:div>
                  </w:divsChild>
                </w:div>
                <w:div w:id="2135898917">
                  <w:marLeft w:val="0"/>
                  <w:marRight w:val="0"/>
                  <w:marTop w:val="0"/>
                  <w:marBottom w:val="0"/>
                  <w:divBdr>
                    <w:top w:val="none" w:sz="0" w:space="0" w:color="auto"/>
                    <w:left w:val="none" w:sz="0" w:space="0" w:color="auto"/>
                    <w:bottom w:val="none" w:sz="0" w:space="0" w:color="auto"/>
                    <w:right w:val="none" w:sz="0" w:space="0" w:color="auto"/>
                  </w:divBdr>
                  <w:divsChild>
                    <w:div w:id="434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075570">
      <w:bodyDiv w:val="1"/>
      <w:marLeft w:val="0"/>
      <w:marRight w:val="0"/>
      <w:marTop w:val="0"/>
      <w:marBottom w:val="0"/>
      <w:divBdr>
        <w:top w:val="none" w:sz="0" w:space="0" w:color="auto"/>
        <w:left w:val="none" w:sz="0" w:space="0" w:color="auto"/>
        <w:bottom w:val="none" w:sz="0" w:space="0" w:color="auto"/>
        <w:right w:val="none" w:sz="0" w:space="0" w:color="auto"/>
      </w:divBdr>
    </w:div>
    <w:div w:id="382100348">
      <w:bodyDiv w:val="1"/>
      <w:marLeft w:val="0"/>
      <w:marRight w:val="0"/>
      <w:marTop w:val="0"/>
      <w:marBottom w:val="0"/>
      <w:divBdr>
        <w:top w:val="none" w:sz="0" w:space="0" w:color="auto"/>
        <w:left w:val="none" w:sz="0" w:space="0" w:color="auto"/>
        <w:bottom w:val="none" w:sz="0" w:space="0" w:color="auto"/>
        <w:right w:val="none" w:sz="0" w:space="0" w:color="auto"/>
      </w:divBdr>
    </w:div>
    <w:div w:id="395981294">
      <w:bodyDiv w:val="1"/>
      <w:marLeft w:val="0"/>
      <w:marRight w:val="0"/>
      <w:marTop w:val="0"/>
      <w:marBottom w:val="0"/>
      <w:divBdr>
        <w:top w:val="none" w:sz="0" w:space="0" w:color="auto"/>
        <w:left w:val="none" w:sz="0" w:space="0" w:color="auto"/>
        <w:bottom w:val="none" w:sz="0" w:space="0" w:color="auto"/>
        <w:right w:val="none" w:sz="0" w:space="0" w:color="auto"/>
      </w:divBdr>
    </w:div>
    <w:div w:id="404959210">
      <w:bodyDiv w:val="1"/>
      <w:marLeft w:val="0"/>
      <w:marRight w:val="0"/>
      <w:marTop w:val="0"/>
      <w:marBottom w:val="0"/>
      <w:divBdr>
        <w:top w:val="none" w:sz="0" w:space="0" w:color="auto"/>
        <w:left w:val="none" w:sz="0" w:space="0" w:color="auto"/>
        <w:bottom w:val="none" w:sz="0" w:space="0" w:color="auto"/>
        <w:right w:val="none" w:sz="0" w:space="0" w:color="auto"/>
      </w:divBdr>
    </w:div>
    <w:div w:id="422805309">
      <w:bodyDiv w:val="1"/>
      <w:marLeft w:val="0"/>
      <w:marRight w:val="0"/>
      <w:marTop w:val="0"/>
      <w:marBottom w:val="0"/>
      <w:divBdr>
        <w:top w:val="none" w:sz="0" w:space="0" w:color="auto"/>
        <w:left w:val="none" w:sz="0" w:space="0" w:color="auto"/>
        <w:bottom w:val="none" w:sz="0" w:space="0" w:color="auto"/>
        <w:right w:val="none" w:sz="0" w:space="0" w:color="auto"/>
      </w:divBdr>
      <w:divsChild>
        <w:div w:id="714233836">
          <w:marLeft w:val="0"/>
          <w:marRight w:val="0"/>
          <w:marTop w:val="0"/>
          <w:marBottom w:val="0"/>
          <w:divBdr>
            <w:top w:val="none" w:sz="0" w:space="0" w:color="auto"/>
            <w:left w:val="none" w:sz="0" w:space="0" w:color="auto"/>
            <w:bottom w:val="none" w:sz="0" w:space="0" w:color="auto"/>
            <w:right w:val="none" w:sz="0" w:space="0" w:color="auto"/>
          </w:divBdr>
        </w:div>
        <w:div w:id="1059324516">
          <w:marLeft w:val="0"/>
          <w:marRight w:val="0"/>
          <w:marTop w:val="0"/>
          <w:marBottom w:val="0"/>
          <w:divBdr>
            <w:top w:val="none" w:sz="0" w:space="0" w:color="auto"/>
            <w:left w:val="none" w:sz="0" w:space="0" w:color="auto"/>
            <w:bottom w:val="none" w:sz="0" w:space="0" w:color="auto"/>
            <w:right w:val="none" w:sz="0" w:space="0" w:color="auto"/>
          </w:divBdr>
          <w:divsChild>
            <w:div w:id="4018426">
              <w:marLeft w:val="0"/>
              <w:marRight w:val="0"/>
              <w:marTop w:val="0"/>
              <w:marBottom w:val="0"/>
              <w:divBdr>
                <w:top w:val="none" w:sz="0" w:space="0" w:color="auto"/>
                <w:left w:val="none" w:sz="0" w:space="0" w:color="auto"/>
                <w:bottom w:val="none" w:sz="0" w:space="0" w:color="auto"/>
                <w:right w:val="none" w:sz="0" w:space="0" w:color="auto"/>
              </w:divBdr>
            </w:div>
            <w:div w:id="12732948">
              <w:marLeft w:val="0"/>
              <w:marRight w:val="0"/>
              <w:marTop w:val="0"/>
              <w:marBottom w:val="0"/>
              <w:divBdr>
                <w:top w:val="none" w:sz="0" w:space="0" w:color="auto"/>
                <w:left w:val="none" w:sz="0" w:space="0" w:color="auto"/>
                <w:bottom w:val="none" w:sz="0" w:space="0" w:color="auto"/>
                <w:right w:val="none" w:sz="0" w:space="0" w:color="auto"/>
              </w:divBdr>
            </w:div>
            <w:div w:id="174344323">
              <w:marLeft w:val="0"/>
              <w:marRight w:val="0"/>
              <w:marTop w:val="0"/>
              <w:marBottom w:val="0"/>
              <w:divBdr>
                <w:top w:val="none" w:sz="0" w:space="0" w:color="auto"/>
                <w:left w:val="none" w:sz="0" w:space="0" w:color="auto"/>
                <w:bottom w:val="none" w:sz="0" w:space="0" w:color="auto"/>
                <w:right w:val="none" w:sz="0" w:space="0" w:color="auto"/>
              </w:divBdr>
            </w:div>
            <w:div w:id="207227426">
              <w:marLeft w:val="0"/>
              <w:marRight w:val="0"/>
              <w:marTop w:val="0"/>
              <w:marBottom w:val="0"/>
              <w:divBdr>
                <w:top w:val="none" w:sz="0" w:space="0" w:color="auto"/>
                <w:left w:val="none" w:sz="0" w:space="0" w:color="auto"/>
                <w:bottom w:val="none" w:sz="0" w:space="0" w:color="auto"/>
                <w:right w:val="none" w:sz="0" w:space="0" w:color="auto"/>
              </w:divBdr>
            </w:div>
            <w:div w:id="321393961">
              <w:marLeft w:val="0"/>
              <w:marRight w:val="0"/>
              <w:marTop w:val="0"/>
              <w:marBottom w:val="0"/>
              <w:divBdr>
                <w:top w:val="none" w:sz="0" w:space="0" w:color="auto"/>
                <w:left w:val="none" w:sz="0" w:space="0" w:color="auto"/>
                <w:bottom w:val="none" w:sz="0" w:space="0" w:color="auto"/>
                <w:right w:val="none" w:sz="0" w:space="0" w:color="auto"/>
              </w:divBdr>
            </w:div>
            <w:div w:id="646205444">
              <w:marLeft w:val="0"/>
              <w:marRight w:val="0"/>
              <w:marTop w:val="0"/>
              <w:marBottom w:val="0"/>
              <w:divBdr>
                <w:top w:val="none" w:sz="0" w:space="0" w:color="auto"/>
                <w:left w:val="none" w:sz="0" w:space="0" w:color="auto"/>
                <w:bottom w:val="none" w:sz="0" w:space="0" w:color="auto"/>
                <w:right w:val="none" w:sz="0" w:space="0" w:color="auto"/>
              </w:divBdr>
            </w:div>
            <w:div w:id="850026544">
              <w:marLeft w:val="0"/>
              <w:marRight w:val="0"/>
              <w:marTop w:val="0"/>
              <w:marBottom w:val="0"/>
              <w:divBdr>
                <w:top w:val="none" w:sz="0" w:space="0" w:color="auto"/>
                <w:left w:val="none" w:sz="0" w:space="0" w:color="auto"/>
                <w:bottom w:val="none" w:sz="0" w:space="0" w:color="auto"/>
                <w:right w:val="none" w:sz="0" w:space="0" w:color="auto"/>
              </w:divBdr>
            </w:div>
            <w:div w:id="891116285">
              <w:marLeft w:val="0"/>
              <w:marRight w:val="0"/>
              <w:marTop w:val="0"/>
              <w:marBottom w:val="0"/>
              <w:divBdr>
                <w:top w:val="none" w:sz="0" w:space="0" w:color="auto"/>
                <w:left w:val="none" w:sz="0" w:space="0" w:color="auto"/>
                <w:bottom w:val="none" w:sz="0" w:space="0" w:color="auto"/>
                <w:right w:val="none" w:sz="0" w:space="0" w:color="auto"/>
              </w:divBdr>
            </w:div>
            <w:div w:id="1041830715">
              <w:marLeft w:val="0"/>
              <w:marRight w:val="0"/>
              <w:marTop w:val="0"/>
              <w:marBottom w:val="0"/>
              <w:divBdr>
                <w:top w:val="none" w:sz="0" w:space="0" w:color="auto"/>
                <w:left w:val="none" w:sz="0" w:space="0" w:color="auto"/>
                <w:bottom w:val="none" w:sz="0" w:space="0" w:color="auto"/>
                <w:right w:val="none" w:sz="0" w:space="0" w:color="auto"/>
              </w:divBdr>
            </w:div>
            <w:div w:id="1061832364">
              <w:marLeft w:val="0"/>
              <w:marRight w:val="0"/>
              <w:marTop w:val="0"/>
              <w:marBottom w:val="0"/>
              <w:divBdr>
                <w:top w:val="none" w:sz="0" w:space="0" w:color="auto"/>
                <w:left w:val="none" w:sz="0" w:space="0" w:color="auto"/>
                <w:bottom w:val="none" w:sz="0" w:space="0" w:color="auto"/>
                <w:right w:val="none" w:sz="0" w:space="0" w:color="auto"/>
              </w:divBdr>
            </w:div>
            <w:div w:id="1186750284">
              <w:marLeft w:val="0"/>
              <w:marRight w:val="0"/>
              <w:marTop w:val="0"/>
              <w:marBottom w:val="0"/>
              <w:divBdr>
                <w:top w:val="none" w:sz="0" w:space="0" w:color="auto"/>
                <w:left w:val="none" w:sz="0" w:space="0" w:color="auto"/>
                <w:bottom w:val="none" w:sz="0" w:space="0" w:color="auto"/>
                <w:right w:val="none" w:sz="0" w:space="0" w:color="auto"/>
              </w:divBdr>
            </w:div>
            <w:div w:id="1223638331">
              <w:marLeft w:val="0"/>
              <w:marRight w:val="0"/>
              <w:marTop w:val="0"/>
              <w:marBottom w:val="0"/>
              <w:divBdr>
                <w:top w:val="none" w:sz="0" w:space="0" w:color="auto"/>
                <w:left w:val="none" w:sz="0" w:space="0" w:color="auto"/>
                <w:bottom w:val="none" w:sz="0" w:space="0" w:color="auto"/>
                <w:right w:val="none" w:sz="0" w:space="0" w:color="auto"/>
              </w:divBdr>
            </w:div>
            <w:div w:id="1346784630">
              <w:marLeft w:val="0"/>
              <w:marRight w:val="0"/>
              <w:marTop w:val="0"/>
              <w:marBottom w:val="0"/>
              <w:divBdr>
                <w:top w:val="none" w:sz="0" w:space="0" w:color="auto"/>
                <w:left w:val="none" w:sz="0" w:space="0" w:color="auto"/>
                <w:bottom w:val="none" w:sz="0" w:space="0" w:color="auto"/>
                <w:right w:val="none" w:sz="0" w:space="0" w:color="auto"/>
              </w:divBdr>
            </w:div>
            <w:div w:id="1383868223">
              <w:marLeft w:val="0"/>
              <w:marRight w:val="0"/>
              <w:marTop w:val="0"/>
              <w:marBottom w:val="0"/>
              <w:divBdr>
                <w:top w:val="none" w:sz="0" w:space="0" w:color="auto"/>
                <w:left w:val="none" w:sz="0" w:space="0" w:color="auto"/>
                <w:bottom w:val="none" w:sz="0" w:space="0" w:color="auto"/>
                <w:right w:val="none" w:sz="0" w:space="0" w:color="auto"/>
              </w:divBdr>
            </w:div>
            <w:div w:id="1498418860">
              <w:marLeft w:val="0"/>
              <w:marRight w:val="0"/>
              <w:marTop w:val="0"/>
              <w:marBottom w:val="0"/>
              <w:divBdr>
                <w:top w:val="none" w:sz="0" w:space="0" w:color="auto"/>
                <w:left w:val="none" w:sz="0" w:space="0" w:color="auto"/>
                <w:bottom w:val="none" w:sz="0" w:space="0" w:color="auto"/>
                <w:right w:val="none" w:sz="0" w:space="0" w:color="auto"/>
              </w:divBdr>
            </w:div>
            <w:div w:id="1692754547">
              <w:marLeft w:val="0"/>
              <w:marRight w:val="0"/>
              <w:marTop w:val="0"/>
              <w:marBottom w:val="0"/>
              <w:divBdr>
                <w:top w:val="none" w:sz="0" w:space="0" w:color="auto"/>
                <w:left w:val="none" w:sz="0" w:space="0" w:color="auto"/>
                <w:bottom w:val="none" w:sz="0" w:space="0" w:color="auto"/>
                <w:right w:val="none" w:sz="0" w:space="0" w:color="auto"/>
              </w:divBdr>
            </w:div>
            <w:div w:id="1776905632">
              <w:marLeft w:val="0"/>
              <w:marRight w:val="0"/>
              <w:marTop w:val="0"/>
              <w:marBottom w:val="0"/>
              <w:divBdr>
                <w:top w:val="none" w:sz="0" w:space="0" w:color="auto"/>
                <w:left w:val="none" w:sz="0" w:space="0" w:color="auto"/>
                <w:bottom w:val="none" w:sz="0" w:space="0" w:color="auto"/>
                <w:right w:val="none" w:sz="0" w:space="0" w:color="auto"/>
              </w:divBdr>
            </w:div>
            <w:div w:id="1829057666">
              <w:marLeft w:val="0"/>
              <w:marRight w:val="0"/>
              <w:marTop w:val="0"/>
              <w:marBottom w:val="0"/>
              <w:divBdr>
                <w:top w:val="none" w:sz="0" w:space="0" w:color="auto"/>
                <w:left w:val="none" w:sz="0" w:space="0" w:color="auto"/>
                <w:bottom w:val="none" w:sz="0" w:space="0" w:color="auto"/>
                <w:right w:val="none" w:sz="0" w:space="0" w:color="auto"/>
              </w:divBdr>
            </w:div>
            <w:div w:id="1944608773">
              <w:marLeft w:val="0"/>
              <w:marRight w:val="0"/>
              <w:marTop w:val="0"/>
              <w:marBottom w:val="0"/>
              <w:divBdr>
                <w:top w:val="none" w:sz="0" w:space="0" w:color="auto"/>
                <w:left w:val="none" w:sz="0" w:space="0" w:color="auto"/>
                <w:bottom w:val="none" w:sz="0" w:space="0" w:color="auto"/>
                <w:right w:val="none" w:sz="0" w:space="0" w:color="auto"/>
              </w:divBdr>
            </w:div>
            <w:div w:id="2064987995">
              <w:marLeft w:val="0"/>
              <w:marRight w:val="0"/>
              <w:marTop w:val="0"/>
              <w:marBottom w:val="0"/>
              <w:divBdr>
                <w:top w:val="none" w:sz="0" w:space="0" w:color="auto"/>
                <w:left w:val="none" w:sz="0" w:space="0" w:color="auto"/>
                <w:bottom w:val="none" w:sz="0" w:space="0" w:color="auto"/>
                <w:right w:val="none" w:sz="0" w:space="0" w:color="auto"/>
              </w:divBdr>
            </w:div>
          </w:divsChild>
        </w:div>
        <w:div w:id="1741900039">
          <w:marLeft w:val="0"/>
          <w:marRight w:val="0"/>
          <w:marTop w:val="0"/>
          <w:marBottom w:val="0"/>
          <w:divBdr>
            <w:top w:val="none" w:sz="0" w:space="0" w:color="auto"/>
            <w:left w:val="none" w:sz="0" w:space="0" w:color="auto"/>
            <w:bottom w:val="none" w:sz="0" w:space="0" w:color="auto"/>
            <w:right w:val="none" w:sz="0" w:space="0" w:color="auto"/>
          </w:divBdr>
          <w:divsChild>
            <w:div w:id="676228253">
              <w:marLeft w:val="-75"/>
              <w:marRight w:val="0"/>
              <w:marTop w:val="30"/>
              <w:marBottom w:val="30"/>
              <w:divBdr>
                <w:top w:val="none" w:sz="0" w:space="0" w:color="auto"/>
                <w:left w:val="none" w:sz="0" w:space="0" w:color="auto"/>
                <w:bottom w:val="none" w:sz="0" w:space="0" w:color="auto"/>
                <w:right w:val="none" w:sz="0" w:space="0" w:color="auto"/>
              </w:divBdr>
              <w:divsChild>
                <w:div w:id="97414336">
                  <w:marLeft w:val="0"/>
                  <w:marRight w:val="0"/>
                  <w:marTop w:val="0"/>
                  <w:marBottom w:val="0"/>
                  <w:divBdr>
                    <w:top w:val="none" w:sz="0" w:space="0" w:color="auto"/>
                    <w:left w:val="none" w:sz="0" w:space="0" w:color="auto"/>
                    <w:bottom w:val="none" w:sz="0" w:space="0" w:color="auto"/>
                    <w:right w:val="none" w:sz="0" w:space="0" w:color="auto"/>
                  </w:divBdr>
                  <w:divsChild>
                    <w:div w:id="22562024">
                      <w:marLeft w:val="0"/>
                      <w:marRight w:val="0"/>
                      <w:marTop w:val="0"/>
                      <w:marBottom w:val="0"/>
                      <w:divBdr>
                        <w:top w:val="none" w:sz="0" w:space="0" w:color="auto"/>
                        <w:left w:val="none" w:sz="0" w:space="0" w:color="auto"/>
                        <w:bottom w:val="none" w:sz="0" w:space="0" w:color="auto"/>
                        <w:right w:val="none" w:sz="0" w:space="0" w:color="auto"/>
                      </w:divBdr>
                    </w:div>
                    <w:div w:id="335303179">
                      <w:marLeft w:val="0"/>
                      <w:marRight w:val="0"/>
                      <w:marTop w:val="0"/>
                      <w:marBottom w:val="0"/>
                      <w:divBdr>
                        <w:top w:val="none" w:sz="0" w:space="0" w:color="auto"/>
                        <w:left w:val="none" w:sz="0" w:space="0" w:color="auto"/>
                        <w:bottom w:val="none" w:sz="0" w:space="0" w:color="auto"/>
                        <w:right w:val="none" w:sz="0" w:space="0" w:color="auto"/>
                      </w:divBdr>
                    </w:div>
                    <w:div w:id="395132392">
                      <w:marLeft w:val="0"/>
                      <w:marRight w:val="0"/>
                      <w:marTop w:val="0"/>
                      <w:marBottom w:val="0"/>
                      <w:divBdr>
                        <w:top w:val="none" w:sz="0" w:space="0" w:color="auto"/>
                        <w:left w:val="none" w:sz="0" w:space="0" w:color="auto"/>
                        <w:bottom w:val="none" w:sz="0" w:space="0" w:color="auto"/>
                        <w:right w:val="none" w:sz="0" w:space="0" w:color="auto"/>
                      </w:divBdr>
                    </w:div>
                    <w:div w:id="579172216">
                      <w:marLeft w:val="0"/>
                      <w:marRight w:val="0"/>
                      <w:marTop w:val="0"/>
                      <w:marBottom w:val="0"/>
                      <w:divBdr>
                        <w:top w:val="none" w:sz="0" w:space="0" w:color="auto"/>
                        <w:left w:val="none" w:sz="0" w:space="0" w:color="auto"/>
                        <w:bottom w:val="none" w:sz="0" w:space="0" w:color="auto"/>
                        <w:right w:val="none" w:sz="0" w:space="0" w:color="auto"/>
                      </w:divBdr>
                    </w:div>
                    <w:div w:id="707874009">
                      <w:marLeft w:val="0"/>
                      <w:marRight w:val="0"/>
                      <w:marTop w:val="0"/>
                      <w:marBottom w:val="0"/>
                      <w:divBdr>
                        <w:top w:val="none" w:sz="0" w:space="0" w:color="auto"/>
                        <w:left w:val="none" w:sz="0" w:space="0" w:color="auto"/>
                        <w:bottom w:val="none" w:sz="0" w:space="0" w:color="auto"/>
                        <w:right w:val="none" w:sz="0" w:space="0" w:color="auto"/>
                      </w:divBdr>
                    </w:div>
                    <w:div w:id="745765107">
                      <w:marLeft w:val="0"/>
                      <w:marRight w:val="0"/>
                      <w:marTop w:val="0"/>
                      <w:marBottom w:val="0"/>
                      <w:divBdr>
                        <w:top w:val="none" w:sz="0" w:space="0" w:color="auto"/>
                        <w:left w:val="none" w:sz="0" w:space="0" w:color="auto"/>
                        <w:bottom w:val="none" w:sz="0" w:space="0" w:color="auto"/>
                        <w:right w:val="none" w:sz="0" w:space="0" w:color="auto"/>
                      </w:divBdr>
                    </w:div>
                    <w:div w:id="1177496060">
                      <w:marLeft w:val="0"/>
                      <w:marRight w:val="0"/>
                      <w:marTop w:val="0"/>
                      <w:marBottom w:val="0"/>
                      <w:divBdr>
                        <w:top w:val="none" w:sz="0" w:space="0" w:color="auto"/>
                        <w:left w:val="none" w:sz="0" w:space="0" w:color="auto"/>
                        <w:bottom w:val="none" w:sz="0" w:space="0" w:color="auto"/>
                        <w:right w:val="none" w:sz="0" w:space="0" w:color="auto"/>
                      </w:divBdr>
                    </w:div>
                    <w:div w:id="1595433038">
                      <w:marLeft w:val="0"/>
                      <w:marRight w:val="0"/>
                      <w:marTop w:val="0"/>
                      <w:marBottom w:val="0"/>
                      <w:divBdr>
                        <w:top w:val="none" w:sz="0" w:space="0" w:color="auto"/>
                        <w:left w:val="none" w:sz="0" w:space="0" w:color="auto"/>
                        <w:bottom w:val="none" w:sz="0" w:space="0" w:color="auto"/>
                        <w:right w:val="none" w:sz="0" w:space="0" w:color="auto"/>
                      </w:divBdr>
                    </w:div>
                  </w:divsChild>
                </w:div>
                <w:div w:id="240603141">
                  <w:marLeft w:val="0"/>
                  <w:marRight w:val="0"/>
                  <w:marTop w:val="0"/>
                  <w:marBottom w:val="0"/>
                  <w:divBdr>
                    <w:top w:val="none" w:sz="0" w:space="0" w:color="auto"/>
                    <w:left w:val="none" w:sz="0" w:space="0" w:color="auto"/>
                    <w:bottom w:val="none" w:sz="0" w:space="0" w:color="auto"/>
                    <w:right w:val="none" w:sz="0" w:space="0" w:color="auto"/>
                  </w:divBdr>
                  <w:divsChild>
                    <w:div w:id="190995536">
                      <w:marLeft w:val="0"/>
                      <w:marRight w:val="0"/>
                      <w:marTop w:val="0"/>
                      <w:marBottom w:val="0"/>
                      <w:divBdr>
                        <w:top w:val="none" w:sz="0" w:space="0" w:color="auto"/>
                        <w:left w:val="none" w:sz="0" w:space="0" w:color="auto"/>
                        <w:bottom w:val="none" w:sz="0" w:space="0" w:color="auto"/>
                        <w:right w:val="none" w:sz="0" w:space="0" w:color="auto"/>
                      </w:divBdr>
                    </w:div>
                    <w:div w:id="238949876">
                      <w:marLeft w:val="0"/>
                      <w:marRight w:val="0"/>
                      <w:marTop w:val="0"/>
                      <w:marBottom w:val="0"/>
                      <w:divBdr>
                        <w:top w:val="none" w:sz="0" w:space="0" w:color="auto"/>
                        <w:left w:val="none" w:sz="0" w:space="0" w:color="auto"/>
                        <w:bottom w:val="none" w:sz="0" w:space="0" w:color="auto"/>
                        <w:right w:val="none" w:sz="0" w:space="0" w:color="auto"/>
                      </w:divBdr>
                    </w:div>
                    <w:div w:id="282538111">
                      <w:marLeft w:val="0"/>
                      <w:marRight w:val="0"/>
                      <w:marTop w:val="0"/>
                      <w:marBottom w:val="0"/>
                      <w:divBdr>
                        <w:top w:val="none" w:sz="0" w:space="0" w:color="auto"/>
                        <w:left w:val="none" w:sz="0" w:space="0" w:color="auto"/>
                        <w:bottom w:val="none" w:sz="0" w:space="0" w:color="auto"/>
                        <w:right w:val="none" w:sz="0" w:space="0" w:color="auto"/>
                      </w:divBdr>
                    </w:div>
                  </w:divsChild>
                </w:div>
                <w:div w:id="310714023">
                  <w:marLeft w:val="0"/>
                  <w:marRight w:val="0"/>
                  <w:marTop w:val="0"/>
                  <w:marBottom w:val="0"/>
                  <w:divBdr>
                    <w:top w:val="none" w:sz="0" w:space="0" w:color="auto"/>
                    <w:left w:val="none" w:sz="0" w:space="0" w:color="auto"/>
                    <w:bottom w:val="none" w:sz="0" w:space="0" w:color="auto"/>
                    <w:right w:val="none" w:sz="0" w:space="0" w:color="auto"/>
                  </w:divBdr>
                  <w:divsChild>
                    <w:div w:id="1304308573">
                      <w:marLeft w:val="0"/>
                      <w:marRight w:val="0"/>
                      <w:marTop w:val="0"/>
                      <w:marBottom w:val="0"/>
                      <w:divBdr>
                        <w:top w:val="none" w:sz="0" w:space="0" w:color="auto"/>
                        <w:left w:val="none" w:sz="0" w:space="0" w:color="auto"/>
                        <w:bottom w:val="none" w:sz="0" w:space="0" w:color="auto"/>
                        <w:right w:val="none" w:sz="0" w:space="0" w:color="auto"/>
                      </w:divBdr>
                    </w:div>
                    <w:div w:id="1368526500">
                      <w:marLeft w:val="0"/>
                      <w:marRight w:val="0"/>
                      <w:marTop w:val="0"/>
                      <w:marBottom w:val="0"/>
                      <w:divBdr>
                        <w:top w:val="none" w:sz="0" w:space="0" w:color="auto"/>
                        <w:left w:val="none" w:sz="0" w:space="0" w:color="auto"/>
                        <w:bottom w:val="none" w:sz="0" w:space="0" w:color="auto"/>
                        <w:right w:val="none" w:sz="0" w:space="0" w:color="auto"/>
                      </w:divBdr>
                    </w:div>
                    <w:div w:id="1909002071">
                      <w:marLeft w:val="0"/>
                      <w:marRight w:val="0"/>
                      <w:marTop w:val="0"/>
                      <w:marBottom w:val="0"/>
                      <w:divBdr>
                        <w:top w:val="none" w:sz="0" w:space="0" w:color="auto"/>
                        <w:left w:val="none" w:sz="0" w:space="0" w:color="auto"/>
                        <w:bottom w:val="none" w:sz="0" w:space="0" w:color="auto"/>
                        <w:right w:val="none" w:sz="0" w:space="0" w:color="auto"/>
                      </w:divBdr>
                    </w:div>
                  </w:divsChild>
                </w:div>
                <w:div w:id="381029311">
                  <w:marLeft w:val="0"/>
                  <w:marRight w:val="0"/>
                  <w:marTop w:val="0"/>
                  <w:marBottom w:val="0"/>
                  <w:divBdr>
                    <w:top w:val="none" w:sz="0" w:space="0" w:color="auto"/>
                    <w:left w:val="none" w:sz="0" w:space="0" w:color="auto"/>
                    <w:bottom w:val="none" w:sz="0" w:space="0" w:color="auto"/>
                    <w:right w:val="none" w:sz="0" w:space="0" w:color="auto"/>
                  </w:divBdr>
                  <w:divsChild>
                    <w:div w:id="23488283">
                      <w:marLeft w:val="0"/>
                      <w:marRight w:val="0"/>
                      <w:marTop w:val="0"/>
                      <w:marBottom w:val="0"/>
                      <w:divBdr>
                        <w:top w:val="none" w:sz="0" w:space="0" w:color="auto"/>
                        <w:left w:val="none" w:sz="0" w:space="0" w:color="auto"/>
                        <w:bottom w:val="none" w:sz="0" w:space="0" w:color="auto"/>
                        <w:right w:val="none" w:sz="0" w:space="0" w:color="auto"/>
                      </w:divBdr>
                    </w:div>
                  </w:divsChild>
                </w:div>
                <w:div w:id="493301072">
                  <w:marLeft w:val="0"/>
                  <w:marRight w:val="0"/>
                  <w:marTop w:val="0"/>
                  <w:marBottom w:val="0"/>
                  <w:divBdr>
                    <w:top w:val="none" w:sz="0" w:space="0" w:color="auto"/>
                    <w:left w:val="none" w:sz="0" w:space="0" w:color="auto"/>
                    <w:bottom w:val="none" w:sz="0" w:space="0" w:color="auto"/>
                    <w:right w:val="none" w:sz="0" w:space="0" w:color="auto"/>
                  </w:divBdr>
                  <w:divsChild>
                    <w:div w:id="12656171">
                      <w:marLeft w:val="0"/>
                      <w:marRight w:val="0"/>
                      <w:marTop w:val="0"/>
                      <w:marBottom w:val="0"/>
                      <w:divBdr>
                        <w:top w:val="none" w:sz="0" w:space="0" w:color="auto"/>
                        <w:left w:val="none" w:sz="0" w:space="0" w:color="auto"/>
                        <w:bottom w:val="none" w:sz="0" w:space="0" w:color="auto"/>
                        <w:right w:val="none" w:sz="0" w:space="0" w:color="auto"/>
                      </w:divBdr>
                    </w:div>
                    <w:div w:id="17857257">
                      <w:marLeft w:val="0"/>
                      <w:marRight w:val="0"/>
                      <w:marTop w:val="0"/>
                      <w:marBottom w:val="0"/>
                      <w:divBdr>
                        <w:top w:val="none" w:sz="0" w:space="0" w:color="auto"/>
                        <w:left w:val="none" w:sz="0" w:space="0" w:color="auto"/>
                        <w:bottom w:val="none" w:sz="0" w:space="0" w:color="auto"/>
                        <w:right w:val="none" w:sz="0" w:space="0" w:color="auto"/>
                      </w:divBdr>
                    </w:div>
                    <w:div w:id="97215963">
                      <w:marLeft w:val="0"/>
                      <w:marRight w:val="0"/>
                      <w:marTop w:val="0"/>
                      <w:marBottom w:val="0"/>
                      <w:divBdr>
                        <w:top w:val="none" w:sz="0" w:space="0" w:color="auto"/>
                        <w:left w:val="none" w:sz="0" w:space="0" w:color="auto"/>
                        <w:bottom w:val="none" w:sz="0" w:space="0" w:color="auto"/>
                        <w:right w:val="none" w:sz="0" w:space="0" w:color="auto"/>
                      </w:divBdr>
                    </w:div>
                    <w:div w:id="107550628">
                      <w:marLeft w:val="0"/>
                      <w:marRight w:val="0"/>
                      <w:marTop w:val="0"/>
                      <w:marBottom w:val="0"/>
                      <w:divBdr>
                        <w:top w:val="none" w:sz="0" w:space="0" w:color="auto"/>
                        <w:left w:val="none" w:sz="0" w:space="0" w:color="auto"/>
                        <w:bottom w:val="none" w:sz="0" w:space="0" w:color="auto"/>
                        <w:right w:val="none" w:sz="0" w:space="0" w:color="auto"/>
                      </w:divBdr>
                    </w:div>
                    <w:div w:id="113595047">
                      <w:marLeft w:val="0"/>
                      <w:marRight w:val="0"/>
                      <w:marTop w:val="0"/>
                      <w:marBottom w:val="0"/>
                      <w:divBdr>
                        <w:top w:val="none" w:sz="0" w:space="0" w:color="auto"/>
                        <w:left w:val="none" w:sz="0" w:space="0" w:color="auto"/>
                        <w:bottom w:val="none" w:sz="0" w:space="0" w:color="auto"/>
                        <w:right w:val="none" w:sz="0" w:space="0" w:color="auto"/>
                      </w:divBdr>
                    </w:div>
                    <w:div w:id="203255355">
                      <w:marLeft w:val="0"/>
                      <w:marRight w:val="0"/>
                      <w:marTop w:val="0"/>
                      <w:marBottom w:val="0"/>
                      <w:divBdr>
                        <w:top w:val="none" w:sz="0" w:space="0" w:color="auto"/>
                        <w:left w:val="none" w:sz="0" w:space="0" w:color="auto"/>
                        <w:bottom w:val="none" w:sz="0" w:space="0" w:color="auto"/>
                        <w:right w:val="none" w:sz="0" w:space="0" w:color="auto"/>
                      </w:divBdr>
                    </w:div>
                    <w:div w:id="253319660">
                      <w:marLeft w:val="0"/>
                      <w:marRight w:val="0"/>
                      <w:marTop w:val="0"/>
                      <w:marBottom w:val="0"/>
                      <w:divBdr>
                        <w:top w:val="none" w:sz="0" w:space="0" w:color="auto"/>
                        <w:left w:val="none" w:sz="0" w:space="0" w:color="auto"/>
                        <w:bottom w:val="none" w:sz="0" w:space="0" w:color="auto"/>
                        <w:right w:val="none" w:sz="0" w:space="0" w:color="auto"/>
                      </w:divBdr>
                    </w:div>
                    <w:div w:id="595334266">
                      <w:marLeft w:val="0"/>
                      <w:marRight w:val="0"/>
                      <w:marTop w:val="0"/>
                      <w:marBottom w:val="0"/>
                      <w:divBdr>
                        <w:top w:val="none" w:sz="0" w:space="0" w:color="auto"/>
                        <w:left w:val="none" w:sz="0" w:space="0" w:color="auto"/>
                        <w:bottom w:val="none" w:sz="0" w:space="0" w:color="auto"/>
                        <w:right w:val="none" w:sz="0" w:space="0" w:color="auto"/>
                      </w:divBdr>
                    </w:div>
                    <w:div w:id="695354467">
                      <w:marLeft w:val="0"/>
                      <w:marRight w:val="0"/>
                      <w:marTop w:val="0"/>
                      <w:marBottom w:val="0"/>
                      <w:divBdr>
                        <w:top w:val="none" w:sz="0" w:space="0" w:color="auto"/>
                        <w:left w:val="none" w:sz="0" w:space="0" w:color="auto"/>
                        <w:bottom w:val="none" w:sz="0" w:space="0" w:color="auto"/>
                        <w:right w:val="none" w:sz="0" w:space="0" w:color="auto"/>
                      </w:divBdr>
                    </w:div>
                    <w:div w:id="712467085">
                      <w:marLeft w:val="0"/>
                      <w:marRight w:val="0"/>
                      <w:marTop w:val="0"/>
                      <w:marBottom w:val="0"/>
                      <w:divBdr>
                        <w:top w:val="none" w:sz="0" w:space="0" w:color="auto"/>
                        <w:left w:val="none" w:sz="0" w:space="0" w:color="auto"/>
                        <w:bottom w:val="none" w:sz="0" w:space="0" w:color="auto"/>
                        <w:right w:val="none" w:sz="0" w:space="0" w:color="auto"/>
                      </w:divBdr>
                    </w:div>
                    <w:div w:id="721562307">
                      <w:marLeft w:val="0"/>
                      <w:marRight w:val="0"/>
                      <w:marTop w:val="0"/>
                      <w:marBottom w:val="0"/>
                      <w:divBdr>
                        <w:top w:val="none" w:sz="0" w:space="0" w:color="auto"/>
                        <w:left w:val="none" w:sz="0" w:space="0" w:color="auto"/>
                        <w:bottom w:val="none" w:sz="0" w:space="0" w:color="auto"/>
                        <w:right w:val="none" w:sz="0" w:space="0" w:color="auto"/>
                      </w:divBdr>
                    </w:div>
                    <w:div w:id="816800282">
                      <w:marLeft w:val="0"/>
                      <w:marRight w:val="0"/>
                      <w:marTop w:val="0"/>
                      <w:marBottom w:val="0"/>
                      <w:divBdr>
                        <w:top w:val="none" w:sz="0" w:space="0" w:color="auto"/>
                        <w:left w:val="none" w:sz="0" w:space="0" w:color="auto"/>
                        <w:bottom w:val="none" w:sz="0" w:space="0" w:color="auto"/>
                        <w:right w:val="none" w:sz="0" w:space="0" w:color="auto"/>
                      </w:divBdr>
                    </w:div>
                    <w:div w:id="890380462">
                      <w:marLeft w:val="0"/>
                      <w:marRight w:val="0"/>
                      <w:marTop w:val="0"/>
                      <w:marBottom w:val="0"/>
                      <w:divBdr>
                        <w:top w:val="none" w:sz="0" w:space="0" w:color="auto"/>
                        <w:left w:val="none" w:sz="0" w:space="0" w:color="auto"/>
                        <w:bottom w:val="none" w:sz="0" w:space="0" w:color="auto"/>
                        <w:right w:val="none" w:sz="0" w:space="0" w:color="auto"/>
                      </w:divBdr>
                    </w:div>
                    <w:div w:id="1289124045">
                      <w:marLeft w:val="0"/>
                      <w:marRight w:val="0"/>
                      <w:marTop w:val="0"/>
                      <w:marBottom w:val="0"/>
                      <w:divBdr>
                        <w:top w:val="none" w:sz="0" w:space="0" w:color="auto"/>
                        <w:left w:val="none" w:sz="0" w:space="0" w:color="auto"/>
                        <w:bottom w:val="none" w:sz="0" w:space="0" w:color="auto"/>
                        <w:right w:val="none" w:sz="0" w:space="0" w:color="auto"/>
                      </w:divBdr>
                    </w:div>
                    <w:div w:id="1665813265">
                      <w:marLeft w:val="0"/>
                      <w:marRight w:val="0"/>
                      <w:marTop w:val="0"/>
                      <w:marBottom w:val="0"/>
                      <w:divBdr>
                        <w:top w:val="none" w:sz="0" w:space="0" w:color="auto"/>
                        <w:left w:val="none" w:sz="0" w:space="0" w:color="auto"/>
                        <w:bottom w:val="none" w:sz="0" w:space="0" w:color="auto"/>
                        <w:right w:val="none" w:sz="0" w:space="0" w:color="auto"/>
                      </w:divBdr>
                    </w:div>
                    <w:div w:id="1701512845">
                      <w:marLeft w:val="0"/>
                      <w:marRight w:val="0"/>
                      <w:marTop w:val="0"/>
                      <w:marBottom w:val="0"/>
                      <w:divBdr>
                        <w:top w:val="none" w:sz="0" w:space="0" w:color="auto"/>
                        <w:left w:val="none" w:sz="0" w:space="0" w:color="auto"/>
                        <w:bottom w:val="none" w:sz="0" w:space="0" w:color="auto"/>
                        <w:right w:val="none" w:sz="0" w:space="0" w:color="auto"/>
                      </w:divBdr>
                    </w:div>
                    <w:div w:id="1741831541">
                      <w:marLeft w:val="0"/>
                      <w:marRight w:val="0"/>
                      <w:marTop w:val="0"/>
                      <w:marBottom w:val="0"/>
                      <w:divBdr>
                        <w:top w:val="none" w:sz="0" w:space="0" w:color="auto"/>
                        <w:left w:val="none" w:sz="0" w:space="0" w:color="auto"/>
                        <w:bottom w:val="none" w:sz="0" w:space="0" w:color="auto"/>
                        <w:right w:val="none" w:sz="0" w:space="0" w:color="auto"/>
                      </w:divBdr>
                    </w:div>
                    <w:div w:id="1796944800">
                      <w:marLeft w:val="0"/>
                      <w:marRight w:val="0"/>
                      <w:marTop w:val="0"/>
                      <w:marBottom w:val="0"/>
                      <w:divBdr>
                        <w:top w:val="none" w:sz="0" w:space="0" w:color="auto"/>
                        <w:left w:val="none" w:sz="0" w:space="0" w:color="auto"/>
                        <w:bottom w:val="none" w:sz="0" w:space="0" w:color="auto"/>
                        <w:right w:val="none" w:sz="0" w:space="0" w:color="auto"/>
                      </w:divBdr>
                    </w:div>
                    <w:div w:id="1821534611">
                      <w:marLeft w:val="0"/>
                      <w:marRight w:val="0"/>
                      <w:marTop w:val="0"/>
                      <w:marBottom w:val="0"/>
                      <w:divBdr>
                        <w:top w:val="none" w:sz="0" w:space="0" w:color="auto"/>
                        <w:left w:val="none" w:sz="0" w:space="0" w:color="auto"/>
                        <w:bottom w:val="none" w:sz="0" w:space="0" w:color="auto"/>
                        <w:right w:val="none" w:sz="0" w:space="0" w:color="auto"/>
                      </w:divBdr>
                    </w:div>
                    <w:div w:id="1904026377">
                      <w:marLeft w:val="0"/>
                      <w:marRight w:val="0"/>
                      <w:marTop w:val="0"/>
                      <w:marBottom w:val="0"/>
                      <w:divBdr>
                        <w:top w:val="none" w:sz="0" w:space="0" w:color="auto"/>
                        <w:left w:val="none" w:sz="0" w:space="0" w:color="auto"/>
                        <w:bottom w:val="none" w:sz="0" w:space="0" w:color="auto"/>
                        <w:right w:val="none" w:sz="0" w:space="0" w:color="auto"/>
                      </w:divBdr>
                    </w:div>
                    <w:div w:id="1921285187">
                      <w:marLeft w:val="0"/>
                      <w:marRight w:val="0"/>
                      <w:marTop w:val="0"/>
                      <w:marBottom w:val="0"/>
                      <w:divBdr>
                        <w:top w:val="none" w:sz="0" w:space="0" w:color="auto"/>
                        <w:left w:val="none" w:sz="0" w:space="0" w:color="auto"/>
                        <w:bottom w:val="none" w:sz="0" w:space="0" w:color="auto"/>
                        <w:right w:val="none" w:sz="0" w:space="0" w:color="auto"/>
                      </w:divBdr>
                    </w:div>
                    <w:div w:id="1925071010">
                      <w:marLeft w:val="0"/>
                      <w:marRight w:val="0"/>
                      <w:marTop w:val="0"/>
                      <w:marBottom w:val="0"/>
                      <w:divBdr>
                        <w:top w:val="none" w:sz="0" w:space="0" w:color="auto"/>
                        <w:left w:val="none" w:sz="0" w:space="0" w:color="auto"/>
                        <w:bottom w:val="none" w:sz="0" w:space="0" w:color="auto"/>
                        <w:right w:val="none" w:sz="0" w:space="0" w:color="auto"/>
                      </w:divBdr>
                    </w:div>
                    <w:div w:id="2095855599">
                      <w:marLeft w:val="0"/>
                      <w:marRight w:val="0"/>
                      <w:marTop w:val="0"/>
                      <w:marBottom w:val="0"/>
                      <w:divBdr>
                        <w:top w:val="none" w:sz="0" w:space="0" w:color="auto"/>
                        <w:left w:val="none" w:sz="0" w:space="0" w:color="auto"/>
                        <w:bottom w:val="none" w:sz="0" w:space="0" w:color="auto"/>
                        <w:right w:val="none" w:sz="0" w:space="0" w:color="auto"/>
                      </w:divBdr>
                    </w:div>
                  </w:divsChild>
                </w:div>
                <w:div w:id="702511812">
                  <w:marLeft w:val="0"/>
                  <w:marRight w:val="0"/>
                  <w:marTop w:val="0"/>
                  <w:marBottom w:val="0"/>
                  <w:divBdr>
                    <w:top w:val="none" w:sz="0" w:space="0" w:color="auto"/>
                    <w:left w:val="none" w:sz="0" w:space="0" w:color="auto"/>
                    <w:bottom w:val="none" w:sz="0" w:space="0" w:color="auto"/>
                    <w:right w:val="none" w:sz="0" w:space="0" w:color="auto"/>
                  </w:divBdr>
                  <w:divsChild>
                    <w:div w:id="2100515860">
                      <w:marLeft w:val="0"/>
                      <w:marRight w:val="0"/>
                      <w:marTop w:val="0"/>
                      <w:marBottom w:val="0"/>
                      <w:divBdr>
                        <w:top w:val="none" w:sz="0" w:space="0" w:color="auto"/>
                        <w:left w:val="none" w:sz="0" w:space="0" w:color="auto"/>
                        <w:bottom w:val="none" w:sz="0" w:space="0" w:color="auto"/>
                        <w:right w:val="none" w:sz="0" w:space="0" w:color="auto"/>
                      </w:divBdr>
                    </w:div>
                  </w:divsChild>
                </w:div>
                <w:div w:id="778598343">
                  <w:marLeft w:val="0"/>
                  <w:marRight w:val="0"/>
                  <w:marTop w:val="0"/>
                  <w:marBottom w:val="0"/>
                  <w:divBdr>
                    <w:top w:val="none" w:sz="0" w:space="0" w:color="auto"/>
                    <w:left w:val="none" w:sz="0" w:space="0" w:color="auto"/>
                    <w:bottom w:val="none" w:sz="0" w:space="0" w:color="auto"/>
                    <w:right w:val="none" w:sz="0" w:space="0" w:color="auto"/>
                  </w:divBdr>
                  <w:divsChild>
                    <w:div w:id="853567169">
                      <w:marLeft w:val="0"/>
                      <w:marRight w:val="0"/>
                      <w:marTop w:val="0"/>
                      <w:marBottom w:val="0"/>
                      <w:divBdr>
                        <w:top w:val="none" w:sz="0" w:space="0" w:color="auto"/>
                        <w:left w:val="none" w:sz="0" w:space="0" w:color="auto"/>
                        <w:bottom w:val="none" w:sz="0" w:space="0" w:color="auto"/>
                        <w:right w:val="none" w:sz="0" w:space="0" w:color="auto"/>
                      </w:divBdr>
                    </w:div>
                  </w:divsChild>
                </w:div>
                <w:div w:id="796721962">
                  <w:marLeft w:val="0"/>
                  <w:marRight w:val="0"/>
                  <w:marTop w:val="0"/>
                  <w:marBottom w:val="0"/>
                  <w:divBdr>
                    <w:top w:val="none" w:sz="0" w:space="0" w:color="auto"/>
                    <w:left w:val="none" w:sz="0" w:space="0" w:color="auto"/>
                    <w:bottom w:val="none" w:sz="0" w:space="0" w:color="auto"/>
                    <w:right w:val="none" w:sz="0" w:space="0" w:color="auto"/>
                  </w:divBdr>
                  <w:divsChild>
                    <w:div w:id="766120969">
                      <w:marLeft w:val="0"/>
                      <w:marRight w:val="0"/>
                      <w:marTop w:val="0"/>
                      <w:marBottom w:val="0"/>
                      <w:divBdr>
                        <w:top w:val="none" w:sz="0" w:space="0" w:color="auto"/>
                        <w:left w:val="none" w:sz="0" w:space="0" w:color="auto"/>
                        <w:bottom w:val="none" w:sz="0" w:space="0" w:color="auto"/>
                        <w:right w:val="none" w:sz="0" w:space="0" w:color="auto"/>
                      </w:divBdr>
                    </w:div>
                  </w:divsChild>
                </w:div>
                <w:div w:id="885261814">
                  <w:marLeft w:val="0"/>
                  <w:marRight w:val="0"/>
                  <w:marTop w:val="0"/>
                  <w:marBottom w:val="0"/>
                  <w:divBdr>
                    <w:top w:val="none" w:sz="0" w:space="0" w:color="auto"/>
                    <w:left w:val="none" w:sz="0" w:space="0" w:color="auto"/>
                    <w:bottom w:val="none" w:sz="0" w:space="0" w:color="auto"/>
                    <w:right w:val="none" w:sz="0" w:space="0" w:color="auto"/>
                  </w:divBdr>
                  <w:divsChild>
                    <w:div w:id="957415509">
                      <w:marLeft w:val="0"/>
                      <w:marRight w:val="0"/>
                      <w:marTop w:val="0"/>
                      <w:marBottom w:val="0"/>
                      <w:divBdr>
                        <w:top w:val="none" w:sz="0" w:space="0" w:color="auto"/>
                        <w:left w:val="none" w:sz="0" w:space="0" w:color="auto"/>
                        <w:bottom w:val="none" w:sz="0" w:space="0" w:color="auto"/>
                        <w:right w:val="none" w:sz="0" w:space="0" w:color="auto"/>
                      </w:divBdr>
                    </w:div>
                  </w:divsChild>
                </w:div>
                <w:div w:id="886375621">
                  <w:marLeft w:val="0"/>
                  <w:marRight w:val="0"/>
                  <w:marTop w:val="0"/>
                  <w:marBottom w:val="0"/>
                  <w:divBdr>
                    <w:top w:val="none" w:sz="0" w:space="0" w:color="auto"/>
                    <w:left w:val="none" w:sz="0" w:space="0" w:color="auto"/>
                    <w:bottom w:val="none" w:sz="0" w:space="0" w:color="auto"/>
                    <w:right w:val="none" w:sz="0" w:space="0" w:color="auto"/>
                  </w:divBdr>
                  <w:divsChild>
                    <w:div w:id="216554447">
                      <w:marLeft w:val="0"/>
                      <w:marRight w:val="0"/>
                      <w:marTop w:val="0"/>
                      <w:marBottom w:val="0"/>
                      <w:divBdr>
                        <w:top w:val="none" w:sz="0" w:space="0" w:color="auto"/>
                        <w:left w:val="none" w:sz="0" w:space="0" w:color="auto"/>
                        <w:bottom w:val="none" w:sz="0" w:space="0" w:color="auto"/>
                        <w:right w:val="none" w:sz="0" w:space="0" w:color="auto"/>
                      </w:divBdr>
                    </w:div>
                    <w:div w:id="485754494">
                      <w:marLeft w:val="0"/>
                      <w:marRight w:val="0"/>
                      <w:marTop w:val="0"/>
                      <w:marBottom w:val="0"/>
                      <w:divBdr>
                        <w:top w:val="none" w:sz="0" w:space="0" w:color="auto"/>
                        <w:left w:val="none" w:sz="0" w:space="0" w:color="auto"/>
                        <w:bottom w:val="none" w:sz="0" w:space="0" w:color="auto"/>
                        <w:right w:val="none" w:sz="0" w:space="0" w:color="auto"/>
                      </w:divBdr>
                    </w:div>
                  </w:divsChild>
                </w:div>
                <w:div w:id="920717077">
                  <w:marLeft w:val="0"/>
                  <w:marRight w:val="0"/>
                  <w:marTop w:val="0"/>
                  <w:marBottom w:val="0"/>
                  <w:divBdr>
                    <w:top w:val="none" w:sz="0" w:space="0" w:color="auto"/>
                    <w:left w:val="none" w:sz="0" w:space="0" w:color="auto"/>
                    <w:bottom w:val="none" w:sz="0" w:space="0" w:color="auto"/>
                    <w:right w:val="none" w:sz="0" w:space="0" w:color="auto"/>
                  </w:divBdr>
                  <w:divsChild>
                    <w:div w:id="135296079">
                      <w:marLeft w:val="0"/>
                      <w:marRight w:val="0"/>
                      <w:marTop w:val="0"/>
                      <w:marBottom w:val="0"/>
                      <w:divBdr>
                        <w:top w:val="none" w:sz="0" w:space="0" w:color="auto"/>
                        <w:left w:val="none" w:sz="0" w:space="0" w:color="auto"/>
                        <w:bottom w:val="none" w:sz="0" w:space="0" w:color="auto"/>
                        <w:right w:val="none" w:sz="0" w:space="0" w:color="auto"/>
                      </w:divBdr>
                    </w:div>
                    <w:div w:id="1391882425">
                      <w:marLeft w:val="0"/>
                      <w:marRight w:val="0"/>
                      <w:marTop w:val="0"/>
                      <w:marBottom w:val="0"/>
                      <w:divBdr>
                        <w:top w:val="none" w:sz="0" w:space="0" w:color="auto"/>
                        <w:left w:val="none" w:sz="0" w:space="0" w:color="auto"/>
                        <w:bottom w:val="none" w:sz="0" w:space="0" w:color="auto"/>
                        <w:right w:val="none" w:sz="0" w:space="0" w:color="auto"/>
                      </w:divBdr>
                    </w:div>
                  </w:divsChild>
                </w:div>
                <w:div w:id="950010476">
                  <w:marLeft w:val="0"/>
                  <w:marRight w:val="0"/>
                  <w:marTop w:val="0"/>
                  <w:marBottom w:val="0"/>
                  <w:divBdr>
                    <w:top w:val="none" w:sz="0" w:space="0" w:color="auto"/>
                    <w:left w:val="none" w:sz="0" w:space="0" w:color="auto"/>
                    <w:bottom w:val="none" w:sz="0" w:space="0" w:color="auto"/>
                    <w:right w:val="none" w:sz="0" w:space="0" w:color="auto"/>
                  </w:divBdr>
                  <w:divsChild>
                    <w:div w:id="255750273">
                      <w:marLeft w:val="0"/>
                      <w:marRight w:val="0"/>
                      <w:marTop w:val="0"/>
                      <w:marBottom w:val="0"/>
                      <w:divBdr>
                        <w:top w:val="none" w:sz="0" w:space="0" w:color="auto"/>
                        <w:left w:val="none" w:sz="0" w:space="0" w:color="auto"/>
                        <w:bottom w:val="none" w:sz="0" w:space="0" w:color="auto"/>
                        <w:right w:val="none" w:sz="0" w:space="0" w:color="auto"/>
                      </w:divBdr>
                    </w:div>
                  </w:divsChild>
                </w:div>
                <w:div w:id="1022900795">
                  <w:marLeft w:val="0"/>
                  <w:marRight w:val="0"/>
                  <w:marTop w:val="0"/>
                  <w:marBottom w:val="0"/>
                  <w:divBdr>
                    <w:top w:val="none" w:sz="0" w:space="0" w:color="auto"/>
                    <w:left w:val="none" w:sz="0" w:space="0" w:color="auto"/>
                    <w:bottom w:val="none" w:sz="0" w:space="0" w:color="auto"/>
                    <w:right w:val="none" w:sz="0" w:space="0" w:color="auto"/>
                  </w:divBdr>
                  <w:divsChild>
                    <w:div w:id="276572729">
                      <w:marLeft w:val="0"/>
                      <w:marRight w:val="0"/>
                      <w:marTop w:val="0"/>
                      <w:marBottom w:val="0"/>
                      <w:divBdr>
                        <w:top w:val="none" w:sz="0" w:space="0" w:color="auto"/>
                        <w:left w:val="none" w:sz="0" w:space="0" w:color="auto"/>
                        <w:bottom w:val="none" w:sz="0" w:space="0" w:color="auto"/>
                        <w:right w:val="none" w:sz="0" w:space="0" w:color="auto"/>
                      </w:divBdr>
                    </w:div>
                    <w:div w:id="1856382430">
                      <w:marLeft w:val="0"/>
                      <w:marRight w:val="0"/>
                      <w:marTop w:val="0"/>
                      <w:marBottom w:val="0"/>
                      <w:divBdr>
                        <w:top w:val="none" w:sz="0" w:space="0" w:color="auto"/>
                        <w:left w:val="none" w:sz="0" w:space="0" w:color="auto"/>
                        <w:bottom w:val="none" w:sz="0" w:space="0" w:color="auto"/>
                        <w:right w:val="none" w:sz="0" w:space="0" w:color="auto"/>
                      </w:divBdr>
                    </w:div>
                  </w:divsChild>
                </w:div>
                <w:div w:id="1025253902">
                  <w:marLeft w:val="0"/>
                  <w:marRight w:val="0"/>
                  <w:marTop w:val="0"/>
                  <w:marBottom w:val="0"/>
                  <w:divBdr>
                    <w:top w:val="none" w:sz="0" w:space="0" w:color="auto"/>
                    <w:left w:val="none" w:sz="0" w:space="0" w:color="auto"/>
                    <w:bottom w:val="none" w:sz="0" w:space="0" w:color="auto"/>
                    <w:right w:val="none" w:sz="0" w:space="0" w:color="auto"/>
                  </w:divBdr>
                  <w:divsChild>
                    <w:div w:id="81608330">
                      <w:marLeft w:val="0"/>
                      <w:marRight w:val="0"/>
                      <w:marTop w:val="0"/>
                      <w:marBottom w:val="0"/>
                      <w:divBdr>
                        <w:top w:val="none" w:sz="0" w:space="0" w:color="auto"/>
                        <w:left w:val="none" w:sz="0" w:space="0" w:color="auto"/>
                        <w:bottom w:val="none" w:sz="0" w:space="0" w:color="auto"/>
                        <w:right w:val="none" w:sz="0" w:space="0" w:color="auto"/>
                      </w:divBdr>
                    </w:div>
                  </w:divsChild>
                </w:div>
                <w:div w:id="1156383238">
                  <w:marLeft w:val="0"/>
                  <w:marRight w:val="0"/>
                  <w:marTop w:val="0"/>
                  <w:marBottom w:val="0"/>
                  <w:divBdr>
                    <w:top w:val="none" w:sz="0" w:space="0" w:color="auto"/>
                    <w:left w:val="none" w:sz="0" w:space="0" w:color="auto"/>
                    <w:bottom w:val="none" w:sz="0" w:space="0" w:color="auto"/>
                    <w:right w:val="none" w:sz="0" w:space="0" w:color="auto"/>
                  </w:divBdr>
                  <w:divsChild>
                    <w:div w:id="42945186">
                      <w:marLeft w:val="0"/>
                      <w:marRight w:val="0"/>
                      <w:marTop w:val="0"/>
                      <w:marBottom w:val="0"/>
                      <w:divBdr>
                        <w:top w:val="none" w:sz="0" w:space="0" w:color="auto"/>
                        <w:left w:val="none" w:sz="0" w:space="0" w:color="auto"/>
                        <w:bottom w:val="none" w:sz="0" w:space="0" w:color="auto"/>
                        <w:right w:val="none" w:sz="0" w:space="0" w:color="auto"/>
                      </w:divBdr>
                    </w:div>
                    <w:div w:id="388189253">
                      <w:marLeft w:val="0"/>
                      <w:marRight w:val="0"/>
                      <w:marTop w:val="0"/>
                      <w:marBottom w:val="0"/>
                      <w:divBdr>
                        <w:top w:val="none" w:sz="0" w:space="0" w:color="auto"/>
                        <w:left w:val="none" w:sz="0" w:space="0" w:color="auto"/>
                        <w:bottom w:val="none" w:sz="0" w:space="0" w:color="auto"/>
                        <w:right w:val="none" w:sz="0" w:space="0" w:color="auto"/>
                      </w:divBdr>
                    </w:div>
                    <w:div w:id="431054065">
                      <w:marLeft w:val="0"/>
                      <w:marRight w:val="0"/>
                      <w:marTop w:val="0"/>
                      <w:marBottom w:val="0"/>
                      <w:divBdr>
                        <w:top w:val="none" w:sz="0" w:space="0" w:color="auto"/>
                        <w:left w:val="none" w:sz="0" w:space="0" w:color="auto"/>
                        <w:bottom w:val="none" w:sz="0" w:space="0" w:color="auto"/>
                        <w:right w:val="none" w:sz="0" w:space="0" w:color="auto"/>
                      </w:divBdr>
                    </w:div>
                    <w:div w:id="1051996972">
                      <w:marLeft w:val="0"/>
                      <w:marRight w:val="0"/>
                      <w:marTop w:val="0"/>
                      <w:marBottom w:val="0"/>
                      <w:divBdr>
                        <w:top w:val="none" w:sz="0" w:space="0" w:color="auto"/>
                        <w:left w:val="none" w:sz="0" w:space="0" w:color="auto"/>
                        <w:bottom w:val="none" w:sz="0" w:space="0" w:color="auto"/>
                        <w:right w:val="none" w:sz="0" w:space="0" w:color="auto"/>
                      </w:divBdr>
                    </w:div>
                    <w:div w:id="1073894838">
                      <w:marLeft w:val="0"/>
                      <w:marRight w:val="0"/>
                      <w:marTop w:val="0"/>
                      <w:marBottom w:val="0"/>
                      <w:divBdr>
                        <w:top w:val="none" w:sz="0" w:space="0" w:color="auto"/>
                        <w:left w:val="none" w:sz="0" w:space="0" w:color="auto"/>
                        <w:bottom w:val="none" w:sz="0" w:space="0" w:color="auto"/>
                        <w:right w:val="none" w:sz="0" w:space="0" w:color="auto"/>
                      </w:divBdr>
                    </w:div>
                    <w:div w:id="1398475982">
                      <w:marLeft w:val="0"/>
                      <w:marRight w:val="0"/>
                      <w:marTop w:val="0"/>
                      <w:marBottom w:val="0"/>
                      <w:divBdr>
                        <w:top w:val="none" w:sz="0" w:space="0" w:color="auto"/>
                        <w:left w:val="none" w:sz="0" w:space="0" w:color="auto"/>
                        <w:bottom w:val="none" w:sz="0" w:space="0" w:color="auto"/>
                        <w:right w:val="none" w:sz="0" w:space="0" w:color="auto"/>
                      </w:divBdr>
                    </w:div>
                  </w:divsChild>
                </w:div>
                <w:div w:id="1215119158">
                  <w:marLeft w:val="0"/>
                  <w:marRight w:val="0"/>
                  <w:marTop w:val="0"/>
                  <w:marBottom w:val="0"/>
                  <w:divBdr>
                    <w:top w:val="none" w:sz="0" w:space="0" w:color="auto"/>
                    <w:left w:val="none" w:sz="0" w:space="0" w:color="auto"/>
                    <w:bottom w:val="none" w:sz="0" w:space="0" w:color="auto"/>
                    <w:right w:val="none" w:sz="0" w:space="0" w:color="auto"/>
                  </w:divBdr>
                  <w:divsChild>
                    <w:div w:id="1945306451">
                      <w:marLeft w:val="0"/>
                      <w:marRight w:val="0"/>
                      <w:marTop w:val="0"/>
                      <w:marBottom w:val="0"/>
                      <w:divBdr>
                        <w:top w:val="none" w:sz="0" w:space="0" w:color="auto"/>
                        <w:left w:val="none" w:sz="0" w:space="0" w:color="auto"/>
                        <w:bottom w:val="none" w:sz="0" w:space="0" w:color="auto"/>
                        <w:right w:val="none" w:sz="0" w:space="0" w:color="auto"/>
                      </w:divBdr>
                    </w:div>
                  </w:divsChild>
                </w:div>
                <w:div w:id="1215704179">
                  <w:marLeft w:val="0"/>
                  <w:marRight w:val="0"/>
                  <w:marTop w:val="0"/>
                  <w:marBottom w:val="0"/>
                  <w:divBdr>
                    <w:top w:val="none" w:sz="0" w:space="0" w:color="auto"/>
                    <w:left w:val="none" w:sz="0" w:space="0" w:color="auto"/>
                    <w:bottom w:val="none" w:sz="0" w:space="0" w:color="auto"/>
                    <w:right w:val="none" w:sz="0" w:space="0" w:color="auto"/>
                  </w:divBdr>
                  <w:divsChild>
                    <w:div w:id="823548001">
                      <w:marLeft w:val="0"/>
                      <w:marRight w:val="0"/>
                      <w:marTop w:val="0"/>
                      <w:marBottom w:val="0"/>
                      <w:divBdr>
                        <w:top w:val="none" w:sz="0" w:space="0" w:color="auto"/>
                        <w:left w:val="none" w:sz="0" w:space="0" w:color="auto"/>
                        <w:bottom w:val="none" w:sz="0" w:space="0" w:color="auto"/>
                        <w:right w:val="none" w:sz="0" w:space="0" w:color="auto"/>
                      </w:divBdr>
                    </w:div>
                    <w:div w:id="1165053512">
                      <w:marLeft w:val="0"/>
                      <w:marRight w:val="0"/>
                      <w:marTop w:val="0"/>
                      <w:marBottom w:val="0"/>
                      <w:divBdr>
                        <w:top w:val="none" w:sz="0" w:space="0" w:color="auto"/>
                        <w:left w:val="none" w:sz="0" w:space="0" w:color="auto"/>
                        <w:bottom w:val="none" w:sz="0" w:space="0" w:color="auto"/>
                        <w:right w:val="none" w:sz="0" w:space="0" w:color="auto"/>
                      </w:divBdr>
                    </w:div>
                    <w:div w:id="1209801956">
                      <w:marLeft w:val="0"/>
                      <w:marRight w:val="0"/>
                      <w:marTop w:val="0"/>
                      <w:marBottom w:val="0"/>
                      <w:divBdr>
                        <w:top w:val="none" w:sz="0" w:space="0" w:color="auto"/>
                        <w:left w:val="none" w:sz="0" w:space="0" w:color="auto"/>
                        <w:bottom w:val="none" w:sz="0" w:space="0" w:color="auto"/>
                        <w:right w:val="none" w:sz="0" w:space="0" w:color="auto"/>
                      </w:divBdr>
                    </w:div>
                  </w:divsChild>
                </w:div>
                <w:div w:id="1240865675">
                  <w:marLeft w:val="0"/>
                  <w:marRight w:val="0"/>
                  <w:marTop w:val="0"/>
                  <w:marBottom w:val="0"/>
                  <w:divBdr>
                    <w:top w:val="none" w:sz="0" w:space="0" w:color="auto"/>
                    <w:left w:val="none" w:sz="0" w:space="0" w:color="auto"/>
                    <w:bottom w:val="none" w:sz="0" w:space="0" w:color="auto"/>
                    <w:right w:val="none" w:sz="0" w:space="0" w:color="auto"/>
                  </w:divBdr>
                  <w:divsChild>
                    <w:div w:id="659844666">
                      <w:marLeft w:val="0"/>
                      <w:marRight w:val="0"/>
                      <w:marTop w:val="0"/>
                      <w:marBottom w:val="0"/>
                      <w:divBdr>
                        <w:top w:val="none" w:sz="0" w:space="0" w:color="auto"/>
                        <w:left w:val="none" w:sz="0" w:space="0" w:color="auto"/>
                        <w:bottom w:val="none" w:sz="0" w:space="0" w:color="auto"/>
                        <w:right w:val="none" w:sz="0" w:space="0" w:color="auto"/>
                      </w:divBdr>
                    </w:div>
                  </w:divsChild>
                </w:div>
                <w:div w:id="1305114072">
                  <w:marLeft w:val="0"/>
                  <w:marRight w:val="0"/>
                  <w:marTop w:val="0"/>
                  <w:marBottom w:val="0"/>
                  <w:divBdr>
                    <w:top w:val="none" w:sz="0" w:space="0" w:color="auto"/>
                    <w:left w:val="none" w:sz="0" w:space="0" w:color="auto"/>
                    <w:bottom w:val="none" w:sz="0" w:space="0" w:color="auto"/>
                    <w:right w:val="none" w:sz="0" w:space="0" w:color="auto"/>
                  </w:divBdr>
                  <w:divsChild>
                    <w:div w:id="86966748">
                      <w:marLeft w:val="0"/>
                      <w:marRight w:val="0"/>
                      <w:marTop w:val="0"/>
                      <w:marBottom w:val="0"/>
                      <w:divBdr>
                        <w:top w:val="none" w:sz="0" w:space="0" w:color="auto"/>
                        <w:left w:val="none" w:sz="0" w:space="0" w:color="auto"/>
                        <w:bottom w:val="none" w:sz="0" w:space="0" w:color="auto"/>
                        <w:right w:val="none" w:sz="0" w:space="0" w:color="auto"/>
                      </w:divBdr>
                    </w:div>
                    <w:div w:id="411123256">
                      <w:marLeft w:val="0"/>
                      <w:marRight w:val="0"/>
                      <w:marTop w:val="0"/>
                      <w:marBottom w:val="0"/>
                      <w:divBdr>
                        <w:top w:val="none" w:sz="0" w:space="0" w:color="auto"/>
                        <w:left w:val="none" w:sz="0" w:space="0" w:color="auto"/>
                        <w:bottom w:val="none" w:sz="0" w:space="0" w:color="auto"/>
                        <w:right w:val="none" w:sz="0" w:space="0" w:color="auto"/>
                      </w:divBdr>
                    </w:div>
                    <w:div w:id="693191065">
                      <w:marLeft w:val="0"/>
                      <w:marRight w:val="0"/>
                      <w:marTop w:val="0"/>
                      <w:marBottom w:val="0"/>
                      <w:divBdr>
                        <w:top w:val="none" w:sz="0" w:space="0" w:color="auto"/>
                        <w:left w:val="none" w:sz="0" w:space="0" w:color="auto"/>
                        <w:bottom w:val="none" w:sz="0" w:space="0" w:color="auto"/>
                        <w:right w:val="none" w:sz="0" w:space="0" w:color="auto"/>
                      </w:divBdr>
                    </w:div>
                  </w:divsChild>
                </w:div>
                <w:div w:id="1498615486">
                  <w:marLeft w:val="0"/>
                  <w:marRight w:val="0"/>
                  <w:marTop w:val="0"/>
                  <w:marBottom w:val="0"/>
                  <w:divBdr>
                    <w:top w:val="none" w:sz="0" w:space="0" w:color="auto"/>
                    <w:left w:val="none" w:sz="0" w:space="0" w:color="auto"/>
                    <w:bottom w:val="none" w:sz="0" w:space="0" w:color="auto"/>
                    <w:right w:val="none" w:sz="0" w:space="0" w:color="auto"/>
                  </w:divBdr>
                  <w:divsChild>
                    <w:div w:id="1680542529">
                      <w:marLeft w:val="0"/>
                      <w:marRight w:val="0"/>
                      <w:marTop w:val="0"/>
                      <w:marBottom w:val="0"/>
                      <w:divBdr>
                        <w:top w:val="none" w:sz="0" w:space="0" w:color="auto"/>
                        <w:left w:val="none" w:sz="0" w:space="0" w:color="auto"/>
                        <w:bottom w:val="none" w:sz="0" w:space="0" w:color="auto"/>
                        <w:right w:val="none" w:sz="0" w:space="0" w:color="auto"/>
                      </w:divBdr>
                    </w:div>
                  </w:divsChild>
                </w:div>
                <w:div w:id="1544444149">
                  <w:marLeft w:val="0"/>
                  <w:marRight w:val="0"/>
                  <w:marTop w:val="0"/>
                  <w:marBottom w:val="0"/>
                  <w:divBdr>
                    <w:top w:val="none" w:sz="0" w:space="0" w:color="auto"/>
                    <w:left w:val="none" w:sz="0" w:space="0" w:color="auto"/>
                    <w:bottom w:val="none" w:sz="0" w:space="0" w:color="auto"/>
                    <w:right w:val="none" w:sz="0" w:space="0" w:color="auto"/>
                  </w:divBdr>
                  <w:divsChild>
                    <w:div w:id="800728492">
                      <w:marLeft w:val="0"/>
                      <w:marRight w:val="0"/>
                      <w:marTop w:val="0"/>
                      <w:marBottom w:val="0"/>
                      <w:divBdr>
                        <w:top w:val="none" w:sz="0" w:space="0" w:color="auto"/>
                        <w:left w:val="none" w:sz="0" w:space="0" w:color="auto"/>
                        <w:bottom w:val="none" w:sz="0" w:space="0" w:color="auto"/>
                        <w:right w:val="none" w:sz="0" w:space="0" w:color="auto"/>
                      </w:divBdr>
                    </w:div>
                    <w:div w:id="1206874130">
                      <w:marLeft w:val="0"/>
                      <w:marRight w:val="0"/>
                      <w:marTop w:val="0"/>
                      <w:marBottom w:val="0"/>
                      <w:divBdr>
                        <w:top w:val="none" w:sz="0" w:space="0" w:color="auto"/>
                        <w:left w:val="none" w:sz="0" w:space="0" w:color="auto"/>
                        <w:bottom w:val="none" w:sz="0" w:space="0" w:color="auto"/>
                        <w:right w:val="none" w:sz="0" w:space="0" w:color="auto"/>
                      </w:divBdr>
                    </w:div>
                    <w:div w:id="1300305651">
                      <w:marLeft w:val="0"/>
                      <w:marRight w:val="0"/>
                      <w:marTop w:val="0"/>
                      <w:marBottom w:val="0"/>
                      <w:divBdr>
                        <w:top w:val="none" w:sz="0" w:space="0" w:color="auto"/>
                        <w:left w:val="none" w:sz="0" w:space="0" w:color="auto"/>
                        <w:bottom w:val="none" w:sz="0" w:space="0" w:color="auto"/>
                        <w:right w:val="none" w:sz="0" w:space="0" w:color="auto"/>
                      </w:divBdr>
                    </w:div>
                    <w:div w:id="1364869890">
                      <w:marLeft w:val="0"/>
                      <w:marRight w:val="0"/>
                      <w:marTop w:val="0"/>
                      <w:marBottom w:val="0"/>
                      <w:divBdr>
                        <w:top w:val="none" w:sz="0" w:space="0" w:color="auto"/>
                        <w:left w:val="none" w:sz="0" w:space="0" w:color="auto"/>
                        <w:bottom w:val="none" w:sz="0" w:space="0" w:color="auto"/>
                        <w:right w:val="none" w:sz="0" w:space="0" w:color="auto"/>
                      </w:divBdr>
                    </w:div>
                  </w:divsChild>
                </w:div>
                <w:div w:id="1751852254">
                  <w:marLeft w:val="0"/>
                  <w:marRight w:val="0"/>
                  <w:marTop w:val="0"/>
                  <w:marBottom w:val="0"/>
                  <w:divBdr>
                    <w:top w:val="none" w:sz="0" w:space="0" w:color="auto"/>
                    <w:left w:val="none" w:sz="0" w:space="0" w:color="auto"/>
                    <w:bottom w:val="none" w:sz="0" w:space="0" w:color="auto"/>
                    <w:right w:val="none" w:sz="0" w:space="0" w:color="auto"/>
                  </w:divBdr>
                  <w:divsChild>
                    <w:div w:id="922878135">
                      <w:marLeft w:val="0"/>
                      <w:marRight w:val="0"/>
                      <w:marTop w:val="0"/>
                      <w:marBottom w:val="0"/>
                      <w:divBdr>
                        <w:top w:val="none" w:sz="0" w:space="0" w:color="auto"/>
                        <w:left w:val="none" w:sz="0" w:space="0" w:color="auto"/>
                        <w:bottom w:val="none" w:sz="0" w:space="0" w:color="auto"/>
                        <w:right w:val="none" w:sz="0" w:space="0" w:color="auto"/>
                      </w:divBdr>
                    </w:div>
                  </w:divsChild>
                </w:div>
                <w:div w:id="1784835443">
                  <w:marLeft w:val="0"/>
                  <w:marRight w:val="0"/>
                  <w:marTop w:val="0"/>
                  <w:marBottom w:val="0"/>
                  <w:divBdr>
                    <w:top w:val="none" w:sz="0" w:space="0" w:color="auto"/>
                    <w:left w:val="none" w:sz="0" w:space="0" w:color="auto"/>
                    <w:bottom w:val="none" w:sz="0" w:space="0" w:color="auto"/>
                    <w:right w:val="none" w:sz="0" w:space="0" w:color="auto"/>
                  </w:divBdr>
                  <w:divsChild>
                    <w:div w:id="709113693">
                      <w:marLeft w:val="0"/>
                      <w:marRight w:val="0"/>
                      <w:marTop w:val="0"/>
                      <w:marBottom w:val="0"/>
                      <w:divBdr>
                        <w:top w:val="none" w:sz="0" w:space="0" w:color="auto"/>
                        <w:left w:val="none" w:sz="0" w:space="0" w:color="auto"/>
                        <w:bottom w:val="none" w:sz="0" w:space="0" w:color="auto"/>
                        <w:right w:val="none" w:sz="0" w:space="0" w:color="auto"/>
                      </w:divBdr>
                    </w:div>
                    <w:div w:id="722561201">
                      <w:marLeft w:val="0"/>
                      <w:marRight w:val="0"/>
                      <w:marTop w:val="0"/>
                      <w:marBottom w:val="0"/>
                      <w:divBdr>
                        <w:top w:val="none" w:sz="0" w:space="0" w:color="auto"/>
                        <w:left w:val="none" w:sz="0" w:space="0" w:color="auto"/>
                        <w:bottom w:val="none" w:sz="0" w:space="0" w:color="auto"/>
                        <w:right w:val="none" w:sz="0" w:space="0" w:color="auto"/>
                      </w:divBdr>
                    </w:div>
                    <w:div w:id="1251156708">
                      <w:marLeft w:val="0"/>
                      <w:marRight w:val="0"/>
                      <w:marTop w:val="0"/>
                      <w:marBottom w:val="0"/>
                      <w:divBdr>
                        <w:top w:val="none" w:sz="0" w:space="0" w:color="auto"/>
                        <w:left w:val="none" w:sz="0" w:space="0" w:color="auto"/>
                        <w:bottom w:val="none" w:sz="0" w:space="0" w:color="auto"/>
                        <w:right w:val="none" w:sz="0" w:space="0" w:color="auto"/>
                      </w:divBdr>
                    </w:div>
                    <w:div w:id="1345012390">
                      <w:marLeft w:val="0"/>
                      <w:marRight w:val="0"/>
                      <w:marTop w:val="0"/>
                      <w:marBottom w:val="0"/>
                      <w:divBdr>
                        <w:top w:val="none" w:sz="0" w:space="0" w:color="auto"/>
                        <w:left w:val="none" w:sz="0" w:space="0" w:color="auto"/>
                        <w:bottom w:val="none" w:sz="0" w:space="0" w:color="auto"/>
                        <w:right w:val="none" w:sz="0" w:space="0" w:color="auto"/>
                      </w:divBdr>
                    </w:div>
                    <w:div w:id="1583029959">
                      <w:marLeft w:val="0"/>
                      <w:marRight w:val="0"/>
                      <w:marTop w:val="0"/>
                      <w:marBottom w:val="0"/>
                      <w:divBdr>
                        <w:top w:val="none" w:sz="0" w:space="0" w:color="auto"/>
                        <w:left w:val="none" w:sz="0" w:space="0" w:color="auto"/>
                        <w:bottom w:val="none" w:sz="0" w:space="0" w:color="auto"/>
                        <w:right w:val="none" w:sz="0" w:space="0" w:color="auto"/>
                      </w:divBdr>
                    </w:div>
                    <w:div w:id="1735423566">
                      <w:marLeft w:val="0"/>
                      <w:marRight w:val="0"/>
                      <w:marTop w:val="0"/>
                      <w:marBottom w:val="0"/>
                      <w:divBdr>
                        <w:top w:val="none" w:sz="0" w:space="0" w:color="auto"/>
                        <w:left w:val="none" w:sz="0" w:space="0" w:color="auto"/>
                        <w:bottom w:val="none" w:sz="0" w:space="0" w:color="auto"/>
                        <w:right w:val="none" w:sz="0" w:space="0" w:color="auto"/>
                      </w:divBdr>
                    </w:div>
                  </w:divsChild>
                </w:div>
                <w:div w:id="1892617448">
                  <w:marLeft w:val="0"/>
                  <w:marRight w:val="0"/>
                  <w:marTop w:val="0"/>
                  <w:marBottom w:val="0"/>
                  <w:divBdr>
                    <w:top w:val="none" w:sz="0" w:space="0" w:color="auto"/>
                    <w:left w:val="none" w:sz="0" w:space="0" w:color="auto"/>
                    <w:bottom w:val="none" w:sz="0" w:space="0" w:color="auto"/>
                    <w:right w:val="none" w:sz="0" w:space="0" w:color="auto"/>
                  </w:divBdr>
                  <w:divsChild>
                    <w:div w:id="292709190">
                      <w:marLeft w:val="0"/>
                      <w:marRight w:val="0"/>
                      <w:marTop w:val="0"/>
                      <w:marBottom w:val="0"/>
                      <w:divBdr>
                        <w:top w:val="none" w:sz="0" w:space="0" w:color="auto"/>
                        <w:left w:val="none" w:sz="0" w:space="0" w:color="auto"/>
                        <w:bottom w:val="none" w:sz="0" w:space="0" w:color="auto"/>
                        <w:right w:val="none" w:sz="0" w:space="0" w:color="auto"/>
                      </w:divBdr>
                    </w:div>
                    <w:div w:id="381101428">
                      <w:marLeft w:val="0"/>
                      <w:marRight w:val="0"/>
                      <w:marTop w:val="0"/>
                      <w:marBottom w:val="0"/>
                      <w:divBdr>
                        <w:top w:val="none" w:sz="0" w:space="0" w:color="auto"/>
                        <w:left w:val="none" w:sz="0" w:space="0" w:color="auto"/>
                        <w:bottom w:val="none" w:sz="0" w:space="0" w:color="auto"/>
                        <w:right w:val="none" w:sz="0" w:space="0" w:color="auto"/>
                      </w:divBdr>
                    </w:div>
                    <w:div w:id="399595053">
                      <w:marLeft w:val="0"/>
                      <w:marRight w:val="0"/>
                      <w:marTop w:val="0"/>
                      <w:marBottom w:val="0"/>
                      <w:divBdr>
                        <w:top w:val="none" w:sz="0" w:space="0" w:color="auto"/>
                        <w:left w:val="none" w:sz="0" w:space="0" w:color="auto"/>
                        <w:bottom w:val="none" w:sz="0" w:space="0" w:color="auto"/>
                        <w:right w:val="none" w:sz="0" w:space="0" w:color="auto"/>
                      </w:divBdr>
                    </w:div>
                    <w:div w:id="1575042073">
                      <w:marLeft w:val="0"/>
                      <w:marRight w:val="0"/>
                      <w:marTop w:val="0"/>
                      <w:marBottom w:val="0"/>
                      <w:divBdr>
                        <w:top w:val="none" w:sz="0" w:space="0" w:color="auto"/>
                        <w:left w:val="none" w:sz="0" w:space="0" w:color="auto"/>
                        <w:bottom w:val="none" w:sz="0" w:space="0" w:color="auto"/>
                        <w:right w:val="none" w:sz="0" w:space="0" w:color="auto"/>
                      </w:divBdr>
                    </w:div>
                    <w:div w:id="1947032919">
                      <w:marLeft w:val="0"/>
                      <w:marRight w:val="0"/>
                      <w:marTop w:val="0"/>
                      <w:marBottom w:val="0"/>
                      <w:divBdr>
                        <w:top w:val="none" w:sz="0" w:space="0" w:color="auto"/>
                        <w:left w:val="none" w:sz="0" w:space="0" w:color="auto"/>
                        <w:bottom w:val="none" w:sz="0" w:space="0" w:color="auto"/>
                        <w:right w:val="none" w:sz="0" w:space="0" w:color="auto"/>
                      </w:divBdr>
                    </w:div>
                  </w:divsChild>
                </w:div>
                <w:div w:id="1914466207">
                  <w:marLeft w:val="0"/>
                  <w:marRight w:val="0"/>
                  <w:marTop w:val="0"/>
                  <w:marBottom w:val="0"/>
                  <w:divBdr>
                    <w:top w:val="none" w:sz="0" w:space="0" w:color="auto"/>
                    <w:left w:val="none" w:sz="0" w:space="0" w:color="auto"/>
                    <w:bottom w:val="none" w:sz="0" w:space="0" w:color="auto"/>
                    <w:right w:val="none" w:sz="0" w:space="0" w:color="auto"/>
                  </w:divBdr>
                  <w:divsChild>
                    <w:div w:id="252934452">
                      <w:marLeft w:val="0"/>
                      <w:marRight w:val="0"/>
                      <w:marTop w:val="0"/>
                      <w:marBottom w:val="0"/>
                      <w:divBdr>
                        <w:top w:val="none" w:sz="0" w:space="0" w:color="auto"/>
                        <w:left w:val="none" w:sz="0" w:space="0" w:color="auto"/>
                        <w:bottom w:val="none" w:sz="0" w:space="0" w:color="auto"/>
                        <w:right w:val="none" w:sz="0" w:space="0" w:color="auto"/>
                      </w:divBdr>
                    </w:div>
                  </w:divsChild>
                </w:div>
                <w:div w:id="1930263904">
                  <w:marLeft w:val="0"/>
                  <w:marRight w:val="0"/>
                  <w:marTop w:val="0"/>
                  <w:marBottom w:val="0"/>
                  <w:divBdr>
                    <w:top w:val="none" w:sz="0" w:space="0" w:color="auto"/>
                    <w:left w:val="none" w:sz="0" w:space="0" w:color="auto"/>
                    <w:bottom w:val="none" w:sz="0" w:space="0" w:color="auto"/>
                    <w:right w:val="none" w:sz="0" w:space="0" w:color="auto"/>
                  </w:divBdr>
                  <w:divsChild>
                    <w:div w:id="516234408">
                      <w:marLeft w:val="0"/>
                      <w:marRight w:val="0"/>
                      <w:marTop w:val="0"/>
                      <w:marBottom w:val="0"/>
                      <w:divBdr>
                        <w:top w:val="none" w:sz="0" w:space="0" w:color="auto"/>
                        <w:left w:val="none" w:sz="0" w:space="0" w:color="auto"/>
                        <w:bottom w:val="none" w:sz="0" w:space="0" w:color="auto"/>
                        <w:right w:val="none" w:sz="0" w:space="0" w:color="auto"/>
                      </w:divBdr>
                    </w:div>
                  </w:divsChild>
                </w:div>
                <w:div w:id="1964270110">
                  <w:marLeft w:val="0"/>
                  <w:marRight w:val="0"/>
                  <w:marTop w:val="0"/>
                  <w:marBottom w:val="0"/>
                  <w:divBdr>
                    <w:top w:val="none" w:sz="0" w:space="0" w:color="auto"/>
                    <w:left w:val="none" w:sz="0" w:space="0" w:color="auto"/>
                    <w:bottom w:val="none" w:sz="0" w:space="0" w:color="auto"/>
                    <w:right w:val="none" w:sz="0" w:space="0" w:color="auto"/>
                  </w:divBdr>
                  <w:divsChild>
                    <w:div w:id="2072537515">
                      <w:marLeft w:val="0"/>
                      <w:marRight w:val="0"/>
                      <w:marTop w:val="0"/>
                      <w:marBottom w:val="0"/>
                      <w:divBdr>
                        <w:top w:val="none" w:sz="0" w:space="0" w:color="auto"/>
                        <w:left w:val="none" w:sz="0" w:space="0" w:color="auto"/>
                        <w:bottom w:val="none" w:sz="0" w:space="0" w:color="auto"/>
                        <w:right w:val="none" w:sz="0" w:space="0" w:color="auto"/>
                      </w:divBdr>
                    </w:div>
                  </w:divsChild>
                </w:div>
                <w:div w:id="2085372923">
                  <w:marLeft w:val="0"/>
                  <w:marRight w:val="0"/>
                  <w:marTop w:val="0"/>
                  <w:marBottom w:val="0"/>
                  <w:divBdr>
                    <w:top w:val="none" w:sz="0" w:space="0" w:color="auto"/>
                    <w:left w:val="none" w:sz="0" w:space="0" w:color="auto"/>
                    <w:bottom w:val="none" w:sz="0" w:space="0" w:color="auto"/>
                    <w:right w:val="none" w:sz="0" w:space="0" w:color="auto"/>
                  </w:divBdr>
                  <w:divsChild>
                    <w:div w:id="7509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763378">
      <w:bodyDiv w:val="1"/>
      <w:marLeft w:val="0"/>
      <w:marRight w:val="0"/>
      <w:marTop w:val="0"/>
      <w:marBottom w:val="0"/>
      <w:divBdr>
        <w:top w:val="none" w:sz="0" w:space="0" w:color="auto"/>
        <w:left w:val="none" w:sz="0" w:space="0" w:color="auto"/>
        <w:bottom w:val="none" w:sz="0" w:space="0" w:color="auto"/>
        <w:right w:val="none" w:sz="0" w:space="0" w:color="auto"/>
      </w:divBdr>
    </w:div>
    <w:div w:id="439179470">
      <w:bodyDiv w:val="1"/>
      <w:marLeft w:val="0"/>
      <w:marRight w:val="0"/>
      <w:marTop w:val="0"/>
      <w:marBottom w:val="0"/>
      <w:divBdr>
        <w:top w:val="none" w:sz="0" w:space="0" w:color="auto"/>
        <w:left w:val="none" w:sz="0" w:space="0" w:color="auto"/>
        <w:bottom w:val="none" w:sz="0" w:space="0" w:color="auto"/>
        <w:right w:val="none" w:sz="0" w:space="0" w:color="auto"/>
      </w:divBdr>
    </w:div>
    <w:div w:id="444465562">
      <w:bodyDiv w:val="1"/>
      <w:marLeft w:val="0"/>
      <w:marRight w:val="0"/>
      <w:marTop w:val="0"/>
      <w:marBottom w:val="0"/>
      <w:divBdr>
        <w:top w:val="none" w:sz="0" w:space="0" w:color="auto"/>
        <w:left w:val="none" w:sz="0" w:space="0" w:color="auto"/>
        <w:bottom w:val="none" w:sz="0" w:space="0" w:color="auto"/>
        <w:right w:val="none" w:sz="0" w:space="0" w:color="auto"/>
      </w:divBdr>
    </w:div>
    <w:div w:id="444808965">
      <w:bodyDiv w:val="1"/>
      <w:marLeft w:val="0"/>
      <w:marRight w:val="0"/>
      <w:marTop w:val="0"/>
      <w:marBottom w:val="0"/>
      <w:divBdr>
        <w:top w:val="none" w:sz="0" w:space="0" w:color="auto"/>
        <w:left w:val="none" w:sz="0" w:space="0" w:color="auto"/>
        <w:bottom w:val="none" w:sz="0" w:space="0" w:color="auto"/>
        <w:right w:val="none" w:sz="0" w:space="0" w:color="auto"/>
      </w:divBdr>
    </w:div>
    <w:div w:id="449781926">
      <w:bodyDiv w:val="1"/>
      <w:marLeft w:val="0"/>
      <w:marRight w:val="0"/>
      <w:marTop w:val="0"/>
      <w:marBottom w:val="0"/>
      <w:divBdr>
        <w:top w:val="none" w:sz="0" w:space="0" w:color="auto"/>
        <w:left w:val="none" w:sz="0" w:space="0" w:color="auto"/>
        <w:bottom w:val="none" w:sz="0" w:space="0" w:color="auto"/>
        <w:right w:val="none" w:sz="0" w:space="0" w:color="auto"/>
      </w:divBdr>
    </w:div>
    <w:div w:id="462234365">
      <w:bodyDiv w:val="1"/>
      <w:marLeft w:val="0"/>
      <w:marRight w:val="0"/>
      <w:marTop w:val="0"/>
      <w:marBottom w:val="0"/>
      <w:divBdr>
        <w:top w:val="none" w:sz="0" w:space="0" w:color="auto"/>
        <w:left w:val="none" w:sz="0" w:space="0" w:color="auto"/>
        <w:bottom w:val="none" w:sz="0" w:space="0" w:color="auto"/>
        <w:right w:val="none" w:sz="0" w:space="0" w:color="auto"/>
      </w:divBdr>
    </w:div>
    <w:div w:id="466163001">
      <w:bodyDiv w:val="1"/>
      <w:marLeft w:val="0"/>
      <w:marRight w:val="0"/>
      <w:marTop w:val="0"/>
      <w:marBottom w:val="0"/>
      <w:divBdr>
        <w:top w:val="none" w:sz="0" w:space="0" w:color="auto"/>
        <w:left w:val="none" w:sz="0" w:space="0" w:color="auto"/>
        <w:bottom w:val="none" w:sz="0" w:space="0" w:color="auto"/>
        <w:right w:val="none" w:sz="0" w:space="0" w:color="auto"/>
      </w:divBdr>
    </w:div>
    <w:div w:id="468128862">
      <w:bodyDiv w:val="1"/>
      <w:marLeft w:val="0"/>
      <w:marRight w:val="0"/>
      <w:marTop w:val="0"/>
      <w:marBottom w:val="0"/>
      <w:divBdr>
        <w:top w:val="none" w:sz="0" w:space="0" w:color="auto"/>
        <w:left w:val="none" w:sz="0" w:space="0" w:color="auto"/>
        <w:bottom w:val="none" w:sz="0" w:space="0" w:color="auto"/>
        <w:right w:val="none" w:sz="0" w:space="0" w:color="auto"/>
      </w:divBdr>
      <w:divsChild>
        <w:div w:id="13313041">
          <w:marLeft w:val="0"/>
          <w:marRight w:val="0"/>
          <w:marTop w:val="0"/>
          <w:marBottom w:val="0"/>
          <w:divBdr>
            <w:top w:val="none" w:sz="0" w:space="0" w:color="auto"/>
            <w:left w:val="none" w:sz="0" w:space="0" w:color="auto"/>
            <w:bottom w:val="none" w:sz="0" w:space="0" w:color="auto"/>
            <w:right w:val="none" w:sz="0" w:space="0" w:color="auto"/>
          </w:divBdr>
          <w:divsChild>
            <w:div w:id="602492410">
              <w:marLeft w:val="-75"/>
              <w:marRight w:val="0"/>
              <w:marTop w:val="30"/>
              <w:marBottom w:val="30"/>
              <w:divBdr>
                <w:top w:val="none" w:sz="0" w:space="0" w:color="auto"/>
                <w:left w:val="none" w:sz="0" w:space="0" w:color="auto"/>
                <w:bottom w:val="none" w:sz="0" w:space="0" w:color="auto"/>
                <w:right w:val="none" w:sz="0" w:space="0" w:color="auto"/>
              </w:divBdr>
              <w:divsChild>
                <w:div w:id="346445835">
                  <w:marLeft w:val="0"/>
                  <w:marRight w:val="0"/>
                  <w:marTop w:val="0"/>
                  <w:marBottom w:val="0"/>
                  <w:divBdr>
                    <w:top w:val="none" w:sz="0" w:space="0" w:color="auto"/>
                    <w:left w:val="none" w:sz="0" w:space="0" w:color="auto"/>
                    <w:bottom w:val="none" w:sz="0" w:space="0" w:color="auto"/>
                    <w:right w:val="none" w:sz="0" w:space="0" w:color="auto"/>
                  </w:divBdr>
                  <w:divsChild>
                    <w:div w:id="589243872">
                      <w:marLeft w:val="0"/>
                      <w:marRight w:val="0"/>
                      <w:marTop w:val="0"/>
                      <w:marBottom w:val="0"/>
                      <w:divBdr>
                        <w:top w:val="none" w:sz="0" w:space="0" w:color="auto"/>
                        <w:left w:val="none" w:sz="0" w:space="0" w:color="auto"/>
                        <w:bottom w:val="none" w:sz="0" w:space="0" w:color="auto"/>
                        <w:right w:val="none" w:sz="0" w:space="0" w:color="auto"/>
                      </w:divBdr>
                    </w:div>
                  </w:divsChild>
                </w:div>
                <w:div w:id="548224470">
                  <w:marLeft w:val="0"/>
                  <w:marRight w:val="0"/>
                  <w:marTop w:val="0"/>
                  <w:marBottom w:val="0"/>
                  <w:divBdr>
                    <w:top w:val="none" w:sz="0" w:space="0" w:color="auto"/>
                    <w:left w:val="none" w:sz="0" w:space="0" w:color="auto"/>
                    <w:bottom w:val="none" w:sz="0" w:space="0" w:color="auto"/>
                    <w:right w:val="none" w:sz="0" w:space="0" w:color="auto"/>
                  </w:divBdr>
                  <w:divsChild>
                    <w:div w:id="117143227">
                      <w:marLeft w:val="0"/>
                      <w:marRight w:val="0"/>
                      <w:marTop w:val="0"/>
                      <w:marBottom w:val="0"/>
                      <w:divBdr>
                        <w:top w:val="none" w:sz="0" w:space="0" w:color="auto"/>
                        <w:left w:val="none" w:sz="0" w:space="0" w:color="auto"/>
                        <w:bottom w:val="none" w:sz="0" w:space="0" w:color="auto"/>
                        <w:right w:val="none" w:sz="0" w:space="0" w:color="auto"/>
                      </w:divBdr>
                    </w:div>
                    <w:div w:id="266349783">
                      <w:marLeft w:val="0"/>
                      <w:marRight w:val="0"/>
                      <w:marTop w:val="0"/>
                      <w:marBottom w:val="0"/>
                      <w:divBdr>
                        <w:top w:val="none" w:sz="0" w:space="0" w:color="auto"/>
                        <w:left w:val="none" w:sz="0" w:space="0" w:color="auto"/>
                        <w:bottom w:val="none" w:sz="0" w:space="0" w:color="auto"/>
                        <w:right w:val="none" w:sz="0" w:space="0" w:color="auto"/>
                      </w:divBdr>
                    </w:div>
                    <w:div w:id="559485737">
                      <w:marLeft w:val="0"/>
                      <w:marRight w:val="0"/>
                      <w:marTop w:val="0"/>
                      <w:marBottom w:val="0"/>
                      <w:divBdr>
                        <w:top w:val="none" w:sz="0" w:space="0" w:color="auto"/>
                        <w:left w:val="none" w:sz="0" w:space="0" w:color="auto"/>
                        <w:bottom w:val="none" w:sz="0" w:space="0" w:color="auto"/>
                        <w:right w:val="none" w:sz="0" w:space="0" w:color="auto"/>
                      </w:divBdr>
                    </w:div>
                    <w:div w:id="1524856968">
                      <w:marLeft w:val="0"/>
                      <w:marRight w:val="0"/>
                      <w:marTop w:val="0"/>
                      <w:marBottom w:val="0"/>
                      <w:divBdr>
                        <w:top w:val="none" w:sz="0" w:space="0" w:color="auto"/>
                        <w:left w:val="none" w:sz="0" w:space="0" w:color="auto"/>
                        <w:bottom w:val="none" w:sz="0" w:space="0" w:color="auto"/>
                        <w:right w:val="none" w:sz="0" w:space="0" w:color="auto"/>
                      </w:divBdr>
                    </w:div>
                  </w:divsChild>
                </w:div>
                <w:div w:id="775558129">
                  <w:marLeft w:val="0"/>
                  <w:marRight w:val="0"/>
                  <w:marTop w:val="0"/>
                  <w:marBottom w:val="0"/>
                  <w:divBdr>
                    <w:top w:val="none" w:sz="0" w:space="0" w:color="auto"/>
                    <w:left w:val="none" w:sz="0" w:space="0" w:color="auto"/>
                    <w:bottom w:val="none" w:sz="0" w:space="0" w:color="auto"/>
                    <w:right w:val="none" w:sz="0" w:space="0" w:color="auto"/>
                  </w:divBdr>
                  <w:divsChild>
                    <w:div w:id="327754966">
                      <w:marLeft w:val="0"/>
                      <w:marRight w:val="0"/>
                      <w:marTop w:val="0"/>
                      <w:marBottom w:val="0"/>
                      <w:divBdr>
                        <w:top w:val="none" w:sz="0" w:space="0" w:color="auto"/>
                        <w:left w:val="none" w:sz="0" w:space="0" w:color="auto"/>
                        <w:bottom w:val="none" w:sz="0" w:space="0" w:color="auto"/>
                        <w:right w:val="none" w:sz="0" w:space="0" w:color="auto"/>
                      </w:divBdr>
                    </w:div>
                    <w:div w:id="459108580">
                      <w:marLeft w:val="0"/>
                      <w:marRight w:val="0"/>
                      <w:marTop w:val="0"/>
                      <w:marBottom w:val="0"/>
                      <w:divBdr>
                        <w:top w:val="none" w:sz="0" w:space="0" w:color="auto"/>
                        <w:left w:val="none" w:sz="0" w:space="0" w:color="auto"/>
                        <w:bottom w:val="none" w:sz="0" w:space="0" w:color="auto"/>
                        <w:right w:val="none" w:sz="0" w:space="0" w:color="auto"/>
                      </w:divBdr>
                    </w:div>
                    <w:div w:id="763187550">
                      <w:marLeft w:val="0"/>
                      <w:marRight w:val="0"/>
                      <w:marTop w:val="0"/>
                      <w:marBottom w:val="0"/>
                      <w:divBdr>
                        <w:top w:val="none" w:sz="0" w:space="0" w:color="auto"/>
                        <w:left w:val="none" w:sz="0" w:space="0" w:color="auto"/>
                        <w:bottom w:val="none" w:sz="0" w:space="0" w:color="auto"/>
                        <w:right w:val="none" w:sz="0" w:space="0" w:color="auto"/>
                      </w:divBdr>
                    </w:div>
                    <w:div w:id="912936159">
                      <w:marLeft w:val="0"/>
                      <w:marRight w:val="0"/>
                      <w:marTop w:val="0"/>
                      <w:marBottom w:val="0"/>
                      <w:divBdr>
                        <w:top w:val="none" w:sz="0" w:space="0" w:color="auto"/>
                        <w:left w:val="none" w:sz="0" w:space="0" w:color="auto"/>
                        <w:bottom w:val="none" w:sz="0" w:space="0" w:color="auto"/>
                        <w:right w:val="none" w:sz="0" w:space="0" w:color="auto"/>
                      </w:divBdr>
                    </w:div>
                  </w:divsChild>
                </w:div>
                <w:div w:id="894042943">
                  <w:marLeft w:val="0"/>
                  <w:marRight w:val="0"/>
                  <w:marTop w:val="0"/>
                  <w:marBottom w:val="0"/>
                  <w:divBdr>
                    <w:top w:val="none" w:sz="0" w:space="0" w:color="auto"/>
                    <w:left w:val="none" w:sz="0" w:space="0" w:color="auto"/>
                    <w:bottom w:val="none" w:sz="0" w:space="0" w:color="auto"/>
                    <w:right w:val="none" w:sz="0" w:space="0" w:color="auto"/>
                  </w:divBdr>
                  <w:divsChild>
                    <w:div w:id="176701823">
                      <w:marLeft w:val="0"/>
                      <w:marRight w:val="0"/>
                      <w:marTop w:val="0"/>
                      <w:marBottom w:val="0"/>
                      <w:divBdr>
                        <w:top w:val="none" w:sz="0" w:space="0" w:color="auto"/>
                        <w:left w:val="none" w:sz="0" w:space="0" w:color="auto"/>
                        <w:bottom w:val="none" w:sz="0" w:space="0" w:color="auto"/>
                        <w:right w:val="none" w:sz="0" w:space="0" w:color="auto"/>
                      </w:divBdr>
                    </w:div>
                    <w:div w:id="917592416">
                      <w:marLeft w:val="0"/>
                      <w:marRight w:val="0"/>
                      <w:marTop w:val="0"/>
                      <w:marBottom w:val="0"/>
                      <w:divBdr>
                        <w:top w:val="none" w:sz="0" w:space="0" w:color="auto"/>
                        <w:left w:val="none" w:sz="0" w:space="0" w:color="auto"/>
                        <w:bottom w:val="none" w:sz="0" w:space="0" w:color="auto"/>
                        <w:right w:val="none" w:sz="0" w:space="0" w:color="auto"/>
                      </w:divBdr>
                    </w:div>
                    <w:div w:id="1450584424">
                      <w:marLeft w:val="0"/>
                      <w:marRight w:val="0"/>
                      <w:marTop w:val="0"/>
                      <w:marBottom w:val="0"/>
                      <w:divBdr>
                        <w:top w:val="none" w:sz="0" w:space="0" w:color="auto"/>
                        <w:left w:val="none" w:sz="0" w:space="0" w:color="auto"/>
                        <w:bottom w:val="none" w:sz="0" w:space="0" w:color="auto"/>
                        <w:right w:val="none" w:sz="0" w:space="0" w:color="auto"/>
                      </w:divBdr>
                    </w:div>
                  </w:divsChild>
                </w:div>
                <w:div w:id="997928232">
                  <w:marLeft w:val="0"/>
                  <w:marRight w:val="0"/>
                  <w:marTop w:val="0"/>
                  <w:marBottom w:val="0"/>
                  <w:divBdr>
                    <w:top w:val="none" w:sz="0" w:space="0" w:color="auto"/>
                    <w:left w:val="none" w:sz="0" w:space="0" w:color="auto"/>
                    <w:bottom w:val="none" w:sz="0" w:space="0" w:color="auto"/>
                    <w:right w:val="none" w:sz="0" w:space="0" w:color="auto"/>
                  </w:divBdr>
                  <w:divsChild>
                    <w:div w:id="142166723">
                      <w:marLeft w:val="0"/>
                      <w:marRight w:val="0"/>
                      <w:marTop w:val="0"/>
                      <w:marBottom w:val="0"/>
                      <w:divBdr>
                        <w:top w:val="none" w:sz="0" w:space="0" w:color="auto"/>
                        <w:left w:val="none" w:sz="0" w:space="0" w:color="auto"/>
                        <w:bottom w:val="none" w:sz="0" w:space="0" w:color="auto"/>
                        <w:right w:val="none" w:sz="0" w:space="0" w:color="auto"/>
                      </w:divBdr>
                    </w:div>
                  </w:divsChild>
                </w:div>
                <w:div w:id="1035930339">
                  <w:marLeft w:val="0"/>
                  <w:marRight w:val="0"/>
                  <w:marTop w:val="0"/>
                  <w:marBottom w:val="0"/>
                  <w:divBdr>
                    <w:top w:val="none" w:sz="0" w:space="0" w:color="auto"/>
                    <w:left w:val="none" w:sz="0" w:space="0" w:color="auto"/>
                    <w:bottom w:val="none" w:sz="0" w:space="0" w:color="auto"/>
                    <w:right w:val="none" w:sz="0" w:space="0" w:color="auto"/>
                  </w:divBdr>
                  <w:divsChild>
                    <w:div w:id="1495678842">
                      <w:marLeft w:val="0"/>
                      <w:marRight w:val="0"/>
                      <w:marTop w:val="0"/>
                      <w:marBottom w:val="0"/>
                      <w:divBdr>
                        <w:top w:val="none" w:sz="0" w:space="0" w:color="auto"/>
                        <w:left w:val="none" w:sz="0" w:space="0" w:color="auto"/>
                        <w:bottom w:val="none" w:sz="0" w:space="0" w:color="auto"/>
                        <w:right w:val="none" w:sz="0" w:space="0" w:color="auto"/>
                      </w:divBdr>
                    </w:div>
                  </w:divsChild>
                </w:div>
                <w:div w:id="1705977609">
                  <w:marLeft w:val="0"/>
                  <w:marRight w:val="0"/>
                  <w:marTop w:val="0"/>
                  <w:marBottom w:val="0"/>
                  <w:divBdr>
                    <w:top w:val="none" w:sz="0" w:space="0" w:color="auto"/>
                    <w:left w:val="none" w:sz="0" w:space="0" w:color="auto"/>
                    <w:bottom w:val="none" w:sz="0" w:space="0" w:color="auto"/>
                    <w:right w:val="none" w:sz="0" w:space="0" w:color="auto"/>
                  </w:divBdr>
                  <w:divsChild>
                    <w:div w:id="494414947">
                      <w:marLeft w:val="0"/>
                      <w:marRight w:val="0"/>
                      <w:marTop w:val="0"/>
                      <w:marBottom w:val="0"/>
                      <w:divBdr>
                        <w:top w:val="none" w:sz="0" w:space="0" w:color="auto"/>
                        <w:left w:val="none" w:sz="0" w:space="0" w:color="auto"/>
                        <w:bottom w:val="none" w:sz="0" w:space="0" w:color="auto"/>
                        <w:right w:val="none" w:sz="0" w:space="0" w:color="auto"/>
                      </w:divBdr>
                    </w:div>
                  </w:divsChild>
                </w:div>
                <w:div w:id="1788309220">
                  <w:marLeft w:val="0"/>
                  <w:marRight w:val="0"/>
                  <w:marTop w:val="0"/>
                  <w:marBottom w:val="0"/>
                  <w:divBdr>
                    <w:top w:val="none" w:sz="0" w:space="0" w:color="auto"/>
                    <w:left w:val="none" w:sz="0" w:space="0" w:color="auto"/>
                    <w:bottom w:val="none" w:sz="0" w:space="0" w:color="auto"/>
                    <w:right w:val="none" w:sz="0" w:space="0" w:color="auto"/>
                  </w:divBdr>
                  <w:divsChild>
                    <w:div w:id="1748578253">
                      <w:marLeft w:val="0"/>
                      <w:marRight w:val="0"/>
                      <w:marTop w:val="0"/>
                      <w:marBottom w:val="0"/>
                      <w:divBdr>
                        <w:top w:val="none" w:sz="0" w:space="0" w:color="auto"/>
                        <w:left w:val="none" w:sz="0" w:space="0" w:color="auto"/>
                        <w:bottom w:val="none" w:sz="0" w:space="0" w:color="auto"/>
                        <w:right w:val="none" w:sz="0" w:space="0" w:color="auto"/>
                      </w:divBdr>
                    </w:div>
                  </w:divsChild>
                </w:div>
                <w:div w:id="1863126561">
                  <w:marLeft w:val="0"/>
                  <w:marRight w:val="0"/>
                  <w:marTop w:val="0"/>
                  <w:marBottom w:val="0"/>
                  <w:divBdr>
                    <w:top w:val="none" w:sz="0" w:space="0" w:color="auto"/>
                    <w:left w:val="none" w:sz="0" w:space="0" w:color="auto"/>
                    <w:bottom w:val="none" w:sz="0" w:space="0" w:color="auto"/>
                    <w:right w:val="none" w:sz="0" w:space="0" w:color="auto"/>
                  </w:divBdr>
                  <w:divsChild>
                    <w:div w:id="321197606">
                      <w:marLeft w:val="0"/>
                      <w:marRight w:val="0"/>
                      <w:marTop w:val="0"/>
                      <w:marBottom w:val="0"/>
                      <w:divBdr>
                        <w:top w:val="none" w:sz="0" w:space="0" w:color="auto"/>
                        <w:left w:val="none" w:sz="0" w:space="0" w:color="auto"/>
                        <w:bottom w:val="none" w:sz="0" w:space="0" w:color="auto"/>
                        <w:right w:val="none" w:sz="0" w:space="0" w:color="auto"/>
                      </w:divBdr>
                    </w:div>
                    <w:div w:id="360667655">
                      <w:marLeft w:val="0"/>
                      <w:marRight w:val="0"/>
                      <w:marTop w:val="0"/>
                      <w:marBottom w:val="0"/>
                      <w:divBdr>
                        <w:top w:val="none" w:sz="0" w:space="0" w:color="auto"/>
                        <w:left w:val="none" w:sz="0" w:space="0" w:color="auto"/>
                        <w:bottom w:val="none" w:sz="0" w:space="0" w:color="auto"/>
                        <w:right w:val="none" w:sz="0" w:space="0" w:color="auto"/>
                      </w:divBdr>
                    </w:div>
                    <w:div w:id="906308456">
                      <w:marLeft w:val="0"/>
                      <w:marRight w:val="0"/>
                      <w:marTop w:val="0"/>
                      <w:marBottom w:val="0"/>
                      <w:divBdr>
                        <w:top w:val="none" w:sz="0" w:space="0" w:color="auto"/>
                        <w:left w:val="none" w:sz="0" w:space="0" w:color="auto"/>
                        <w:bottom w:val="none" w:sz="0" w:space="0" w:color="auto"/>
                        <w:right w:val="none" w:sz="0" w:space="0" w:color="auto"/>
                      </w:divBdr>
                    </w:div>
                    <w:div w:id="934170743">
                      <w:marLeft w:val="0"/>
                      <w:marRight w:val="0"/>
                      <w:marTop w:val="0"/>
                      <w:marBottom w:val="0"/>
                      <w:divBdr>
                        <w:top w:val="none" w:sz="0" w:space="0" w:color="auto"/>
                        <w:left w:val="none" w:sz="0" w:space="0" w:color="auto"/>
                        <w:bottom w:val="none" w:sz="0" w:space="0" w:color="auto"/>
                        <w:right w:val="none" w:sz="0" w:space="0" w:color="auto"/>
                      </w:divBdr>
                    </w:div>
                    <w:div w:id="1258902009">
                      <w:marLeft w:val="0"/>
                      <w:marRight w:val="0"/>
                      <w:marTop w:val="0"/>
                      <w:marBottom w:val="0"/>
                      <w:divBdr>
                        <w:top w:val="none" w:sz="0" w:space="0" w:color="auto"/>
                        <w:left w:val="none" w:sz="0" w:space="0" w:color="auto"/>
                        <w:bottom w:val="none" w:sz="0" w:space="0" w:color="auto"/>
                        <w:right w:val="none" w:sz="0" w:space="0" w:color="auto"/>
                      </w:divBdr>
                    </w:div>
                    <w:div w:id="1300185917">
                      <w:marLeft w:val="0"/>
                      <w:marRight w:val="0"/>
                      <w:marTop w:val="0"/>
                      <w:marBottom w:val="0"/>
                      <w:divBdr>
                        <w:top w:val="none" w:sz="0" w:space="0" w:color="auto"/>
                        <w:left w:val="none" w:sz="0" w:space="0" w:color="auto"/>
                        <w:bottom w:val="none" w:sz="0" w:space="0" w:color="auto"/>
                        <w:right w:val="none" w:sz="0" w:space="0" w:color="auto"/>
                      </w:divBdr>
                    </w:div>
                    <w:div w:id="1341078234">
                      <w:marLeft w:val="0"/>
                      <w:marRight w:val="0"/>
                      <w:marTop w:val="0"/>
                      <w:marBottom w:val="0"/>
                      <w:divBdr>
                        <w:top w:val="none" w:sz="0" w:space="0" w:color="auto"/>
                        <w:left w:val="none" w:sz="0" w:space="0" w:color="auto"/>
                        <w:bottom w:val="none" w:sz="0" w:space="0" w:color="auto"/>
                        <w:right w:val="none" w:sz="0" w:space="0" w:color="auto"/>
                      </w:divBdr>
                    </w:div>
                    <w:div w:id="1401177236">
                      <w:marLeft w:val="0"/>
                      <w:marRight w:val="0"/>
                      <w:marTop w:val="0"/>
                      <w:marBottom w:val="0"/>
                      <w:divBdr>
                        <w:top w:val="none" w:sz="0" w:space="0" w:color="auto"/>
                        <w:left w:val="none" w:sz="0" w:space="0" w:color="auto"/>
                        <w:bottom w:val="none" w:sz="0" w:space="0" w:color="auto"/>
                        <w:right w:val="none" w:sz="0" w:space="0" w:color="auto"/>
                      </w:divBdr>
                    </w:div>
                    <w:div w:id="1744184251">
                      <w:marLeft w:val="0"/>
                      <w:marRight w:val="0"/>
                      <w:marTop w:val="0"/>
                      <w:marBottom w:val="0"/>
                      <w:divBdr>
                        <w:top w:val="none" w:sz="0" w:space="0" w:color="auto"/>
                        <w:left w:val="none" w:sz="0" w:space="0" w:color="auto"/>
                        <w:bottom w:val="none" w:sz="0" w:space="0" w:color="auto"/>
                        <w:right w:val="none" w:sz="0" w:space="0" w:color="auto"/>
                      </w:divBdr>
                    </w:div>
                    <w:div w:id="178280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1947">
          <w:marLeft w:val="0"/>
          <w:marRight w:val="0"/>
          <w:marTop w:val="0"/>
          <w:marBottom w:val="0"/>
          <w:divBdr>
            <w:top w:val="none" w:sz="0" w:space="0" w:color="auto"/>
            <w:left w:val="none" w:sz="0" w:space="0" w:color="auto"/>
            <w:bottom w:val="none" w:sz="0" w:space="0" w:color="auto"/>
            <w:right w:val="none" w:sz="0" w:space="0" w:color="auto"/>
          </w:divBdr>
        </w:div>
        <w:div w:id="446119082">
          <w:marLeft w:val="0"/>
          <w:marRight w:val="0"/>
          <w:marTop w:val="0"/>
          <w:marBottom w:val="0"/>
          <w:divBdr>
            <w:top w:val="none" w:sz="0" w:space="0" w:color="auto"/>
            <w:left w:val="none" w:sz="0" w:space="0" w:color="auto"/>
            <w:bottom w:val="none" w:sz="0" w:space="0" w:color="auto"/>
            <w:right w:val="none" w:sz="0" w:space="0" w:color="auto"/>
          </w:divBdr>
          <w:divsChild>
            <w:div w:id="1642612034">
              <w:marLeft w:val="-75"/>
              <w:marRight w:val="0"/>
              <w:marTop w:val="30"/>
              <w:marBottom w:val="30"/>
              <w:divBdr>
                <w:top w:val="none" w:sz="0" w:space="0" w:color="auto"/>
                <w:left w:val="none" w:sz="0" w:space="0" w:color="auto"/>
                <w:bottom w:val="none" w:sz="0" w:space="0" w:color="auto"/>
                <w:right w:val="none" w:sz="0" w:space="0" w:color="auto"/>
              </w:divBdr>
              <w:divsChild>
                <w:div w:id="875191264">
                  <w:marLeft w:val="0"/>
                  <w:marRight w:val="0"/>
                  <w:marTop w:val="0"/>
                  <w:marBottom w:val="0"/>
                  <w:divBdr>
                    <w:top w:val="none" w:sz="0" w:space="0" w:color="auto"/>
                    <w:left w:val="none" w:sz="0" w:space="0" w:color="auto"/>
                    <w:bottom w:val="none" w:sz="0" w:space="0" w:color="auto"/>
                    <w:right w:val="none" w:sz="0" w:space="0" w:color="auto"/>
                  </w:divBdr>
                  <w:divsChild>
                    <w:div w:id="1380474618">
                      <w:marLeft w:val="0"/>
                      <w:marRight w:val="0"/>
                      <w:marTop w:val="0"/>
                      <w:marBottom w:val="0"/>
                      <w:divBdr>
                        <w:top w:val="none" w:sz="0" w:space="0" w:color="auto"/>
                        <w:left w:val="none" w:sz="0" w:space="0" w:color="auto"/>
                        <w:bottom w:val="none" w:sz="0" w:space="0" w:color="auto"/>
                        <w:right w:val="none" w:sz="0" w:space="0" w:color="auto"/>
                      </w:divBdr>
                    </w:div>
                  </w:divsChild>
                </w:div>
                <w:div w:id="1925458757">
                  <w:marLeft w:val="0"/>
                  <w:marRight w:val="0"/>
                  <w:marTop w:val="0"/>
                  <w:marBottom w:val="0"/>
                  <w:divBdr>
                    <w:top w:val="none" w:sz="0" w:space="0" w:color="auto"/>
                    <w:left w:val="none" w:sz="0" w:space="0" w:color="auto"/>
                    <w:bottom w:val="none" w:sz="0" w:space="0" w:color="auto"/>
                    <w:right w:val="none" w:sz="0" w:space="0" w:color="auto"/>
                  </w:divBdr>
                  <w:divsChild>
                    <w:div w:id="863206490">
                      <w:marLeft w:val="0"/>
                      <w:marRight w:val="0"/>
                      <w:marTop w:val="0"/>
                      <w:marBottom w:val="0"/>
                      <w:divBdr>
                        <w:top w:val="none" w:sz="0" w:space="0" w:color="auto"/>
                        <w:left w:val="none" w:sz="0" w:space="0" w:color="auto"/>
                        <w:bottom w:val="none" w:sz="0" w:space="0" w:color="auto"/>
                        <w:right w:val="none" w:sz="0" w:space="0" w:color="auto"/>
                      </w:divBdr>
                    </w:div>
                    <w:div w:id="9034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2064">
          <w:marLeft w:val="0"/>
          <w:marRight w:val="0"/>
          <w:marTop w:val="0"/>
          <w:marBottom w:val="0"/>
          <w:divBdr>
            <w:top w:val="none" w:sz="0" w:space="0" w:color="auto"/>
            <w:left w:val="none" w:sz="0" w:space="0" w:color="auto"/>
            <w:bottom w:val="none" w:sz="0" w:space="0" w:color="auto"/>
            <w:right w:val="none" w:sz="0" w:space="0" w:color="auto"/>
          </w:divBdr>
        </w:div>
        <w:div w:id="664746721">
          <w:marLeft w:val="0"/>
          <w:marRight w:val="0"/>
          <w:marTop w:val="0"/>
          <w:marBottom w:val="0"/>
          <w:divBdr>
            <w:top w:val="none" w:sz="0" w:space="0" w:color="auto"/>
            <w:left w:val="none" w:sz="0" w:space="0" w:color="auto"/>
            <w:bottom w:val="none" w:sz="0" w:space="0" w:color="auto"/>
            <w:right w:val="none" w:sz="0" w:space="0" w:color="auto"/>
          </w:divBdr>
        </w:div>
        <w:div w:id="872883863">
          <w:marLeft w:val="0"/>
          <w:marRight w:val="0"/>
          <w:marTop w:val="0"/>
          <w:marBottom w:val="0"/>
          <w:divBdr>
            <w:top w:val="none" w:sz="0" w:space="0" w:color="auto"/>
            <w:left w:val="none" w:sz="0" w:space="0" w:color="auto"/>
            <w:bottom w:val="none" w:sz="0" w:space="0" w:color="auto"/>
            <w:right w:val="none" w:sz="0" w:space="0" w:color="auto"/>
          </w:divBdr>
          <w:divsChild>
            <w:div w:id="1244801538">
              <w:marLeft w:val="-75"/>
              <w:marRight w:val="0"/>
              <w:marTop w:val="30"/>
              <w:marBottom w:val="30"/>
              <w:divBdr>
                <w:top w:val="none" w:sz="0" w:space="0" w:color="auto"/>
                <w:left w:val="none" w:sz="0" w:space="0" w:color="auto"/>
                <w:bottom w:val="none" w:sz="0" w:space="0" w:color="auto"/>
                <w:right w:val="none" w:sz="0" w:space="0" w:color="auto"/>
              </w:divBdr>
              <w:divsChild>
                <w:div w:id="44329349">
                  <w:marLeft w:val="0"/>
                  <w:marRight w:val="0"/>
                  <w:marTop w:val="0"/>
                  <w:marBottom w:val="0"/>
                  <w:divBdr>
                    <w:top w:val="none" w:sz="0" w:space="0" w:color="auto"/>
                    <w:left w:val="none" w:sz="0" w:space="0" w:color="auto"/>
                    <w:bottom w:val="none" w:sz="0" w:space="0" w:color="auto"/>
                    <w:right w:val="none" w:sz="0" w:space="0" w:color="auto"/>
                  </w:divBdr>
                  <w:divsChild>
                    <w:div w:id="1276400556">
                      <w:marLeft w:val="0"/>
                      <w:marRight w:val="0"/>
                      <w:marTop w:val="0"/>
                      <w:marBottom w:val="0"/>
                      <w:divBdr>
                        <w:top w:val="none" w:sz="0" w:space="0" w:color="auto"/>
                        <w:left w:val="none" w:sz="0" w:space="0" w:color="auto"/>
                        <w:bottom w:val="none" w:sz="0" w:space="0" w:color="auto"/>
                        <w:right w:val="none" w:sz="0" w:space="0" w:color="auto"/>
                      </w:divBdr>
                    </w:div>
                  </w:divsChild>
                </w:div>
                <w:div w:id="141701655">
                  <w:marLeft w:val="0"/>
                  <w:marRight w:val="0"/>
                  <w:marTop w:val="0"/>
                  <w:marBottom w:val="0"/>
                  <w:divBdr>
                    <w:top w:val="none" w:sz="0" w:space="0" w:color="auto"/>
                    <w:left w:val="none" w:sz="0" w:space="0" w:color="auto"/>
                    <w:bottom w:val="none" w:sz="0" w:space="0" w:color="auto"/>
                    <w:right w:val="none" w:sz="0" w:space="0" w:color="auto"/>
                  </w:divBdr>
                  <w:divsChild>
                    <w:div w:id="1431462352">
                      <w:marLeft w:val="0"/>
                      <w:marRight w:val="0"/>
                      <w:marTop w:val="0"/>
                      <w:marBottom w:val="0"/>
                      <w:divBdr>
                        <w:top w:val="none" w:sz="0" w:space="0" w:color="auto"/>
                        <w:left w:val="none" w:sz="0" w:space="0" w:color="auto"/>
                        <w:bottom w:val="none" w:sz="0" w:space="0" w:color="auto"/>
                        <w:right w:val="none" w:sz="0" w:space="0" w:color="auto"/>
                      </w:divBdr>
                    </w:div>
                  </w:divsChild>
                </w:div>
                <w:div w:id="544367539">
                  <w:marLeft w:val="0"/>
                  <w:marRight w:val="0"/>
                  <w:marTop w:val="0"/>
                  <w:marBottom w:val="0"/>
                  <w:divBdr>
                    <w:top w:val="none" w:sz="0" w:space="0" w:color="auto"/>
                    <w:left w:val="none" w:sz="0" w:space="0" w:color="auto"/>
                    <w:bottom w:val="none" w:sz="0" w:space="0" w:color="auto"/>
                    <w:right w:val="none" w:sz="0" w:space="0" w:color="auto"/>
                  </w:divBdr>
                  <w:divsChild>
                    <w:div w:id="325793412">
                      <w:marLeft w:val="0"/>
                      <w:marRight w:val="0"/>
                      <w:marTop w:val="0"/>
                      <w:marBottom w:val="0"/>
                      <w:divBdr>
                        <w:top w:val="none" w:sz="0" w:space="0" w:color="auto"/>
                        <w:left w:val="none" w:sz="0" w:space="0" w:color="auto"/>
                        <w:bottom w:val="none" w:sz="0" w:space="0" w:color="auto"/>
                        <w:right w:val="none" w:sz="0" w:space="0" w:color="auto"/>
                      </w:divBdr>
                    </w:div>
                    <w:div w:id="706756098">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1042901087">
                      <w:marLeft w:val="0"/>
                      <w:marRight w:val="0"/>
                      <w:marTop w:val="0"/>
                      <w:marBottom w:val="0"/>
                      <w:divBdr>
                        <w:top w:val="none" w:sz="0" w:space="0" w:color="auto"/>
                        <w:left w:val="none" w:sz="0" w:space="0" w:color="auto"/>
                        <w:bottom w:val="none" w:sz="0" w:space="0" w:color="auto"/>
                        <w:right w:val="none" w:sz="0" w:space="0" w:color="auto"/>
                      </w:divBdr>
                    </w:div>
                    <w:div w:id="1163277901">
                      <w:marLeft w:val="0"/>
                      <w:marRight w:val="0"/>
                      <w:marTop w:val="0"/>
                      <w:marBottom w:val="0"/>
                      <w:divBdr>
                        <w:top w:val="none" w:sz="0" w:space="0" w:color="auto"/>
                        <w:left w:val="none" w:sz="0" w:space="0" w:color="auto"/>
                        <w:bottom w:val="none" w:sz="0" w:space="0" w:color="auto"/>
                        <w:right w:val="none" w:sz="0" w:space="0" w:color="auto"/>
                      </w:divBdr>
                    </w:div>
                    <w:div w:id="1783183575">
                      <w:marLeft w:val="0"/>
                      <w:marRight w:val="0"/>
                      <w:marTop w:val="0"/>
                      <w:marBottom w:val="0"/>
                      <w:divBdr>
                        <w:top w:val="none" w:sz="0" w:space="0" w:color="auto"/>
                        <w:left w:val="none" w:sz="0" w:space="0" w:color="auto"/>
                        <w:bottom w:val="none" w:sz="0" w:space="0" w:color="auto"/>
                        <w:right w:val="none" w:sz="0" w:space="0" w:color="auto"/>
                      </w:divBdr>
                    </w:div>
                    <w:div w:id="1863129999">
                      <w:marLeft w:val="0"/>
                      <w:marRight w:val="0"/>
                      <w:marTop w:val="0"/>
                      <w:marBottom w:val="0"/>
                      <w:divBdr>
                        <w:top w:val="none" w:sz="0" w:space="0" w:color="auto"/>
                        <w:left w:val="none" w:sz="0" w:space="0" w:color="auto"/>
                        <w:bottom w:val="none" w:sz="0" w:space="0" w:color="auto"/>
                        <w:right w:val="none" w:sz="0" w:space="0" w:color="auto"/>
                      </w:divBdr>
                    </w:div>
                    <w:div w:id="1865632929">
                      <w:marLeft w:val="0"/>
                      <w:marRight w:val="0"/>
                      <w:marTop w:val="0"/>
                      <w:marBottom w:val="0"/>
                      <w:divBdr>
                        <w:top w:val="none" w:sz="0" w:space="0" w:color="auto"/>
                        <w:left w:val="none" w:sz="0" w:space="0" w:color="auto"/>
                        <w:bottom w:val="none" w:sz="0" w:space="0" w:color="auto"/>
                        <w:right w:val="none" w:sz="0" w:space="0" w:color="auto"/>
                      </w:divBdr>
                    </w:div>
                    <w:div w:id="2131122183">
                      <w:marLeft w:val="0"/>
                      <w:marRight w:val="0"/>
                      <w:marTop w:val="0"/>
                      <w:marBottom w:val="0"/>
                      <w:divBdr>
                        <w:top w:val="none" w:sz="0" w:space="0" w:color="auto"/>
                        <w:left w:val="none" w:sz="0" w:space="0" w:color="auto"/>
                        <w:bottom w:val="none" w:sz="0" w:space="0" w:color="auto"/>
                        <w:right w:val="none" w:sz="0" w:space="0" w:color="auto"/>
                      </w:divBdr>
                    </w:div>
                  </w:divsChild>
                </w:div>
                <w:div w:id="845366858">
                  <w:marLeft w:val="0"/>
                  <w:marRight w:val="0"/>
                  <w:marTop w:val="0"/>
                  <w:marBottom w:val="0"/>
                  <w:divBdr>
                    <w:top w:val="none" w:sz="0" w:space="0" w:color="auto"/>
                    <w:left w:val="none" w:sz="0" w:space="0" w:color="auto"/>
                    <w:bottom w:val="none" w:sz="0" w:space="0" w:color="auto"/>
                    <w:right w:val="none" w:sz="0" w:space="0" w:color="auto"/>
                  </w:divBdr>
                  <w:divsChild>
                    <w:div w:id="1244290755">
                      <w:marLeft w:val="0"/>
                      <w:marRight w:val="0"/>
                      <w:marTop w:val="0"/>
                      <w:marBottom w:val="0"/>
                      <w:divBdr>
                        <w:top w:val="none" w:sz="0" w:space="0" w:color="auto"/>
                        <w:left w:val="none" w:sz="0" w:space="0" w:color="auto"/>
                        <w:bottom w:val="none" w:sz="0" w:space="0" w:color="auto"/>
                        <w:right w:val="none" w:sz="0" w:space="0" w:color="auto"/>
                      </w:divBdr>
                    </w:div>
                    <w:div w:id="1970823456">
                      <w:marLeft w:val="0"/>
                      <w:marRight w:val="0"/>
                      <w:marTop w:val="0"/>
                      <w:marBottom w:val="0"/>
                      <w:divBdr>
                        <w:top w:val="none" w:sz="0" w:space="0" w:color="auto"/>
                        <w:left w:val="none" w:sz="0" w:space="0" w:color="auto"/>
                        <w:bottom w:val="none" w:sz="0" w:space="0" w:color="auto"/>
                        <w:right w:val="none" w:sz="0" w:space="0" w:color="auto"/>
                      </w:divBdr>
                    </w:div>
                  </w:divsChild>
                </w:div>
                <w:div w:id="2063016077">
                  <w:marLeft w:val="0"/>
                  <w:marRight w:val="0"/>
                  <w:marTop w:val="0"/>
                  <w:marBottom w:val="0"/>
                  <w:divBdr>
                    <w:top w:val="none" w:sz="0" w:space="0" w:color="auto"/>
                    <w:left w:val="none" w:sz="0" w:space="0" w:color="auto"/>
                    <w:bottom w:val="none" w:sz="0" w:space="0" w:color="auto"/>
                    <w:right w:val="none" w:sz="0" w:space="0" w:color="auto"/>
                  </w:divBdr>
                  <w:divsChild>
                    <w:div w:id="2575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139112">
          <w:marLeft w:val="0"/>
          <w:marRight w:val="0"/>
          <w:marTop w:val="0"/>
          <w:marBottom w:val="0"/>
          <w:divBdr>
            <w:top w:val="none" w:sz="0" w:space="0" w:color="auto"/>
            <w:left w:val="none" w:sz="0" w:space="0" w:color="auto"/>
            <w:bottom w:val="none" w:sz="0" w:space="0" w:color="auto"/>
            <w:right w:val="none" w:sz="0" w:space="0" w:color="auto"/>
          </w:divBdr>
        </w:div>
        <w:div w:id="1612931916">
          <w:marLeft w:val="0"/>
          <w:marRight w:val="0"/>
          <w:marTop w:val="0"/>
          <w:marBottom w:val="0"/>
          <w:divBdr>
            <w:top w:val="none" w:sz="0" w:space="0" w:color="auto"/>
            <w:left w:val="none" w:sz="0" w:space="0" w:color="auto"/>
            <w:bottom w:val="none" w:sz="0" w:space="0" w:color="auto"/>
            <w:right w:val="none" w:sz="0" w:space="0" w:color="auto"/>
          </w:divBdr>
        </w:div>
        <w:div w:id="1698509917">
          <w:marLeft w:val="0"/>
          <w:marRight w:val="0"/>
          <w:marTop w:val="0"/>
          <w:marBottom w:val="0"/>
          <w:divBdr>
            <w:top w:val="none" w:sz="0" w:space="0" w:color="auto"/>
            <w:left w:val="none" w:sz="0" w:space="0" w:color="auto"/>
            <w:bottom w:val="none" w:sz="0" w:space="0" w:color="auto"/>
            <w:right w:val="none" w:sz="0" w:space="0" w:color="auto"/>
          </w:divBdr>
          <w:divsChild>
            <w:div w:id="69621759">
              <w:marLeft w:val="-75"/>
              <w:marRight w:val="0"/>
              <w:marTop w:val="30"/>
              <w:marBottom w:val="30"/>
              <w:divBdr>
                <w:top w:val="none" w:sz="0" w:space="0" w:color="auto"/>
                <w:left w:val="none" w:sz="0" w:space="0" w:color="auto"/>
                <w:bottom w:val="none" w:sz="0" w:space="0" w:color="auto"/>
                <w:right w:val="none" w:sz="0" w:space="0" w:color="auto"/>
              </w:divBdr>
              <w:divsChild>
                <w:div w:id="38213513">
                  <w:marLeft w:val="0"/>
                  <w:marRight w:val="0"/>
                  <w:marTop w:val="0"/>
                  <w:marBottom w:val="0"/>
                  <w:divBdr>
                    <w:top w:val="none" w:sz="0" w:space="0" w:color="auto"/>
                    <w:left w:val="none" w:sz="0" w:space="0" w:color="auto"/>
                    <w:bottom w:val="none" w:sz="0" w:space="0" w:color="auto"/>
                    <w:right w:val="none" w:sz="0" w:space="0" w:color="auto"/>
                  </w:divBdr>
                  <w:divsChild>
                    <w:div w:id="1858812025">
                      <w:marLeft w:val="0"/>
                      <w:marRight w:val="0"/>
                      <w:marTop w:val="0"/>
                      <w:marBottom w:val="0"/>
                      <w:divBdr>
                        <w:top w:val="none" w:sz="0" w:space="0" w:color="auto"/>
                        <w:left w:val="none" w:sz="0" w:space="0" w:color="auto"/>
                        <w:bottom w:val="none" w:sz="0" w:space="0" w:color="auto"/>
                        <w:right w:val="none" w:sz="0" w:space="0" w:color="auto"/>
                      </w:divBdr>
                    </w:div>
                  </w:divsChild>
                </w:div>
                <w:div w:id="77217845">
                  <w:marLeft w:val="0"/>
                  <w:marRight w:val="0"/>
                  <w:marTop w:val="0"/>
                  <w:marBottom w:val="0"/>
                  <w:divBdr>
                    <w:top w:val="none" w:sz="0" w:space="0" w:color="auto"/>
                    <w:left w:val="none" w:sz="0" w:space="0" w:color="auto"/>
                    <w:bottom w:val="none" w:sz="0" w:space="0" w:color="auto"/>
                    <w:right w:val="none" w:sz="0" w:space="0" w:color="auto"/>
                  </w:divBdr>
                  <w:divsChild>
                    <w:div w:id="1284388608">
                      <w:marLeft w:val="0"/>
                      <w:marRight w:val="0"/>
                      <w:marTop w:val="0"/>
                      <w:marBottom w:val="0"/>
                      <w:divBdr>
                        <w:top w:val="none" w:sz="0" w:space="0" w:color="auto"/>
                        <w:left w:val="none" w:sz="0" w:space="0" w:color="auto"/>
                        <w:bottom w:val="none" w:sz="0" w:space="0" w:color="auto"/>
                        <w:right w:val="none" w:sz="0" w:space="0" w:color="auto"/>
                      </w:divBdr>
                    </w:div>
                  </w:divsChild>
                </w:div>
                <w:div w:id="751587259">
                  <w:marLeft w:val="0"/>
                  <w:marRight w:val="0"/>
                  <w:marTop w:val="0"/>
                  <w:marBottom w:val="0"/>
                  <w:divBdr>
                    <w:top w:val="none" w:sz="0" w:space="0" w:color="auto"/>
                    <w:left w:val="none" w:sz="0" w:space="0" w:color="auto"/>
                    <w:bottom w:val="none" w:sz="0" w:space="0" w:color="auto"/>
                    <w:right w:val="none" w:sz="0" w:space="0" w:color="auto"/>
                  </w:divBdr>
                  <w:divsChild>
                    <w:div w:id="585849437">
                      <w:marLeft w:val="0"/>
                      <w:marRight w:val="0"/>
                      <w:marTop w:val="0"/>
                      <w:marBottom w:val="0"/>
                      <w:divBdr>
                        <w:top w:val="none" w:sz="0" w:space="0" w:color="auto"/>
                        <w:left w:val="none" w:sz="0" w:space="0" w:color="auto"/>
                        <w:bottom w:val="none" w:sz="0" w:space="0" w:color="auto"/>
                        <w:right w:val="none" w:sz="0" w:space="0" w:color="auto"/>
                      </w:divBdr>
                    </w:div>
                    <w:div w:id="953094373">
                      <w:marLeft w:val="0"/>
                      <w:marRight w:val="0"/>
                      <w:marTop w:val="0"/>
                      <w:marBottom w:val="0"/>
                      <w:divBdr>
                        <w:top w:val="none" w:sz="0" w:space="0" w:color="auto"/>
                        <w:left w:val="none" w:sz="0" w:space="0" w:color="auto"/>
                        <w:bottom w:val="none" w:sz="0" w:space="0" w:color="auto"/>
                        <w:right w:val="none" w:sz="0" w:space="0" w:color="auto"/>
                      </w:divBdr>
                    </w:div>
                    <w:div w:id="1373648290">
                      <w:marLeft w:val="0"/>
                      <w:marRight w:val="0"/>
                      <w:marTop w:val="0"/>
                      <w:marBottom w:val="0"/>
                      <w:divBdr>
                        <w:top w:val="none" w:sz="0" w:space="0" w:color="auto"/>
                        <w:left w:val="none" w:sz="0" w:space="0" w:color="auto"/>
                        <w:bottom w:val="none" w:sz="0" w:space="0" w:color="auto"/>
                        <w:right w:val="none" w:sz="0" w:space="0" w:color="auto"/>
                      </w:divBdr>
                    </w:div>
                  </w:divsChild>
                </w:div>
                <w:div w:id="873620929">
                  <w:marLeft w:val="0"/>
                  <w:marRight w:val="0"/>
                  <w:marTop w:val="0"/>
                  <w:marBottom w:val="0"/>
                  <w:divBdr>
                    <w:top w:val="none" w:sz="0" w:space="0" w:color="auto"/>
                    <w:left w:val="none" w:sz="0" w:space="0" w:color="auto"/>
                    <w:bottom w:val="none" w:sz="0" w:space="0" w:color="auto"/>
                    <w:right w:val="none" w:sz="0" w:space="0" w:color="auto"/>
                  </w:divBdr>
                  <w:divsChild>
                    <w:div w:id="1319916348">
                      <w:marLeft w:val="0"/>
                      <w:marRight w:val="0"/>
                      <w:marTop w:val="0"/>
                      <w:marBottom w:val="0"/>
                      <w:divBdr>
                        <w:top w:val="none" w:sz="0" w:space="0" w:color="auto"/>
                        <w:left w:val="none" w:sz="0" w:space="0" w:color="auto"/>
                        <w:bottom w:val="none" w:sz="0" w:space="0" w:color="auto"/>
                        <w:right w:val="none" w:sz="0" w:space="0" w:color="auto"/>
                      </w:divBdr>
                    </w:div>
                  </w:divsChild>
                </w:div>
                <w:div w:id="1126699126">
                  <w:marLeft w:val="0"/>
                  <w:marRight w:val="0"/>
                  <w:marTop w:val="0"/>
                  <w:marBottom w:val="0"/>
                  <w:divBdr>
                    <w:top w:val="none" w:sz="0" w:space="0" w:color="auto"/>
                    <w:left w:val="none" w:sz="0" w:space="0" w:color="auto"/>
                    <w:bottom w:val="none" w:sz="0" w:space="0" w:color="auto"/>
                    <w:right w:val="none" w:sz="0" w:space="0" w:color="auto"/>
                  </w:divBdr>
                  <w:divsChild>
                    <w:div w:id="1042243309">
                      <w:marLeft w:val="0"/>
                      <w:marRight w:val="0"/>
                      <w:marTop w:val="0"/>
                      <w:marBottom w:val="0"/>
                      <w:divBdr>
                        <w:top w:val="none" w:sz="0" w:space="0" w:color="auto"/>
                        <w:left w:val="none" w:sz="0" w:space="0" w:color="auto"/>
                        <w:bottom w:val="none" w:sz="0" w:space="0" w:color="auto"/>
                        <w:right w:val="none" w:sz="0" w:space="0" w:color="auto"/>
                      </w:divBdr>
                    </w:div>
                  </w:divsChild>
                </w:div>
                <w:div w:id="1306087895">
                  <w:marLeft w:val="0"/>
                  <w:marRight w:val="0"/>
                  <w:marTop w:val="0"/>
                  <w:marBottom w:val="0"/>
                  <w:divBdr>
                    <w:top w:val="none" w:sz="0" w:space="0" w:color="auto"/>
                    <w:left w:val="none" w:sz="0" w:space="0" w:color="auto"/>
                    <w:bottom w:val="none" w:sz="0" w:space="0" w:color="auto"/>
                    <w:right w:val="none" w:sz="0" w:space="0" w:color="auto"/>
                  </w:divBdr>
                  <w:divsChild>
                    <w:div w:id="151146332">
                      <w:marLeft w:val="0"/>
                      <w:marRight w:val="0"/>
                      <w:marTop w:val="0"/>
                      <w:marBottom w:val="0"/>
                      <w:divBdr>
                        <w:top w:val="none" w:sz="0" w:space="0" w:color="auto"/>
                        <w:left w:val="none" w:sz="0" w:space="0" w:color="auto"/>
                        <w:bottom w:val="none" w:sz="0" w:space="0" w:color="auto"/>
                        <w:right w:val="none" w:sz="0" w:space="0" w:color="auto"/>
                      </w:divBdr>
                    </w:div>
                    <w:div w:id="290285050">
                      <w:marLeft w:val="0"/>
                      <w:marRight w:val="0"/>
                      <w:marTop w:val="0"/>
                      <w:marBottom w:val="0"/>
                      <w:divBdr>
                        <w:top w:val="none" w:sz="0" w:space="0" w:color="auto"/>
                        <w:left w:val="none" w:sz="0" w:space="0" w:color="auto"/>
                        <w:bottom w:val="none" w:sz="0" w:space="0" w:color="auto"/>
                        <w:right w:val="none" w:sz="0" w:space="0" w:color="auto"/>
                      </w:divBdr>
                    </w:div>
                    <w:div w:id="709841312">
                      <w:marLeft w:val="0"/>
                      <w:marRight w:val="0"/>
                      <w:marTop w:val="0"/>
                      <w:marBottom w:val="0"/>
                      <w:divBdr>
                        <w:top w:val="none" w:sz="0" w:space="0" w:color="auto"/>
                        <w:left w:val="none" w:sz="0" w:space="0" w:color="auto"/>
                        <w:bottom w:val="none" w:sz="0" w:space="0" w:color="auto"/>
                        <w:right w:val="none" w:sz="0" w:space="0" w:color="auto"/>
                      </w:divBdr>
                    </w:div>
                  </w:divsChild>
                </w:div>
                <w:div w:id="1363751736">
                  <w:marLeft w:val="0"/>
                  <w:marRight w:val="0"/>
                  <w:marTop w:val="0"/>
                  <w:marBottom w:val="0"/>
                  <w:divBdr>
                    <w:top w:val="none" w:sz="0" w:space="0" w:color="auto"/>
                    <w:left w:val="none" w:sz="0" w:space="0" w:color="auto"/>
                    <w:bottom w:val="none" w:sz="0" w:space="0" w:color="auto"/>
                    <w:right w:val="none" w:sz="0" w:space="0" w:color="auto"/>
                  </w:divBdr>
                  <w:divsChild>
                    <w:div w:id="2058582867">
                      <w:marLeft w:val="0"/>
                      <w:marRight w:val="0"/>
                      <w:marTop w:val="0"/>
                      <w:marBottom w:val="0"/>
                      <w:divBdr>
                        <w:top w:val="none" w:sz="0" w:space="0" w:color="auto"/>
                        <w:left w:val="none" w:sz="0" w:space="0" w:color="auto"/>
                        <w:bottom w:val="none" w:sz="0" w:space="0" w:color="auto"/>
                        <w:right w:val="none" w:sz="0" w:space="0" w:color="auto"/>
                      </w:divBdr>
                    </w:div>
                  </w:divsChild>
                </w:div>
                <w:div w:id="1573345426">
                  <w:marLeft w:val="0"/>
                  <w:marRight w:val="0"/>
                  <w:marTop w:val="0"/>
                  <w:marBottom w:val="0"/>
                  <w:divBdr>
                    <w:top w:val="none" w:sz="0" w:space="0" w:color="auto"/>
                    <w:left w:val="none" w:sz="0" w:space="0" w:color="auto"/>
                    <w:bottom w:val="none" w:sz="0" w:space="0" w:color="auto"/>
                    <w:right w:val="none" w:sz="0" w:space="0" w:color="auto"/>
                  </w:divBdr>
                  <w:divsChild>
                    <w:div w:id="994918293">
                      <w:marLeft w:val="0"/>
                      <w:marRight w:val="0"/>
                      <w:marTop w:val="0"/>
                      <w:marBottom w:val="0"/>
                      <w:divBdr>
                        <w:top w:val="none" w:sz="0" w:space="0" w:color="auto"/>
                        <w:left w:val="none" w:sz="0" w:space="0" w:color="auto"/>
                        <w:bottom w:val="none" w:sz="0" w:space="0" w:color="auto"/>
                        <w:right w:val="none" w:sz="0" w:space="0" w:color="auto"/>
                      </w:divBdr>
                    </w:div>
                    <w:div w:id="1120999964">
                      <w:marLeft w:val="0"/>
                      <w:marRight w:val="0"/>
                      <w:marTop w:val="0"/>
                      <w:marBottom w:val="0"/>
                      <w:divBdr>
                        <w:top w:val="none" w:sz="0" w:space="0" w:color="auto"/>
                        <w:left w:val="none" w:sz="0" w:space="0" w:color="auto"/>
                        <w:bottom w:val="none" w:sz="0" w:space="0" w:color="auto"/>
                        <w:right w:val="none" w:sz="0" w:space="0" w:color="auto"/>
                      </w:divBdr>
                    </w:div>
                    <w:div w:id="2033341257">
                      <w:marLeft w:val="0"/>
                      <w:marRight w:val="0"/>
                      <w:marTop w:val="0"/>
                      <w:marBottom w:val="0"/>
                      <w:divBdr>
                        <w:top w:val="none" w:sz="0" w:space="0" w:color="auto"/>
                        <w:left w:val="none" w:sz="0" w:space="0" w:color="auto"/>
                        <w:bottom w:val="none" w:sz="0" w:space="0" w:color="auto"/>
                        <w:right w:val="none" w:sz="0" w:space="0" w:color="auto"/>
                      </w:divBdr>
                    </w:div>
                  </w:divsChild>
                </w:div>
                <w:div w:id="1640837009">
                  <w:marLeft w:val="0"/>
                  <w:marRight w:val="0"/>
                  <w:marTop w:val="0"/>
                  <w:marBottom w:val="0"/>
                  <w:divBdr>
                    <w:top w:val="none" w:sz="0" w:space="0" w:color="auto"/>
                    <w:left w:val="none" w:sz="0" w:space="0" w:color="auto"/>
                    <w:bottom w:val="none" w:sz="0" w:space="0" w:color="auto"/>
                    <w:right w:val="none" w:sz="0" w:space="0" w:color="auto"/>
                  </w:divBdr>
                  <w:divsChild>
                    <w:div w:id="256449839">
                      <w:marLeft w:val="0"/>
                      <w:marRight w:val="0"/>
                      <w:marTop w:val="0"/>
                      <w:marBottom w:val="0"/>
                      <w:divBdr>
                        <w:top w:val="none" w:sz="0" w:space="0" w:color="auto"/>
                        <w:left w:val="none" w:sz="0" w:space="0" w:color="auto"/>
                        <w:bottom w:val="none" w:sz="0" w:space="0" w:color="auto"/>
                        <w:right w:val="none" w:sz="0" w:space="0" w:color="auto"/>
                      </w:divBdr>
                    </w:div>
                    <w:div w:id="655299314">
                      <w:marLeft w:val="0"/>
                      <w:marRight w:val="0"/>
                      <w:marTop w:val="0"/>
                      <w:marBottom w:val="0"/>
                      <w:divBdr>
                        <w:top w:val="none" w:sz="0" w:space="0" w:color="auto"/>
                        <w:left w:val="none" w:sz="0" w:space="0" w:color="auto"/>
                        <w:bottom w:val="none" w:sz="0" w:space="0" w:color="auto"/>
                        <w:right w:val="none" w:sz="0" w:space="0" w:color="auto"/>
                      </w:divBdr>
                    </w:div>
                    <w:div w:id="1083718420">
                      <w:marLeft w:val="0"/>
                      <w:marRight w:val="0"/>
                      <w:marTop w:val="0"/>
                      <w:marBottom w:val="0"/>
                      <w:divBdr>
                        <w:top w:val="none" w:sz="0" w:space="0" w:color="auto"/>
                        <w:left w:val="none" w:sz="0" w:space="0" w:color="auto"/>
                        <w:bottom w:val="none" w:sz="0" w:space="0" w:color="auto"/>
                        <w:right w:val="none" w:sz="0" w:space="0" w:color="auto"/>
                      </w:divBdr>
                    </w:div>
                  </w:divsChild>
                </w:div>
                <w:div w:id="1834637278">
                  <w:marLeft w:val="0"/>
                  <w:marRight w:val="0"/>
                  <w:marTop w:val="0"/>
                  <w:marBottom w:val="0"/>
                  <w:divBdr>
                    <w:top w:val="none" w:sz="0" w:space="0" w:color="auto"/>
                    <w:left w:val="none" w:sz="0" w:space="0" w:color="auto"/>
                    <w:bottom w:val="none" w:sz="0" w:space="0" w:color="auto"/>
                    <w:right w:val="none" w:sz="0" w:space="0" w:color="auto"/>
                  </w:divBdr>
                  <w:divsChild>
                    <w:div w:id="596866529">
                      <w:marLeft w:val="0"/>
                      <w:marRight w:val="0"/>
                      <w:marTop w:val="0"/>
                      <w:marBottom w:val="0"/>
                      <w:divBdr>
                        <w:top w:val="none" w:sz="0" w:space="0" w:color="auto"/>
                        <w:left w:val="none" w:sz="0" w:space="0" w:color="auto"/>
                        <w:bottom w:val="none" w:sz="0" w:space="0" w:color="auto"/>
                        <w:right w:val="none" w:sz="0" w:space="0" w:color="auto"/>
                      </w:divBdr>
                    </w:div>
                  </w:divsChild>
                </w:div>
                <w:div w:id="1909001402">
                  <w:marLeft w:val="0"/>
                  <w:marRight w:val="0"/>
                  <w:marTop w:val="0"/>
                  <w:marBottom w:val="0"/>
                  <w:divBdr>
                    <w:top w:val="none" w:sz="0" w:space="0" w:color="auto"/>
                    <w:left w:val="none" w:sz="0" w:space="0" w:color="auto"/>
                    <w:bottom w:val="none" w:sz="0" w:space="0" w:color="auto"/>
                    <w:right w:val="none" w:sz="0" w:space="0" w:color="auto"/>
                  </w:divBdr>
                  <w:divsChild>
                    <w:div w:id="696583518">
                      <w:marLeft w:val="0"/>
                      <w:marRight w:val="0"/>
                      <w:marTop w:val="0"/>
                      <w:marBottom w:val="0"/>
                      <w:divBdr>
                        <w:top w:val="none" w:sz="0" w:space="0" w:color="auto"/>
                        <w:left w:val="none" w:sz="0" w:space="0" w:color="auto"/>
                        <w:bottom w:val="none" w:sz="0" w:space="0" w:color="auto"/>
                        <w:right w:val="none" w:sz="0" w:space="0" w:color="auto"/>
                      </w:divBdr>
                    </w:div>
                    <w:div w:id="701639302">
                      <w:marLeft w:val="0"/>
                      <w:marRight w:val="0"/>
                      <w:marTop w:val="0"/>
                      <w:marBottom w:val="0"/>
                      <w:divBdr>
                        <w:top w:val="none" w:sz="0" w:space="0" w:color="auto"/>
                        <w:left w:val="none" w:sz="0" w:space="0" w:color="auto"/>
                        <w:bottom w:val="none" w:sz="0" w:space="0" w:color="auto"/>
                        <w:right w:val="none" w:sz="0" w:space="0" w:color="auto"/>
                      </w:divBdr>
                    </w:div>
                    <w:div w:id="1913465857">
                      <w:marLeft w:val="0"/>
                      <w:marRight w:val="0"/>
                      <w:marTop w:val="0"/>
                      <w:marBottom w:val="0"/>
                      <w:divBdr>
                        <w:top w:val="none" w:sz="0" w:space="0" w:color="auto"/>
                        <w:left w:val="none" w:sz="0" w:space="0" w:color="auto"/>
                        <w:bottom w:val="none" w:sz="0" w:space="0" w:color="auto"/>
                        <w:right w:val="none" w:sz="0" w:space="0" w:color="auto"/>
                      </w:divBdr>
                    </w:div>
                  </w:divsChild>
                </w:div>
                <w:div w:id="2089111238">
                  <w:marLeft w:val="0"/>
                  <w:marRight w:val="0"/>
                  <w:marTop w:val="0"/>
                  <w:marBottom w:val="0"/>
                  <w:divBdr>
                    <w:top w:val="none" w:sz="0" w:space="0" w:color="auto"/>
                    <w:left w:val="none" w:sz="0" w:space="0" w:color="auto"/>
                    <w:bottom w:val="none" w:sz="0" w:space="0" w:color="auto"/>
                    <w:right w:val="none" w:sz="0" w:space="0" w:color="auto"/>
                  </w:divBdr>
                  <w:divsChild>
                    <w:div w:id="2007395409">
                      <w:marLeft w:val="0"/>
                      <w:marRight w:val="0"/>
                      <w:marTop w:val="0"/>
                      <w:marBottom w:val="0"/>
                      <w:divBdr>
                        <w:top w:val="none" w:sz="0" w:space="0" w:color="auto"/>
                        <w:left w:val="none" w:sz="0" w:space="0" w:color="auto"/>
                        <w:bottom w:val="none" w:sz="0" w:space="0" w:color="auto"/>
                        <w:right w:val="none" w:sz="0" w:space="0" w:color="auto"/>
                      </w:divBdr>
                    </w:div>
                  </w:divsChild>
                </w:div>
                <w:div w:id="2129004368">
                  <w:marLeft w:val="0"/>
                  <w:marRight w:val="0"/>
                  <w:marTop w:val="0"/>
                  <w:marBottom w:val="0"/>
                  <w:divBdr>
                    <w:top w:val="none" w:sz="0" w:space="0" w:color="auto"/>
                    <w:left w:val="none" w:sz="0" w:space="0" w:color="auto"/>
                    <w:bottom w:val="none" w:sz="0" w:space="0" w:color="auto"/>
                    <w:right w:val="none" w:sz="0" w:space="0" w:color="auto"/>
                  </w:divBdr>
                  <w:divsChild>
                    <w:div w:id="112180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5822">
          <w:marLeft w:val="0"/>
          <w:marRight w:val="0"/>
          <w:marTop w:val="0"/>
          <w:marBottom w:val="0"/>
          <w:divBdr>
            <w:top w:val="none" w:sz="0" w:space="0" w:color="auto"/>
            <w:left w:val="none" w:sz="0" w:space="0" w:color="auto"/>
            <w:bottom w:val="none" w:sz="0" w:space="0" w:color="auto"/>
            <w:right w:val="none" w:sz="0" w:space="0" w:color="auto"/>
          </w:divBdr>
        </w:div>
        <w:div w:id="2074963706">
          <w:marLeft w:val="0"/>
          <w:marRight w:val="0"/>
          <w:marTop w:val="0"/>
          <w:marBottom w:val="0"/>
          <w:divBdr>
            <w:top w:val="none" w:sz="0" w:space="0" w:color="auto"/>
            <w:left w:val="none" w:sz="0" w:space="0" w:color="auto"/>
            <w:bottom w:val="none" w:sz="0" w:space="0" w:color="auto"/>
            <w:right w:val="none" w:sz="0" w:space="0" w:color="auto"/>
          </w:divBdr>
          <w:divsChild>
            <w:div w:id="420838432">
              <w:marLeft w:val="-75"/>
              <w:marRight w:val="0"/>
              <w:marTop w:val="30"/>
              <w:marBottom w:val="30"/>
              <w:divBdr>
                <w:top w:val="none" w:sz="0" w:space="0" w:color="auto"/>
                <w:left w:val="none" w:sz="0" w:space="0" w:color="auto"/>
                <w:bottom w:val="none" w:sz="0" w:space="0" w:color="auto"/>
                <w:right w:val="none" w:sz="0" w:space="0" w:color="auto"/>
              </w:divBdr>
              <w:divsChild>
                <w:div w:id="733116935">
                  <w:marLeft w:val="0"/>
                  <w:marRight w:val="0"/>
                  <w:marTop w:val="0"/>
                  <w:marBottom w:val="0"/>
                  <w:divBdr>
                    <w:top w:val="none" w:sz="0" w:space="0" w:color="auto"/>
                    <w:left w:val="none" w:sz="0" w:space="0" w:color="auto"/>
                    <w:bottom w:val="none" w:sz="0" w:space="0" w:color="auto"/>
                    <w:right w:val="none" w:sz="0" w:space="0" w:color="auto"/>
                  </w:divBdr>
                  <w:divsChild>
                    <w:div w:id="1675373582">
                      <w:marLeft w:val="0"/>
                      <w:marRight w:val="0"/>
                      <w:marTop w:val="0"/>
                      <w:marBottom w:val="0"/>
                      <w:divBdr>
                        <w:top w:val="none" w:sz="0" w:space="0" w:color="auto"/>
                        <w:left w:val="none" w:sz="0" w:space="0" w:color="auto"/>
                        <w:bottom w:val="none" w:sz="0" w:space="0" w:color="auto"/>
                        <w:right w:val="none" w:sz="0" w:space="0" w:color="auto"/>
                      </w:divBdr>
                    </w:div>
                  </w:divsChild>
                </w:div>
                <w:div w:id="846017058">
                  <w:marLeft w:val="0"/>
                  <w:marRight w:val="0"/>
                  <w:marTop w:val="0"/>
                  <w:marBottom w:val="0"/>
                  <w:divBdr>
                    <w:top w:val="none" w:sz="0" w:space="0" w:color="auto"/>
                    <w:left w:val="none" w:sz="0" w:space="0" w:color="auto"/>
                    <w:bottom w:val="none" w:sz="0" w:space="0" w:color="auto"/>
                    <w:right w:val="none" w:sz="0" w:space="0" w:color="auto"/>
                  </w:divBdr>
                  <w:divsChild>
                    <w:div w:id="383018433">
                      <w:marLeft w:val="0"/>
                      <w:marRight w:val="0"/>
                      <w:marTop w:val="0"/>
                      <w:marBottom w:val="0"/>
                      <w:divBdr>
                        <w:top w:val="none" w:sz="0" w:space="0" w:color="auto"/>
                        <w:left w:val="none" w:sz="0" w:space="0" w:color="auto"/>
                        <w:bottom w:val="none" w:sz="0" w:space="0" w:color="auto"/>
                        <w:right w:val="none" w:sz="0" w:space="0" w:color="auto"/>
                      </w:divBdr>
                    </w:div>
                  </w:divsChild>
                </w:div>
                <w:div w:id="865094011">
                  <w:marLeft w:val="0"/>
                  <w:marRight w:val="0"/>
                  <w:marTop w:val="0"/>
                  <w:marBottom w:val="0"/>
                  <w:divBdr>
                    <w:top w:val="none" w:sz="0" w:space="0" w:color="auto"/>
                    <w:left w:val="none" w:sz="0" w:space="0" w:color="auto"/>
                    <w:bottom w:val="none" w:sz="0" w:space="0" w:color="auto"/>
                    <w:right w:val="none" w:sz="0" w:space="0" w:color="auto"/>
                  </w:divBdr>
                  <w:divsChild>
                    <w:div w:id="423842321">
                      <w:marLeft w:val="0"/>
                      <w:marRight w:val="0"/>
                      <w:marTop w:val="0"/>
                      <w:marBottom w:val="0"/>
                      <w:divBdr>
                        <w:top w:val="none" w:sz="0" w:space="0" w:color="auto"/>
                        <w:left w:val="none" w:sz="0" w:space="0" w:color="auto"/>
                        <w:bottom w:val="none" w:sz="0" w:space="0" w:color="auto"/>
                        <w:right w:val="none" w:sz="0" w:space="0" w:color="auto"/>
                      </w:divBdr>
                    </w:div>
                    <w:div w:id="1717974608">
                      <w:marLeft w:val="0"/>
                      <w:marRight w:val="0"/>
                      <w:marTop w:val="0"/>
                      <w:marBottom w:val="0"/>
                      <w:divBdr>
                        <w:top w:val="none" w:sz="0" w:space="0" w:color="auto"/>
                        <w:left w:val="none" w:sz="0" w:space="0" w:color="auto"/>
                        <w:bottom w:val="none" w:sz="0" w:space="0" w:color="auto"/>
                        <w:right w:val="none" w:sz="0" w:space="0" w:color="auto"/>
                      </w:divBdr>
                    </w:div>
                    <w:div w:id="20788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4350">
          <w:marLeft w:val="0"/>
          <w:marRight w:val="0"/>
          <w:marTop w:val="0"/>
          <w:marBottom w:val="0"/>
          <w:divBdr>
            <w:top w:val="none" w:sz="0" w:space="0" w:color="auto"/>
            <w:left w:val="none" w:sz="0" w:space="0" w:color="auto"/>
            <w:bottom w:val="none" w:sz="0" w:space="0" w:color="auto"/>
            <w:right w:val="none" w:sz="0" w:space="0" w:color="auto"/>
          </w:divBdr>
          <w:divsChild>
            <w:div w:id="1129128492">
              <w:marLeft w:val="-75"/>
              <w:marRight w:val="0"/>
              <w:marTop w:val="30"/>
              <w:marBottom w:val="30"/>
              <w:divBdr>
                <w:top w:val="none" w:sz="0" w:space="0" w:color="auto"/>
                <w:left w:val="none" w:sz="0" w:space="0" w:color="auto"/>
                <w:bottom w:val="none" w:sz="0" w:space="0" w:color="auto"/>
                <w:right w:val="none" w:sz="0" w:space="0" w:color="auto"/>
              </w:divBdr>
              <w:divsChild>
                <w:div w:id="574585656">
                  <w:marLeft w:val="0"/>
                  <w:marRight w:val="0"/>
                  <w:marTop w:val="0"/>
                  <w:marBottom w:val="0"/>
                  <w:divBdr>
                    <w:top w:val="none" w:sz="0" w:space="0" w:color="auto"/>
                    <w:left w:val="none" w:sz="0" w:space="0" w:color="auto"/>
                    <w:bottom w:val="none" w:sz="0" w:space="0" w:color="auto"/>
                    <w:right w:val="none" w:sz="0" w:space="0" w:color="auto"/>
                  </w:divBdr>
                  <w:divsChild>
                    <w:div w:id="1321881725">
                      <w:marLeft w:val="0"/>
                      <w:marRight w:val="0"/>
                      <w:marTop w:val="0"/>
                      <w:marBottom w:val="0"/>
                      <w:divBdr>
                        <w:top w:val="none" w:sz="0" w:space="0" w:color="auto"/>
                        <w:left w:val="none" w:sz="0" w:space="0" w:color="auto"/>
                        <w:bottom w:val="none" w:sz="0" w:space="0" w:color="auto"/>
                        <w:right w:val="none" w:sz="0" w:space="0" w:color="auto"/>
                      </w:divBdr>
                    </w:div>
                    <w:div w:id="1642727395">
                      <w:marLeft w:val="0"/>
                      <w:marRight w:val="0"/>
                      <w:marTop w:val="0"/>
                      <w:marBottom w:val="0"/>
                      <w:divBdr>
                        <w:top w:val="none" w:sz="0" w:space="0" w:color="auto"/>
                        <w:left w:val="none" w:sz="0" w:space="0" w:color="auto"/>
                        <w:bottom w:val="none" w:sz="0" w:space="0" w:color="auto"/>
                        <w:right w:val="none" w:sz="0" w:space="0" w:color="auto"/>
                      </w:divBdr>
                    </w:div>
                    <w:div w:id="1772553228">
                      <w:marLeft w:val="0"/>
                      <w:marRight w:val="0"/>
                      <w:marTop w:val="0"/>
                      <w:marBottom w:val="0"/>
                      <w:divBdr>
                        <w:top w:val="none" w:sz="0" w:space="0" w:color="auto"/>
                        <w:left w:val="none" w:sz="0" w:space="0" w:color="auto"/>
                        <w:bottom w:val="none" w:sz="0" w:space="0" w:color="auto"/>
                        <w:right w:val="none" w:sz="0" w:space="0" w:color="auto"/>
                      </w:divBdr>
                    </w:div>
                  </w:divsChild>
                </w:div>
                <w:div w:id="594243240">
                  <w:marLeft w:val="0"/>
                  <w:marRight w:val="0"/>
                  <w:marTop w:val="0"/>
                  <w:marBottom w:val="0"/>
                  <w:divBdr>
                    <w:top w:val="none" w:sz="0" w:space="0" w:color="auto"/>
                    <w:left w:val="none" w:sz="0" w:space="0" w:color="auto"/>
                    <w:bottom w:val="none" w:sz="0" w:space="0" w:color="auto"/>
                    <w:right w:val="none" w:sz="0" w:space="0" w:color="auto"/>
                  </w:divBdr>
                  <w:divsChild>
                    <w:div w:id="463158050">
                      <w:marLeft w:val="0"/>
                      <w:marRight w:val="0"/>
                      <w:marTop w:val="0"/>
                      <w:marBottom w:val="0"/>
                      <w:divBdr>
                        <w:top w:val="none" w:sz="0" w:space="0" w:color="auto"/>
                        <w:left w:val="none" w:sz="0" w:space="0" w:color="auto"/>
                        <w:bottom w:val="none" w:sz="0" w:space="0" w:color="auto"/>
                        <w:right w:val="none" w:sz="0" w:space="0" w:color="auto"/>
                      </w:divBdr>
                    </w:div>
                  </w:divsChild>
                </w:div>
                <w:div w:id="627246223">
                  <w:marLeft w:val="0"/>
                  <w:marRight w:val="0"/>
                  <w:marTop w:val="0"/>
                  <w:marBottom w:val="0"/>
                  <w:divBdr>
                    <w:top w:val="none" w:sz="0" w:space="0" w:color="auto"/>
                    <w:left w:val="none" w:sz="0" w:space="0" w:color="auto"/>
                    <w:bottom w:val="none" w:sz="0" w:space="0" w:color="auto"/>
                    <w:right w:val="none" w:sz="0" w:space="0" w:color="auto"/>
                  </w:divBdr>
                  <w:divsChild>
                    <w:div w:id="1100221261">
                      <w:marLeft w:val="0"/>
                      <w:marRight w:val="0"/>
                      <w:marTop w:val="0"/>
                      <w:marBottom w:val="0"/>
                      <w:divBdr>
                        <w:top w:val="none" w:sz="0" w:space="0" w:color="auto"/>
                        <w:left w:val="none" w:sz="0" w:space="0" w:color="auto"/>
                        <w:bottom w:val="none" w:sz="0" w:space="0" w:color="auto"/>
                        <w:right w:val="none" w:sz="0" w:space="0" w:color="auto"/>
                      </w:divBdr>
                    </w:div>
                  </w:divsChild>
                </w:div>
                <w:div w:id="1840998917">
                  <w:marLeft w:val="0"/>
                  <w:marRight w:val="0"/>
                  <w:marTop w:val="0"/>
                  <w:marBottom w:val="0"/>
                  <w:divBdr>
                    <w:top w:val="none" w:sz="0" w:space="0" w:color="auto"/>
                    <w:left w:val="none" w:sz="0" w:space="0" w:color="auto"/>
                    <w:bottom w:val="none" w:sz="0" w:space="0" w:color="auto"/>
                    <w:right w:val="none" w:sz="0" w:space="0" w:color="auto"/>
                  </w:divBdr>
                  <w:divsChild>
                    <w:div w:id="1434322140">
                      <w:marLeft w:val="0"/>
                      <w:marRight w:val="0"/>
                      <w:marTop w:val="0"/>
                      <w:marBottom w:val="0"/>
                      <w:divBdr>
                        <w:top w:val="none" w:sz="0" w:space="0" w:color="auto"/>
                        <w:left w:val="none" w:sz="0" w:space="0" w:color="auto"/>
                        <w:bottom w:val="none" w:sz="0" w:space="0" w:color="auto"/>
                        <w:right w:val="none" w:sz="0" w:space="0" w:color="auto"/>
                      </w:divBdr>
                    </w:div>
                  </w:divsChild>
                </w:div>
                <w:div w:id="1843205988">
                  <w:marLeft w:val="0"/>
                  <w:marRight w:val="0"/>
                  <w:marTop w:val="0"/>
                  <w:marBottom w:val="0"/>
                  <w:divBdr>
                    <w:top w:val="none" w:sz="0" w:space="0" w:color="auto"/>
                    <w:left w:val="none" w:sz="0" w:space="0" w:color="auto"/>
                    <w:bottom w:val="none" w:sz="0" w:space="0" w:color="auto"/>
                    <w:right w:val="none" w:sz="0" w:space="0" w:color="auto"/>
                  </w:divBdr>
                  <w:divsChild>
                    <w:div w:id="483276273">
                      <w:marLeft w:val="0"/>
                      <w:marRight w:val="0"/>
                      <w:marTop w:val="0"/>
                      <w:marBottom w:val="0"/>
                      <w:divBdr>
                        <w:top w:val="none" w:sz="0" w:space="0" w:color="auto"/>
                        <w:left w:val="none" w:sz="0" w:space="0" w:color="auto"/>
                        <w:bottom w:val="none" w:sz="0" w:space="0" w:color="auto"/>
                        <w:right w:val="none" w:sz="0" w:space="0" w:color="auto"/>
                      </w:divBdr>
                    </w:div>
                    <w:div w:id="551043578">
                      <w:marLeft w:val="0"/>
                      <w:marRight w:val="0"/>
                      <w:marTop w:val="0"/>
                      <w:marBottom w:val="0"/>
                      <w:divBdr>
                        <w:top w:val="none" w:sz="0" w:space="0" w:color="auto"/>
                        <w:left w:val="none" w:sz="0" w:space="0" w:color="auto"/>
                        <w:bottom w:val="none" w:sz="0" w:space="0" w:color="auto"/>
                        <w:right w:val="none" w:sz="0" w:space="0" w:color="auto"/>
                      </w:divBdr>
                    </w:div>
                    <w:div w:id="698089663">
                      <w:marLeft w:val="0"/>
                      <w:marRight w:val="0"/>
                      <w:marTop w:val="0"/>
                      <w:marBottom w:val="0"/>
                      <w:divBdr>
                        <w:top w:val="none" w:sz="0" w:space="0" w:color="auto"/>
                        <w:left w:val="none" w:sz="0" w:space="0" w:color="auto"/>
                        <w:bottom w:val="none" w:sz="0" w:space="0" w:color="auto"/>
                        <w:right w:val="none" w:sz="0" w:space="0" w:color="auto"/>
                      </w:divBdr>
                    </w:div>
                    <w:div w:id="760181185">
                      <w:marLeft w:val="0"/>
                      <w:marRight w:val="0"/>
                      <w:marTop w:val="0"/>
                      <w:marBottom w:val="0"/>
                      <w:divBdr>
                        <w:top w:val="none" w:sz="0" w:space="0" w:color="auto"/>
                        <w:left w:val="none" w:sz="0" w:space="0" w:color="auto"/>
                        <w:bottom w:val="none" w:sz="0" w:space="0" w:color="auto"/>
                        <w:right w:val="none" w:sz="0" w:space="0" w:color="auto"/>
                      </w:divBdr>
                    </w:div>
                    <w:div w:id="875776835">
                      <w:marLeft w:val="0"/>
                      <w:marRight w:val="0"/>
                      <w:marTop w:val="0"/>
                      <w:marBottom w:val="0"/>
                      <w:divBdr>
                        <w:top w:val="none" w:sz="0" w:space="0" w:color="auto"/>
                        <w:left w:val="none" w:sz="0" w:space="0" w:color="auto"/>
                        <w:bottom w:val="none" w:sz="0" w:space="0" w:color="auto"/>
                        <w:right w:val="none" w:sz="0" w:space="0" w:color="auto"/>
                      </w:divBdr>
                    </w:div>
                    <w:div w:id="1653949846">
                      <w:marLeft w:val="0"/>
                      <w:marRight w:val="0"/>
                      <w:marTop w:val="0"/>
                      <w:marBottom w:val="0"/>
                      <w:divBdr>
                        <w:top w:val="none" w:sz="0" w:space="0" w:color="auto"/>
                        <w:left w:val="none" w:sz="0" w:space="0" w:color="auto"/>
                        <w:bottom w:val="none" w:sz="0" w:space="0" w:color="auto"/>
                        <w:right w:val="none" w:sz="0" w:space="0" w:color="auto"/>
                      </w:divBdr>
                    </w:div>
                    <w:div w:id="184978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3626">
      <w:bodyDiv w:val="1"/>
      <w:marLeft w:val="0"/>
      <w:marRight w:val="0"/>
      <w:marTop w:val="0"/>
      <w:marBottom w:val="0"/>
      <w:divBdr>
        <w:top w:val="none" w:sz="0" w:space="0" w:color="auto"/>
        <w:left w:val="none" w:sz="0" w:space="0" w:color="auto"/>
        <w:bottom w:val="none" w:sz="0" w:space="0" w:color="auto"/>
        <w:right w:val="none" w:sz="0" w:space="0" w:color="auto"/>
      </w:divBdr>
    </w:div>
    <w:div w:id="487089341">
      <w:bodyDiv w:val="1"/>
      <w:marLeft w:val="0"/>
      <w:marRight w:val="0"/>
      <w:marTop w:val="0"/>
      <w:marBottom w:val="0"/>
      <w:divBdr>
        <w:top w:val="none" w:sz="0" w:space="0" w:color="auto"/>
        <w:left w:val="none" w:sz="0" w:space="0" w:color="auto"/>
        <w:bottom w:val="none" w:sz="0" w:space="0" w:color="auto"/>
        <w:right w:val="none" w:sz="0" w:space="0" w:color="auto"/>
      </w:divBdr>
    </w:div>
    <w:div w:id="502745467">
      <w:bodyDiv w:val="1"/>
      <w:marLeft w:val="0"/>
      <w:marRight w:val="0"/>
      <w:marTop w:val="0"/>
      <w:marBottom w:val="0"/>
      <w:divBdr>
        <w:top w:val="none" w:sz="0" w:space="0" w:color="auto"/>
        <w:left w:val="none" w:sz="0" w:space="0" w:color="auto"/>
        <w:bottom w:val="none" w:sz="0" w:space="0" w:color="auto"/>
        <w:right w:val="none" w:sz="0" w:space="0" w:color="auto"/>
      </w:divBdr>
    </w:div>
    <w:div w:id="505217872">
      <w:bodyDiv w:val="1"/>
      <w:marLeft w:val="0"/>
      <w:marRight w:val="0"/>
      <w:marTop w:val="0"/>
      <w:marBottom w:val="0"/>
      <w:divBdr>
        <w:top w:val="none" w:sz="0" w:space="0" w:color="auto"/>
        <w:left w:val="none" w:sz="0" w:space="0" w:color="auto"/>
        <w:bottom w:val="none" w:sz="0" w:space="0" w:color="auto"/>
        <w:right w:val="none" w:sz="0" w:space="0" w:color="auto"/>
      </w:divBdr>
    </w:div>
    <w:div w:id="510603897">
      <w:bodyDiv w:val="1"/>
      <w:marLeft w:val="0"/>
      <w:marRight w:val="0"/>
      <w:marTop w:val="0"/>
      <w:marBottom w:val="0"/>
      <w:divBdr>
        <w:top w:val="none" w:sz="0" w:space="0" w:color="auto"/>
        <w:left w:val="none" w:sz="0" w:space="0" w:color="auto"/>
        <w:bottom w:val="none" w:sz="0" w:space="0" w:color="auto"/>
        <w:right w:val="none" w:sz="0" w:space="0" w:color="auto"/>
      </w:divBdr>
    </w:div>
    <w:div w:id="519468468">
      <w:bodyDiv w:val="1"/>
      <w:marLeft w:val="0"/>
      <w:marRight w:val="0"/>
      <w:marTop w:val="0"/>
      <w:marBottom w:val="0"/>
      <w:divBdr>
        <w:top w:val="none" w:sz="0" w:space="0" w:color="auto"/>
        <w:left w:val="none" w:sz="0" w:space="0" w:color="auto"/>
        <w:bottom w:val="none" w:sz="0" w:space="0" w:color="auto"/>
        <w:right w:val="none" w:sz="0" w:space="0" w:color="auto"/>
      </w:divBdr>
    </w:div>
    <w:div w:id="545070936">
      <w:bodyDiv w:val="1"/>
      <w:marLeft w:val="0"/>
      <w:marRight w:val="0"/>
      <w:marTop w:val="0"/>
      <w:marBottom w:val="0"/>
      <w:divBdr>
        <w:top w:val="none" w:sz="0" w:space="0" w:color="auto"/>
        <w:left w:val="none" w:sz="0" w:space="0" w:color="auto"/>
        <w:bottom w:val="none" w:sz="0" w:space="0" w:color="auto"/>
        <w:right w:val="none" w:sz="0" w:space="0" w:color="auto"/>
      </w:divBdr>
    </w:div>
    <w:div w:id="587202764">
      <w:bodyDiv w:val="1"/>
      <w:marLeft w:val="0"/>
      <w:marRight w:val="0"/>
      <w:marTop w:val="0"/>
      <w:marBottom w:val="0"/>
      <w:divBdr>
        <w:top w:val="none" w:sz="0" w:space="0" w:color="auto"/>
        <w:left w:val="none" w:sz="0" w:space="0" w:color="auto"/>
        <w:bottom w:val="none" w:sz="0" w:space="0" w:color="auto"/>
        <w:right w:val="none" w:sz="0" w:space="0" w:color="auto"/>
      </w:divBdr>
      <w:divsChild>
        <w:div w:id="248580168">
          <w:marLeft w:val="0"/>
          <w:marRight w:val="0"/>
          <w:marTop w:val="0"/>
          <w:marBottom w:val="0"/>
          <w:divBdr>
            <w:top w:val="none" w:sz="0" w:space="0" w:color="auto"/>
            <w:left w:val="none" w:sz="0" w:space="0" w:color="auto"/>
            <w:bottom w:val="none" w:sz="0" w:space="0" w:color="auto"/>
            <w:right w:val="none" w:sz="0" w:space="0" w:color="auto"/>
          </w:divBdr>
          <w:divsChild>
            <w:div w:id="317005426">
              <w:marLeft w:val="-75"/>
              <w:marRight w:val="0"/>
              <w:marTop w:val="30"/>
              <w:marBottom w:val="30"/>
              <w:divBdr>
                <w:top w:val="none" w:sz="0" w:space="0" w:color="auto"/>
                <w:left w:val="none" w:sz="0" w:space="0" w:color="auto"/>
                <w:bottom w:val="none" w:sz="0" w:space="0" w:color="auto"/>
                <w:right w:val="none" w:sz="0" w:space="0" w:color="auto"/>
              </w:divBdr>
              <w:divsChild>
                <w:div w:id="272177072">
                  <w:marLeft w:val="0"/>
                  <w:marRight w:val="0"/>
                  <w:marTop w:val="0"/>
                  <w:marBottom w:val="0"/>
                  <w:divBdr>
                    <w:top w:val="none" w:sz="0" w:space="0" w:color="auto"/>
                    <w:left w:val="none" w:sz="0" w:space="0" w:color="auto"/>
                    <w:bottom w:val="none" w:sz="0" w:space="0" w:color="auto"/>
                    <w:right w:val="none" w:sz="0" w:space="0" w:color="auto"/>
                  </w:divBdr>
                  <w:divsChild>
                    <w:div w:id="35089510">
                      <w:marLeft w:val="0"/>
                      <w:marRight w:val="0"/>
                      <w:marTop w:val="0"/>
                      <w:marBottom w:val="0"/>
                      <w:divBdr>
                        <w:top w:val="none" w:sz="0" w:space="0" w:color="auto"/>
                        <w:left w:val="none" w:sz="0" w:space="0" w:color="auto"/>
                        <w:bottom w:val="none" w:sz="0" w:space="0" w:color="auto"/>
                        <w:right w:val="none" w:sz="0" w:space="0" w:color="auto"/>
                      </w:divBdr>
                    </w:div>
                    <w:div w:id="786972152">
                      <w:marLeft w:val="0"/>
                      <w:marRight w:val="0"/>
                      <w:marTop w:val="0"/>
                      <w:marBottom w:val="0"/>
                      <w:divBdr>
                        <w:top w:val="none" w:sz="0" w:space="0" w:color="auto"/>
                        <w:left w:val="none" w:sz="0" w:space="0" w:color="auto"/>
                        <w:bottom w:val="none" w:sz="0" w:space="0" w:color="auto"/>
                        <w:right w:val="none" w:sz="0" w:space="0" w:color="auto"/>
                      </w:divBdr>
                    </w:div>
                    <w:div w:id="953485787">
                      <w:marLeft w:val="0"/>
                      <w:marRight w:val="0"/>
                      <w:marTop w:val="0"/>
                      <w:marBottom w:val="0"/>
                      <w:divBdr>
                        <w:top w:val="none" w:sz="0" w:space="0" w:color="auto"/>
                        <w:left w:val="none" w:sz="0" w:space="0" w:color="auto"/>
                        <w:bottom w:val="none" w:sz="0" w:space="0" w:color="auto"/>
                        <w:right w:val="none" w:sz="0" w:space="0" w:color="auto"/>
                      </w:divBdr>
                    </w:div>
                    <w:div w:id="971129831">
                      <w:marLeft w:val="0"/>
                      <w:marRight w:val="0"/>
                      <w:marTop w:val="0"/>
                      <w:marBottom w:val="0"/>
                      <w:divBdr>
                        <w:top w:val="none" w:sz="0" w:space="0" w:color="auto"/>
                        <w:left w:val="none" w:sz="0" w:space="0" w:color="auto"/>
                        <w:bottom w:val="none" w:sz="0" w:space="0" w:color="auto"/>
                        <w:right w:val="none" w:sz="0" w:space="0" w:color="auto"/>
                      </w:divBdr>
                    </w:div>
                    <w:div w:id="1028407039">
                      <w:marLeft w:val="0"/>
                      <w:marRight w:val="0"/>
                      <w:marTop w:val="0"/>
                      <w:marBottom w:val="0"/>
                      <w:divBdr>
                        <w:top w:val="none" w:sz="0" w:space="0" w:color="auto"/>
                        <w:left w:val="none" w:sz="0" w:space="0" w:color="auto"/>
                        <w:bottom w:val="none" w:sz="0" w:space="0" w:color="auto"/>
                        <w:right w:val="none" w:sz="0" w:space="0" w:color="auto"/>
                      </w:divBdr>
                    </w:div>
                    <w:div w:id="1112675140">
                      <w:marLeft w:val="0"/>
                      <w:marRight w:val="0"/>
                      <w:marTop w:val="0"/>
                      <w:marBottom w:val="0"/>
                      <w:divBdr>
                        <w:top w:val="none" w:sz="0" w:space="0" w:color="auto"/>
                        <w:left w:val="none" w:sz="0" w:space="0" w:color="auto"/>
                        <w:bottom w:val="none" w:sz="0" w:space="0" w:color="auto"/>
                        <w:right w:val="none" w:sz="0" w:space="0" w:color="auto"/>
                      </w:divBdr>
                    </w:div>
                    <w:div w:id="1794520142">
                      <w:marLeft w:val="0"/>
                      <w:marRight w:val="0"/>
                      <w:marTop w:val="0"/>
                      <w:marBottom w:val="0"/>
                      <w:divBdr>
                        <w:top w:val="none" w:sz="0" w:space="0" w:color="auto"/>
                        <w:left w:val="none" w:sz="0" w:space="0" w:color="auto"/>
                        <w:bottom w:val="none" w:sz="0" w:space="0" w:color="auto"/>
                        <w:right w:val="none" w:sz="0" w:space="0" w:color="auto"/>
                      </w:divBdr>
                    </w:div>
                    <w:div w:id="1879001870">
                      <w:marLeft w:val="0"/>
                      <w:marRight w:val="0"/>
                      <w:marTop w:val="0"/>
                      <w:marBottom w:val="0"/>
                      <w:divBdr>
                        <w:top w:val="none" w:sz="0" w:space="0" w:color="auto"/>
                        <w:left w:val="none" w:sz="0" w:space="0" w:color="auto"/>
                        <w:bottom w:val="none" w:sz="0" w:space="0" w:color="auto"/>
                        <w:right w:val="none" w:sz="0" w:space="0" w:color="auto"/>
                      </w:divBdr>
                    </w:div>
                    <w:div w:id="2129003772">
                      <w:marLeft w:val="0"/>
                      <w:marRight w:val="0"/>
                      <w:marTop w:val="0"/>
                      <w:marBottom w:val="0"/>
                      <w:divBdr>
                        <w:top w:val="none" w:sz="0" w:space="0" w:color="auto"/>
                        <w:left w:val="none" w:sz="0" w:space="0" w:color="auto"/>
                        <w:bottom w:val="none" w:sz="0" w:space="0" w:color="auto"/>
                        <w:right w:val="none" w:sz="0" w:space="0" w:color="auto"/>
                      </w:divBdr>
                    </w:div>
                  </w:divsChild>
                </w:div>
                <w:div w:id="1754740099">
                  <w:marLeft w:val="0"/>
                  <w:marRight w:val="0"/>
                  <w:marTop w:val="0"/>
                  <w:marBottom w:val="0"/>
                  <w:divBdr>
                    <w:top w:val="none" w:sz="0" w:space="0" w:color="auto"/>
                    <w:left w:val="none" w:sz="0" w:space="0" w:color="auto"/>
                    <w:bottom w:val="none" w:sz="0" w:space="0" w:color="auto"/>
                    <w:right w:val="none" w:sz="0" w:space="0" w:color="auto"/>
                  </w:divBdr>
                  <w:divsChild>
                    <w:div w:id="710306152">
                      <w:marLeft w:val="0"/>
                      <w:marRight w:val="0"/>
                      <w:marTop w:val="0"/>
                      <w:marBottom w:val="0"/>
                      <w:divBdr>
                        <w:top w:val="none" w:sz="0" w:space="0" w:color="auto"/>
                        <w:left w:val="none" w:sz="0" w:space="0" w:color="auto"/>
                        <w:bottom w:val="none" w:sz="0" w:space="0" w:color="auto"/>
                        <w:right w:val="none" w:sz="0" w:space="0" w:color="auto"/>
                      </w:divBdr>
                    </w:div>
                  </w:divsChild>
                </w:div>
                <w:div w:id="1961840367">
                  <w:marLeft w:val="0"/>
                  <w:marRight w:val="0"/>
                  <w:marTop w:val="0"/>
                  <w:marBottom w:val="0"/>
                  <w:divBdr>
                    <w:top w:val="none" w:sz="0" w:space="0" w:color="auto"/>
                    <w:left w:val="none" w:sz="0" w:space="0" w:color="auto"/>
                    <w:bottom w:val="none" w:sz="0" w:space="0" w:color="auto"/>
                    <w:right w:val="none" w:sz="0" w:space="0" w:color="auto"/>
                  </w:divBdr>
                  <w:divsChild>
                    <w:div w:id="576478674">
                      <w:marLeft w:val="0"/>
                      <w:marRight w:val="0"/>
                      <w:marTop w:val="0"/>
                      <w:marBottom w:val="0"/>
                      <w:divBdr>
                        <w:top w:val="none" w:sz="0" w:space="0" w:color="auto"/>
                        <w:left w:val="none" w:sz="0" w:space="0" w:color="auto"/>
                        <w:bottom w:val="none" w:sz="0" w:space="0" w:color="auto"/>
                        <w:right w:val="none" w:sz="0" w:space="0" w:color="auto"/>
                      </w:divBdr>
                    </w:div>
                  </w:divsChild>
                </w:div>
                <w:div w:id="2093744920">
                  <w:marLeft w:val="0"/>
                  <w:marRight w:val="0"/>
                  <w:marTop w:val="0"/>
                  <w:marBottom w:val="0"/>
                  <w:divBdr>
                    <w:top w:val="none" w:sz="0" w:space="0" w:color="auto"/>
                    <w:left w:val="none" w:sz="0" w:space="0" w:color="auto"/>
                    <w:bottom w:val="none" w:sz="0" w:space="0" w:color="auto"/>
                    <w:right w:val="none" w:sz="0" w:space="0" w:color="auto"/>
                  </w:divBdr>
                  <w:divsChild>
                    <w:div w:id="2044480217">
                      <w:marLeft w:val="0"/>
                      <w:marRight w:val="0"/>
                      <w:marTop w:val="0"/>
                      <w:marBottom w:val="0"/>
                      <w:divBdr>
                        <w:top w:val="none" w:sz="0" w:space="0" w:color="auto"/>
                        <w:left w:val="none" w:sz="0" w:space="0" w:color="auto"/>
                        <w:bottom w:val="none" w:sz="0" w:space="0" w:color="auto"/>
                        <w:right w:val="none" w:sz="0" w:space="0" w:color="auto"/>
                      </w:divBdr>
                    </w:div>
                  </w:divsChild>
                </w:div>
                <w:div w:id="2137065827">
                  <w:marLeft w:val="0"/>
                  <w:marRight w:val="0"/>
                  <w:marTop w:val="0"/>
                  <w:marBottom w:val="0"/>
                  <w:divBdr>
                    <w:top w:val="none" w:sz="0" w:space="0" w:color="auto"/>
                    <w:left w:val="none" w:sz="0" w:space="0" w:color="auto"/>
                    <w:bottom w:val="none" w:sz="0" w:space="0" w:color="auto"/>
                    <w:right w:val="none" w:sz="0" w:space="0" w:color="auto"/>
                  </w:divBdr>
                  <w:divsChild>
                    <w:div w:id="966356305">
                      <w:marLeft w:val="0"/>
                      <w:marRight w:val="0"/>
                      <w:marTop w:val="0"/>
                      <w:marBottom w:val="0"/>
                      <w:divBdr>
                        <w:top w:val="none" w:sz="0" w:space="0" w:color="auto"/>
                        <w:left w:val="none" w:sz="0" w:space="0" w:color="auto"/>
                        <w:bottom w:val="none" w:sz="0" w:space="0" w:color="auto"/>
                        <w:right w:val="none" w:sz="0" w:space="0" w:color="auto"/>
                      </w:divBdr>
                    </w:div>
                    <w:div w:id="16938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80292">
          <w:marLeft w:val="0"/>
          <w:marRight w:val="0"/>
          <w:marTop w:val="0"/>
          <w:marBottom w:val="0"/>
          <w:divBdr>
            <w:top w:val="none" w:sz="0" w:space="0" w:color="auto"/>
            <w:left w:val="none" w:sz="0" w:space="0" w:color="auto"/>
            <w:bottom w:val="none" w:sz="0" w:space="0" w:color="auto"/>
            <w:right w:val="none" w:sz="0" w:space="0" w:color="auto"/>
          </w:divBdr>
          <w:divsChild>
            <w:div w:id="1555316180">
              <w:marLeft w:val="-75"/>
              <w:marRight w:val="0"/>
              <w:marTop w:val="30"/>
              <w:marBottom w:val="30"/>
              <w:divBdr>
                <w:top w:val="none" w:sz="0" w:space="0" w:color="auto"/>
                <w:left w:val="none" w:sz="0" w:space="0" w:color="auto"/>
                <w:bottom w:val="none" w:sz="0" w:space="0" w:color="auto"/>
                <w:right w:val="none" w:sz="0" w:space="0" w:color="auto"/>
              </w:divBdr>
              <w:divsChild>
                <w:div w:id="149710175">
                  <w:marLeft w:val="0"/>
                  <w:marRight w:val="0"/>
                  <w:marTop w:val="0"/>
                  <w:marBottom w:val="0"/>
                  <w:divBdr>
                    <w:top w:val="none" w:sz="0" w:space="0" w:color="auto"/>
                    <w:left w:val="none" w:sz="0" w:space="0" w:color="auto"/>
                    <w:bottom w:val="none" w:sz="0" w:space="0" w:color="auto"/>
                    <w:right w:val="none" w:sz="0" w:space="0" w:color="auto"/>
                  </w:divBdr>
                  <w:divsChild>
                    <w:div w:id="74672807">
                      <w:marLeft w:val="0"/>
                      <w:marRight w:val="0"/>
                      <w:marTop w:val="0"/>
                      <w:marBottom w:val="0"/>
                      <w:divBdr>
                        <w:top w:val="none" w:sz="0" w:space="0" w:color="auto"/>
                        <w:left w:val="none" w:sz="0" w:space="0" w:color="auto"/>
                        <w:bottom w:val="none" w:sz="0" w:space="0" w:color="auto"/>
                        <w:right w:val="none" w:sz="0" w:space="0" w:color="auto"/>
                      </w:divBdr>
                    </w:div>
                    <w:div w:id="386536168">
                      <w:marLeft w:val="0"/>
                      <w:marRight w:val="0"/>
                      <w:marTop w:val="0"/>
                      <w:marBottom w:val="0"/>
                      <w:divBdr>
                        <w:top w:val="none" w:sz="0" w:space="0" w:color="auto"/>
                        <w:left w:val="none" w:sz="0" w:space="0" w:color="auto"/>
                        <w:bottom w:val="none" w:sz="0" w:space="0" w:color="auto"/>
                        <w:right w:val="none" w:sz="0" w:space="0" w:color="auto"/>
                      </w:divBdr>
                    </w:div>
                    <w:div w:id="825974523">
                      <w:marLeft w:val="0"/>
                      <w:marRight w:val="0"/>
                      <w:marTop w:val="0"/>
                      <w:marBottom w:val="0"/>
                      <w:divBdr>
                        <w:top w:val="none" w:sz="0" w:space="0" w:color="auto"/>
                        <w:left w:val="none" w:sz="0" w:space="0" w:color="auto"/>
                        <w:bottom w:val="none" w:sz="0" w:space="0" w:color="auto"/>
                        <w:right w:val="none" w:sz="0" w:space="0" w:color="auto"/>
                      </w:divBdr>
                    </w:div>
                    <w:div w:id="1253052367">
                      <w:marLeft w:val="0"/>
                      <w:marRight w:val="0"/>
                      <w:marTop w:val="0"/>
                      <w:marBottom w:val="0"/>
                      <w:divBdr>
                        <w:top w:val="none" w:sz="0" w:space="0" w:color="auto"/>
                        <w:left w:val="none" w:sz="0" w:space="0" w:color="auto"/>
                        <w:bottom w:val="none" w:sz="0" w:space="0" w:color="auto"/>
                        <w:right w:val="none" w:sz="0" w:space="0" w:color="auto"/>
                      </w:divBdr>
                    </w:div>
                    <w:div w:id="1647273448">
                      <w:marLeft w:val="0"/>
                      <w:marRight w:val="0"/>
                      <w:marTop w:val="0"/>
                      <w:marBottom w:val="0"/>
                      <w:divBdr>
                        <w:top w:val="none" w:sz="0" w:space="0" w:color="auto"/>
                        <w:left w:val="none" w:sz="0" w:space="0" w:color="auto"/>
                        <w:bottom w:val="none" w:sz="0" w:space="0" w:color="auto"/>
                        <w:right w:val="none" w:sz="0" w:space="0" w:color="auto"/>
                      </w:divBdr>
                    </w:div>
                    <w:div w:id="1692682474">
                      <w:marLeft w:val="0"/>
                      <w:marRight w:val="0"/>
                      <w:marTop w:val="0"/>
                      <w:marBottom w:val="0"/>
                      <w:divBdr>
                        <w:top w:val="none" w:sz="0" w:space="0" w:color="auto"/>
                        <w:left w:val="none" w:sz="0" w:space="0" w:color="auto"/>
                        <w:bottom w:val="none" w:sz="0" w:space="0" w:color="auto"/>
                        <w:right w:val="none" w:sz="0" w:space="0" w:color="auto"/>
                      </w:divBdr>
                    </w:div>
                    <w:div w:id="1763255211">
                      <w:marLeft w:val="0"/>
                      <w:marRight w:val="0"/>
                      <w:marTop w:val="0"/>
                      <w:marBottom w:val="0"/>
                      <w:divBdr>
                        <w:top w:val="none" w:sz="0" w:space="0" w:color="auto"/>
                        <w:left w:val="none" w:sz="0" w:space="0" w:color="auto"/>
                        <w:bottom w:val="none" w:sz="0" w:space="0" w:color="auto"/>
                        <w:right w:val="none" w:sz="0" w:space="0" w:color="auto"/>
                      </w:divBdr>
                    </w:div>
                  </w:divsChild>
                </w:div>
                <w:div w:id="388722973">
                  <w:marLeft w:val="0"/>
                  <w:marRight w:val="0"/>
                  <w:marTop w:val="0"/>
                  <w:marBottom w:val="0"/>
                  <w:divBdr>
                    <w:top w:val="none" w:sz="0" w:space="0" w:color="auto"/>
                    <w:left w:val="none" w:sz="0" w:space="0" w:color="auto"/>
                    <w:bottom w:val="none" w:sz="0" w:space="0" w:color="auto"/>
                    <w:right w:val="none" w:sz="0" w:space="0" w:color="auto"/>
                  </w:divBdr>
                  <w:divsChild>
                    <w:div w:id="1659074786">
                      <w:marLeft w:val="0"/>
                      <w:marRight w:val="0"/>
                      <w:marTop w:val="0"/>
                      <w:marBottom w:val="0"/>
                      <w:divBdr>
                        <w:top w:val="none" w:sz="0" w:space="0" w:color="auto"/>
                        <w:left w:val="none" w:sz="0" w:space="0" w:color="auto"/>
                        <w:bottom w:val="none" w:sz="0" w:space="0" w:color="auto"/>
                        <w:right w:val="none" w:sz="0" w:space="0" w:color="auto"/>
                      </w:divBdr>
                    </w:div>
                  </w:divsChild>
                </w:div>
                <w:div w:id="585849576">
                  <w:marLeft w:val="0"/>
                  <w:marRight w:val="0"/>
                  <w:marTop w:val="0"/>
                  <w:marBottom w:val="0"/>
                  <w:divBdr>
                    <w:top w:val="none" w:sz="0" w:space="0" w:color="auto"/>
                    <w:left w:val="none" w:sz="0" w:space="0" w:color="auto"/>
                    <w:bottom w:val="none" w:sz="0" w:space="0" w:color="auto"/>
                    <w:right w:val="none" w:sz="0" w:space="0" w:color="auto"/>
                  </w:divBdr>
                  <w:divsChild>
                    <w:div w:id="512307331">
                      <w:marLeft w:val="0"/>
                      <w:marRight w:val="0"/>
                      <w:marTop w:val="0"/>
                      <w:marBottom w:val="0"/>
                      <w:divBdr>
                        <w:top w:val="none" w:sz="0" w:space="0" w:color="auto"/>
                        <w:left w:val="none" w:sz="0" w:space="0" w:color="auto"/>
                        <w:bottom w:val="none" w:sz="0" w:space="0" w:color="auto"/>
                        <w:right w:val="none" w:sz="0" w:space="0" w:color="auto"/>
                      </w:divBdr>
                    </w:div>
                  </w:divsChild>
                </w:div>
                <w:div w:id="1077750661">
                  <w:marLeft w:val="0"/>
                  <w:marRight w:val="0"/>
                  <w:marTop w:val="0"/>
                  <w:marBottom w:val="0"/>
                  <w:divBdr>
                    <w:top w:val="none" w:sz="0" w:space="0" w:color="auto"/>
                    <w:left w:val="none" w:sz="0" w:space="0" w:color="auto"/>
                    <w:bottom w:val="none" w:sz="0" w:space="0" w:color="auto"/>
                    <w:right w:val="none" w:sz="0" w:space="0" w:color="auto"/>
                  </w:divBdr>
                  <w:divsChild>
                    <w:div w:id="301081557">
                      <w:marLeft w:val="0"/>
                      <w:marRight w:val="0"/>
                      <w:marTop w:val="0"/>
                      <w:marBottom w:val="0"/>
                      <w:divBdr>
                        <w:top w:val="none" w:sz="0" w:space="0" w:color="auto"/>
                        <w:left w:val="none" w:sz="0" w:space="0" w:color="auto"/>
                        <w:bottom w:val="none" w:sz="0" w:space="0" w:color="auto"/>
                        <w:right w:val="none" w:sz="0" w:space="0" w:color="auto"/>
                      </w:divBdr>
                    </w:div>
                  </w:divsChild>
                </w:div>
                <w:div w:id="1798832169">
                  <w:marLeft w:val="0"/>
                  <w:marRight w:val="0"/>
                  <w:marTop w:val="0"/>
                  <w:marBottom w:val="0"/>
                  <w:divBdr>
                    <w:top w:val="none" w:sz="0" w:space="0" w:color="auto"/>
                    <w:left w:val="none" w:sz="0" w:space="0" w:color="auto"/>
                    <w:bottom w:val="none" w:sz="0" w:space="0" w:color="auto"/>
                    <w:right w:val="none" w:sz="0" w:space="0" w:color="auto"/>
                  </w:divBdr>
                  <w:divsChild>
                    <w:div w:id="518810412">
                      <w:marLeft w:val="0"/>
                      <w:marRight w:val="0"/>
                      <w:marTop w:val="0"/>
                      <w:marBottom w:val="0"/>
                      <w:divBdr>
                        <w:top w:val="none" w:sz="0" w:space="0" w:color="auto"/>
                        <w:left w:val="none" w:sz="0" w:space="0" w:color="auto"/>
                        <w:bottom w:val="none" w:sz="0" w:space="0" w:color="auto"/>
                        <w:right w:val="none" w:sz="0" w:space="0" w:color="auto"/>
                      </w:divBdr>
                    </w:div>
                    <w:div w:id="551771832">
                      <w:marLeft w:val="0"/>
                      <w:marRight w:val="0"/>
                      <w:marTop w:val="0"/>
                      <w:marBottom w:val="0"/>
                      <w:divBdr>
                        <w:top w:val="none" w:sz="0" w:space="0" w:color="auto"/>
                        <w:left w:val="none" w:sz="0" w:space="0" w:color="auto"/>
                        <w:bottom w:val="none" w:sz="0" w:space="0" w:color="auto"/>
                        <w:right w:val="none" w:sz="0" w:space="0" w:color="auto"/>
                      </w:divBdr>
                    </w:div>
                    <w:div w:id="17937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4905">
          <w:marLeft w:val="0"/>
          <w:marRight w:val="0"/>
          <w:marTop w:val="0"/>
          <w:marBottom w:val="0"/>
          <w:divBdr>
            <w:top w:val="none" w:sz="0" w:space="0" w:color="auto"/>
            <w:left w:val="none" w:sz="0" w:space="0" w:color="auto"/>
            <w:bottom w:val="none" w:sz="0" w:space="0" w:color="auto"/>
            <w:right w:val="none" w:sz="0" w:space="0" w:color="auto"/>
          </w:divBdr>
          <w:divsChild>
            <w:div w:id="1888104976">
              <w:marLeft w:val="-75"/>
              <w:marRight w:val="0"/>
              <w:marTop w:val="30"/>
              <w:marBottom w:val="30"/>
              <w:divBdr>
                <w:top w:val="none" w:sz="0" w:space="0" w:color="auto"/>
                <w:left w:val="none" w:sz="0" w:space="0" w:color="auto"/>
                <w:bottom w:val="none" w:sz="0" w:space="0" w:color="auto"/>
                <w:right w:val="none" w:sz="0" w:space="0" w:color="auto"/>
              </w:divBdr>
              <w:divsChild>
                <w:div w:id="103232951">
                  <w:marLeft w:val="0"/>
                  <w:marRight w:val="0"/>
                  <w:marTop w:val="0"/>
                  <w:marBottom w:val="0"/>
                  <w:divBdr>
                    <w:top w:val="none" w:sz="0" w:space="0" w:color="auto"/>
                    <w:left w:val="none" w:sz="0" w:space="0" w:color="auto"/>
                    <w:bottom w:val="none" w:sz="0" w:space="0" w:color="auto"/>
                    <w:right w:val="none" w:sz="0" w:space="0" w:color="auto"/>
                  </w:divBdr>
                  <w:divsChild>
                    <w:div w:id="1625576257">
                      <w:marLeft w:val="0"/>
                      <w:marRight w:val="0"/>
                      <w:marTop w:val="0"/>
                      <w:marBottom w:val="0"/>
                      <w:divBdr>
                        <w:top w:val="none" w:sz="0" w:space="0" w:color="auto"/>
                        <w:left w:val="none" w:sz="0" w:space="0" w:color="auto"/>
                        <w:bottom w:val="none" w:sz="0" w:space="0" w:color="auto"/>
                        <w:right w:val="none" w:sz="0" w:space="0" w:color="auto"/>
                      </w:divBdr>
                    </w:div>
                  </w:divsChild>
                </w:div>
                <w:div w:id="217202606">
                  <w:marLeft w:val="0"/>
                  <w:marRight w:val="0"/>
                  <w:marTop w:val="0"/>
                  <w:marBottom w:val="0"/>
                  <w:divBdr>
                    <w:top w:val="none" w:sz="0" w:space="0" w:color="auto"/>
                    <w:left w:val="none" w:sz="0" w:space="0" w:color="auto"/>
                    <w:bottom w:val="none" w:sz="0" w:space="0" w:color="auto"/>
                    <w:right w:val="none" w:sz="0" w:space="0" w:color="auto"/>
                  </w:divBdr>
                  <w:divsChild>
                    <w:div w:id="120149082">
                      <w:marLeft w:val="0"/>
                      <w:marRight w:val="0"/>
                      <w:marTop w:val="0"/>
                      <w:marBottom w:val="0"/>
                      <w:divBdr>
                        <w:top w:val="none" w:sz="0" w:space="0" w:color="auto"/>
                        <w:left w:val="none" w:sz="0" w:space="0" w:color="auto"/>
                        <w:bottom w:val="none" w:sz="0" w:space="0" w:color="auto"/>
                        <w:right w:val="none" w:sz="0" w:space="0" w:color="auto"/>
                      </w:divBdr>
                    </w:div>
                    <w:div w:id="189145648">
                      <w:marLeft w:val="0"/>
                      <w:marRight w:val="0"/>
                      <w:marTop w:val="0"/>
                      <w:marBottom w:val="0"/>
                      <w:divBdr>
                        <w:top w:val="none" w:sz="0" w:space="0" w:color="auto"/>
                        <w:left w:val="none" w:sz="0" w:space="0" w:color="auto"/>
                        <w:bottom w:val="none" w:sz="0" w:space="0" w:color="auto"/>
                        <w:right w:val="none" w:sz="0" w:space="0" w:color="auto"/>
                      </w:divBdr>
                    </w:div>
                    <w:div w:id="470633437">
                      <w:marLeft w:val="0"/>
                      <w:marRight w:val="0"/>
                      <w:marTop w:val="0"/>
                      <w:marBottom w:val="0"/>
                      <w:divBdr>
                        <w:top w:val="none" w:sz="0" w:space="0" w:color="auto"/>
                        <w:left w:val="none" w:sz="0" w:space="0" w:color="auto"/>
                        <w:bottom w:val="none" w:sz="0" w:space="0" w:color="auto"/>
                        <w:right w:val="none" w:sz="0" w:space="0" w:color="auto"/>
                      </w:divBdr>
                    </w:div>
                    <w:div w:id="768351406">
                      <w:marLeft w:val="0"/>
                      <w:marRight w:val="0"/>
                      <w:marTop w:val="0"/>
                      <w:marBottom w:val="0"/>
                      <w:divBdr>
                        <w:top w:val="none" w:sz="0" w:space="0" w:color="auto"/>
                        <w:left w:val="none" w:sz="0" w:space="0" w:color="auto"/>
                        <w:bottom w:val="none" w:sz="0" w:space="0" w:color="auto"/>
                        <w:right w:val="none" w:sz="0" w:space="0" w:color="auto"/>
                      </w:divBdr>
                    </w:div>
                    <w:div w:id="796796922">
                      <w:marLeft w:val="0"/>
                      <w:marRight w:val="0"/>
                      <w:marTop w:val="0"/>
                      <w:marBottom w:val="0"/>
                      <w:divBdr>
                        <w:top w:val="none" w:sz="0" w:space="0" w:color="auto"/>
                        <w:left w:val="none" w:sz="0" w:space="0" w:color="auto"/>
                        <w:bottom w:val="none" w:sz="0" w:space="0" w:color="auto"/>
                        <w:right w:val="none" w:sz="0" w:space="0" w:color="auto"/>
                      </w:divBdr>
                    </w:div>
                    <w:div w:id="846751673">
                      <w:marLeft w:val="0"/>
                      <w:marRight w:val="0"/>
                      <w:marTop w:val="0"/>
                      <w:marBottom w:val="0"/>
                      <w:divBdr>
                        <w:top w:val="none" w:sz="0" w:space="0" w:color="auto"/>
                        <w:left w:val="none" w:sz="0" w:space="0" w:color="auto"/>
                        <w:bottom w:val="none" w:sz="0" w:space="0" w:color="auto"/>
                        <w:right w:val="none" w:sz="0" w:space="0" w:color="auto"/>
                      </w:divBdr>
                    </w:div>
                    <w:div w:id="1170410767">
                      <w:marLeft w:val="0"/>
                      <w:marRight w:val="0"/>
                      <w:marTop w:val="0"/>
                      <w:marBottom w:val="0"/>
                      <w:divBdr>
                        <w:top w:val="none" w:sz="0" w:space="0" w:color="auto"/>
                        <w:left w:val="none" w:sz="0" w:space="0" w:color="auto"/>
                        <w:bottom w:val="none" w:sz="0" w:space="0" w:color="auto"/>
                        <w:right w:val="none" w:sz="0" w:space="0" w:color="auto"/>
                      </w:divBdr>
                    </w:div>
                    <w:div w:id="1376543415">
                      <w:marLeft w:val="0"/>
                      <w:marRight w:val="0"/>
                      <w:marTop w:val="0"/>
                      <w:marBottom w:val="0"/>
                      <w:divBdr>
                        <w:top w:val="none" w:sz="0" w:space="0" w:color="auto"/>
                        <w:left w:val="none" w:sz="0" w:space="0" w:color="auto"/>
                        <w:bottom w:val="none" w:sz="0" w:space="0" w:color="auto"/>
                        <w:right w:val="none" w:sz="0" w:space="0" w:color="auto"/>
                      </w:divBdr>
                    </w:div>
                    <w:div w:id="1655839002">
                      <w:marLeft w:val="0"/>
                      <w:marRight w:val="0"/>
                      <w:marTop w:val="0"/>
                      <w:marBottom w:val="0"/>
                      <w:divBdr>
                        <w:top w:val="none" w:sz="0" w:space="0" w:color="auto"/>
                        <w:left w:val="none" w:sz="0" w:space="0" w:color="auto"/>
                        <w:bottom w:val="none" w:sz="0" w:space="0" w:color="auto"/>
                        <w:right w:val="none" w:sz="0" w:space="0" w:color="auto"/>
                      </w:divBdr>
                    </w:div>
                    <w:div w:id="1774589080">
                      <w:marLeft w:val="0"/>
                      <w:marRight w:val="0"/>
                      <w:marTop w:val="0"/>
                      <w:marBottom w:val="0"/>
                      <w:divBdr>
                        <w:top w:val="none" w:sz="0" w:space="0" w:color="auto"/>
                        <w:left w:val="none" w:sz="0" w:space="0" w:color="auto"/>
                        <w:bottom w:val="none" w:sz="0" w:space="0" w:color="auto"/>
                        <w:right w:val="none" w:sz="0" w:space="0" w:color="auto"/>
                      </w:divBdr>
                    </w:div>
                  </w:divsChild>
                </w:div>
                <w:div w:id="246035427">
                  <w:marLeft w:val="0"/>
                  <w:marRight w:val="0"/>
                  <w:marTop w:val="0"/>
                  <w:marBottom w:val="0"/>
                  <w:divBdr>
                    <w:top w:val="none" w:sz="0" w:space="0" w:color="auto"/>
                    <w:left w:val="none" w:sz="0" w:space="0" w:color="auto"/>
                    <w:bottom w:val="none" w:sz="0" w:space="0" w:color="auto"/>
                    <w:right w:val="none" w:sz="0" w:space="0" w:color="auto"/>
                  </w:divBdr>
                  <w:divsChild>
                    <w:div w:id="528227380">
                      <w:marLeft w:val="0"/>
                      <w:marRight w:val="0"/>
                      <w:marTop w:val="0"/>
                      <w:marBottom w:val="0"/>
                      <w:divBdr>
                        <w:top w:val="none" w:sz="0" w:space="0" w:color="auto"/>
                        <w:left w:val="none" w:sz="0" w:space="0" w:color="auto"/>
                        <w:bottom w:val="none" w:sz="0" w:space="0" w:color="auto"/>
                        <w:right w:val="none" w:sz="0" w:space="0" w:color="auto"/>
                      </w:divBdr>
                    </w:div>
                  </w:divsChild>
                </w:div>
                <w:div w:id="275793994">
                  <w:marLeft w:val="0"/>
                  <w:marRight w:val="0"/>
                  <w:marTop w:val="0"/>
                  <w:marBottom w:val="0"/>
                  <w:divBdr>
                    <w:top w:val="none" w:sz="0" w:space="0" w:color="auto"/>
                    <w:left w:val="none" w:sz="0" w:space="0" w:color="auto"/>
                    <w:bottom w:val="none" w:sz="0" w:space="0" w:color="auto"/>
                    <w:right w:val="none" w:sz="0" w:space="0" w:color="auto"/>
                  </w:divBdr>
                  <w:divsChild>
                    <w:div w:id="169301742">
                      <w:marLeft w:val="0"/>
                      <w:marRight w:val="0"/>
                      <w:marTop w:val="0"/>
                      <w:marBottom w:val="0"/>
                      <w:divBdr>
                        <w:top w:val="none" w:sz="0" w:space="0" w:color="auto"/>
                        <w:left w:val="none" w:sz="0" w:space="0" w:color="auto"/>
                        <w:bottom w:val="none" w:sz="0" w:space="0" w:color="auto"/>
                        <w:right w:val="none" w:sz="0" w:space="0" w:color="auto"/>
                      </w:divBdr>
                    </w:div>
                    <w:div w:id="1390960253">
                      <w:marLeft w:val="0"/>
                      <w:marRight w:val="0"/>
                      <w:marTop w:val="0"/>
                      <w:marBottom w:val="0"/>
                      <w:divBdr>
                        <w:top w:val="none" w:sz="0" w:space="0" w:color="auto"/>
                        <w:left w:val="none" w:sz="0" w:space="0" w:color="auto"/>
                        <w:bottom w:val="none" w:sz="0" w:space="0" w:color="auto"/>
                        <w:right w:val="none" w:sz="0" w:space="0" w:color="auto"/>
                      </w:divBdr>
                    </w:div>
                    <w:div w:id="1417939347">
                      <w:marLeft w:val="0"/>
                      <w:marRight w:val="0"/>
                      <w:marTop w:val="0"/>
                      <w:marBottom w:val="0"/>
                      <w:divBdr>
                        <w:top w:val="none" w:sz="0" w:space="0" w:color="auto"/>
                        <w:left w:val="none" w:sz="0" w:space="0" w:color="auto"/>
                        <w:bottom w:val="none" w:sz="0" w:space="0" w:color="auto"/>
                        <w:right w:val="none" w:sz="0" w:space="0" w:color="auto"/>
                      </w:divBdr>
                    </w:div>
                    <w:div w:id="1705908518">
                      <w:marLeft w:val="0"/>
                      <w:marRight w:val="0"/>
                      <w:marTop w:val="0"/>
                      <w:marBottom w:val="0"/>
                      <w:divBdr>
                        <w:top w:val="none" w:sz="0" w:space="0" w:color="auto"/>
                        <w:left w:val="none" w:sz="0" w:space="0" w:color="auto"/>
                        <w:bottom w:val="none" w:sz="0" w:space="0" w:color="auto"/>
                        <w:right w:val="none" w:sz="0" w:space="0" w:color="auto"/>
                      </w:divBdr>
                    </w:div>
                  </w:divsChild>
                </w:div>
                <w:div w:id="586962956">
                  <w:marLeft w:val="0"/>
                  <w:marRight w:val="0"/>
                  <w:marTop w:val="0"/>
                  <w:marBottom w:val="0"/>
                  <w:divBdr>
                    <w:top w:val="none" w:sz="0" w:space="0" w:color="auto"/>
                    <w:left w:val="none" w:sz="0" w:space="0" w:color="auto"/>
                    <w:bottom w:val="none" w:sz="0" w:space="0" w:color="auto"/>
                    <w:right w:val="none" w:sz="0" w:space="0" w:color="auto"/>
                  </w:divBdr>
                  <w:divsChild>
                    <w:div w:id="177549027">
                      <w:marLeft w:val="0"/>
                      <w:marRight w:val="0"/>
                      <w:marTop w:val="0"/>
                      <w:marBottom w:val="0"/>
                      <w:divBdr>
                        <w:top w:val="none" w:sz="0" w:space="0" w:color="auto"/>
                        <w:left w:val="none" w:sz="0" w:space="0" w:color="auto"/>
                        <w:bottom w:val="none" w:sz="0" w:space="0" w:color="auto"/>
                        <w:right w:val="none" w:sz="0" w:space="0" w:color="auto"/>
                      </w:divBdr>
                    </w:div>
                    <w:div w:id="365914271">
                      <w:marLeft w:val="0"/>
                      <w:marRight w:val="0"/>
                      <w:marTop w:val="0"/>
                      <w:marBottom w:val="0"/>
                      <w:divBdr>
                        <w:top w:val="none" w:sz="0" w:space="0" w:color="auto"/>
                        <w:left w:val="none" w:sz="0" w:space="0" w:color="auto"/>
                        <w:bottom w:val="none" w:sz="0" w:space="0" w:color="auto"/>
                        <w:right w:val="none" w:sz="0" w:space="0" w:color="auto"/>
                      </w:divBdr>
                    </w:div>
                    <w:div w:id="870341685">
                      <w:marLeft w:val="0"/>
                      <w:marRight w:val="0"/>
                      <w:marTop w:val="0"/>
                      <w:marBottom w:val="0"/>
                      <w:divBdr>
                        <w:top w:val="none" w:sz="0" w:space="0" w:color="auto"/>
                        <w:left w:val="none" w:sz="0" w:space="0" w:color="auto"/>
                        <w:bottom w:val="none" w:sz="0" w:space="0" w:color="auto"/>
                        <w:right w:val="none" w:sz="0" w:space="0" w:color="auto"/>
                      </w:divBdr>
                    </w:div>
                    <w:div w:id="1334451033">
                      <w:marLeft w:val="0"/>
                      <w:marRight w:val="0"/>
                      <w:marTop w:val="0"/>
                      <w:marBottom w:val="0"/>
                      <w:divBdr>
                        <w:top w:val="none" w:sz="0" w:space="0" w:color="auto"/>
                        <w:left w:val="none" w:sz="0" w:space="0" w:color="auto"/>
                        <w:bottom w:val="none" w:sz="0" w:space="0" w:color="auto"/>
                        <w:right w:val="none" w:sz="0" w:space="0" w:color="auto"/>
                      </w:divBdr>
                    </w:div>
                  </w:divsChild>
                </w:div>
                <w:div w:id="671034610">
                  <w:marLeft w:val="0"/>
                  <w:marRight w:val="0"/>
                  <w:marTop w:val="0"/>
                  <w:marBottom w:val="0"/>
                  <w:divBdr>
                    <w:top w:val="none" w:sz="0" w:space="0" w:color="auto"/>
                    <w:left w:val="none" w:sz="0" w:space="0" w:color="auto"/>
                    <w:bottom w:val="none" w:sz="0" w:space="0" w:color="auto"/>
                    <w:right w:val="none" w:sz="0" w:space="0" w:color="auto"/>
                  </w:divBdr>
                  <w:divsChild>
                    <w:div w:id="1961835508">
                      <w:marLeft w:val="0"/>
                      <w:marRight w:val="0"/>
                      <w:marTop w:val="0"/>
                      <w:marBottom w:val="0"/>
                      <w:divBdr>
                        <w:top w:val="none" w:sz="0" w:space="0" w:color="auto"/>
                        <w:left w:val="none" w:sz="0" w:space="0" w:color="auto"/>
                        <w:bottom w:val="none" w:sz="0" w:space="0" w:color="auto"/>
                        <w:right w:val="none" w:sz="0" w:space="0" w:color="auto"/>
                      </w:divBdr>
                    </w:div>
                  </w:divsChild>
                </w:div>
                <w:div w:id="1483891685">
                  <w:marLeft w:val="0"/>
                  <w:marRight w:val="0"/>
                  <w:marTop w:val="0"/>
                  <w:marBottom w:val="0"/>
                  <w:divBdr>
                    <w:top w:val="none" w:sz="0" w:space="0" w:color="auto"/>
                    <w:left w:val="none" w:sz="0" w:space="0" w:color="auto"/>
                    <w:bottom w:val="none" w:sz="0" w:space="0" w:color="auto"/>
                    <w:right w:val="none" w:sz="0" w:space="0" w:color="auto"/>
                  </w:divBdr>
                  <w:divsChild>
                    <w:div w:id="1935363290">
                      <w:marLeft w:val="0"/>
                      <w:marRight w:val="0"/>
                      <w:marTop w:val="0"/>
                      <w:marBottom w:val="0"/>
                      <w:divBdr>
                        <w:top w:val="none" w:sz="0" w:space="0" w:color="auto"/>
                        <w:left w:val="none" w:sz="0" w:space="0" w:color="auto"/>
                        <w:bottom w:val="none" w:sz="0" w:space="0" w:color="auto"/>
                        <w:right w:val="none" w:sz="0" w:space="0" w:color="auto"/>
                      </w:divBdr>
                    </w:div>
                  </w:divsChild>
                </w:div>
                <w:div w:id="1589271258">
                  <w:marLeft w:val="0"/>
                  <w:marRight w:val="0"/>
                  <w:marTop w:val="0"/>
                  <w:marBottom w:val="0"/>
                  <w:divBdr>
                    <w:top w:val="none" w:sz="0" w:space="0" w:color="auto"/>
                    <w:left w:val="none" w:sz="0" w:space="0" w:color="auto"/>
                    <w:bottom w:val="none" w:sz="0" w:space="0" w:color="auto"/>
                    <w:right w:val="none" w:sz="0" w:space="0" w:color="auto"/>
                  </w:divBdr>
                  <w:divsChild>
                    <w:div w:id="402720159">
                      <w:marLeft w:val="0"/>
                      <w:marRight w:val="0"/>
                      <w:marTop w:val="0"/>
                      <w:marBottom w:val="0"/>
                      <w:divBdr>
                        <w:top w:val="none" w:sz="0" w:space="0" w:color="auto"/>
                        <w:left w:val="none" w:sz="0" w:space="0" w:color="auto"/>
                        <w:bottom w:val="none" w:sz="0" w:space="0" w:color="auto"/>
                        <w:right w:val="none" w:sz="0" w:space="0" w:color="auto"/>
                      </w:divBdr>
                    </w:div>
                    <w:div w:id="558250981">
                      <w:marLeft w:val="0"/>
                      <w:marRight w:val="0"/>
                      <w:marTop w:val="0"/>
                      <w:marBottom w:val="0"/>
                      <w:divBdr>
                        <w:top w:val="none" w:sz="0" w:space="0" w:color="auto"/>
                        <w:left w:val="none" w:sz="0" w:space="0" w:color="auto"/>
                        <w:bottom w:val="none" w:sz="0" w:space="0" w:color="auto"/>
                        <w:right w:val="none" w:sz="0" w:space="0" w:color="auto"/>
                      </w:divBdr>
                    </w:div>
                    <w:div w:id="1708138706">
                      <w:marLeft w:val="0"/>
                      <w:marRight w:val="0"/>
                      <w:marTop w:val="0"/>
                      <w:marBottom w:val="0"/>
                      <w:divBdr>
                        <w:top w:val="none" w:sz="0" w:space="0" w:color="auto"/>
                        <w:left w:val="none" w:sz="0" w:space="0" w:color="auto"/>
                        <w:bottom w:val="none" w:sz="0" w:space="0" w:color="auto"/>
                        <w:right w:val="none" w:sz="0" w:space="0" w:color="auto"/>
                      </w:divBdr>
                    </w:div>
                  </w:divsChild>
                </w:div>
                <w:div w:id="1772317796">
                  <w:marLeft w:val="0"/>
                  <w:marRight w:val="0"/>
                  <w:marTop w:val="0"/>
                  <w:marBottom w:val="0"/>
                  <w:divBdr>
                    <w:top w:val="none" w:sz="0" w:space="0" w:color="auto"/>
                    <w:left w:val="none" w:sz="0" w:space="0" w:color="auto"/>
                    <w:bottom w:val="none" w:sz="0" w:space="0" w:color="auto"/>
                    <w:right w:val="none" w:sz="0" w:space="0" w:color="auto"/>
                  </w:divBdr>
                  <w:divsChild>
                    <w:div w:id="12641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52561">
          <w:marLeft w:val="0"/>
          <w:marRight w:val="0"/>
          <w:marTop w:val="0"/>
          <w:marBottom w:val="0"/>
          <w:divBdr>
            <w:top w:val="none" w:sz="0" w:space="0" w:color="auto"/>
            <w:left w:val="none" w:sz="0" w:space="0" w:color="auto"/>
            <w:bottom w:val="none" w:sz="0" w:space="0" w:color="auto"/>
            <w:right w:val="none" w:sz="0" w:space="0" w:color="auto"/>
          </w:divBdr>
        </w:div>
        <w:div w:id="623774080">
          <w:marLeft w:val="0"/>
          <w:marRight w:val="0"/>
          <w:marTop w:val="0"/>
          <w:marBottom w:val="0"/>
          <w:divBdr>
            <w:top w:val="none" w:sz="0" w:space="0" w:color="auto"/>
            <w:left w:val="none" w:sz="0" w:space="0" w:color="auto"/>
            <w:bottom w:val="none" w:sz="0" w:space="0" w:color="auto"/>
            <w:right w:val="none" w:sz="0" w:space="0" w:color="auto"/>
          </w:divBdr>
        </w:div>
        <w:div w:id="730930921">
          <w:marLeft w:val="0"/>
          <w:marRight w:val="0"/>
          <w:marTop w:val="0"/>
          <w:marBottom w:val="0"/>
          <w:divBdr>
            <w:top w:val="none" w:sz="0" w:space="0" w:color="auto"/>
            <w:left w:val="none" w:sz="0" w:space="0" w:color="auto"/>
            <w:bottom w:val="none" w:sz="0" w:space="0" w:color="auto"/>
            <w:right w:val="none" w:sz="0" w:space="0" w:color="auto"/>
          </w:divBdr>
        </w:div>
        <w:div w:id="1198662505">
          <w:marLeft w:val="0"/>
          <w:marRight w:val="0"/>
          <w:marTop w:val="0"/>
          <w:marBottom w:val="0"/>
          <w:divBdr>
            <w:top w:val="none" w:sz="0" w:space="0" w:color="auto"/>
            <w:left w:val="none" w:sz="0" w:space="0" w:color="auto"/>
            <w:bottom w:val="none" w:sz="0" w:space="0" w:color="auto"/>
            <w:right w:val="none" w:sz="0" w:space="0" w:color="auto"/>
          </w:divBdr>
        </w:div>
        <w:div w:id="1884243592">
          <w:marLeft w:val="0"/>
          <w:marRight w:val="0"/>
          <w:marTop w:val="0"/>
          <w:marBottom w:val="0"/>
          <w:divBdr>
            <w:top w:val="none" w:sz="0" w:space="0" w:color="auto"/>
            <w:left w:val="none" w:sz="0" w:space="0" w:color="auto"/>
            <w:bottom w:val="none" w:sz="0" w:space="0" w:color="auto"/>
            <w:right w:val="none" w:sz="0" w:space="0" w:color="auto"/>
          </w:divBdr>
          <w:divsChild>
            <w:div w:id="417216379">
              <w:marLeft w:val="-75"/>
              <w:marRight w:val="0"/>
              <w:marTop w:val="30"/>
              <w:marBottom w:val="30"/>
              <w:divBdr>
                <w:top w:val="none" w:sz="0" w:space="0" w:color="auto"/>
                <w:left w:val="none" w:sz="0" w:space="0" w:color="auto"/>
                <w:bottom w:val="none" w:sz="0" w:space="0" w:color="auto"/>
                <w:right w:val="none" w:sz="0" w:space="0" w:color="auto"/>
              </w:divBdr>
              <w:divsChild>
                <w:div w:id="1289435104">
                  <w:marLeft w:val="0"/>
                  <w:marRight w:val="0"/>
                  <w:marTop w:val="0"/>
                  <w:marBottom w:val="0"/>
                  <w:divBdr>
                    <w:top w:val="none" w:sz="0" w:space="0" w:color="auto"/>
                    <w:left w:val="none" w:sz="0" w:space="0" w:color="auto"/>
                    <w:bottom w:val="none" w:sz="0" w:space="0" w:color="auto"/>
                    <w:right w:val="none" w:sz="0" w:space="0" w:color="auto"/>
                  </w:divBdr>
                  <w:divsChild>
                    <w:div w:id="685641074">
                      <w:marLeft w:val="0"/>
                      <w:marRight w:val="0"/>
                      <w:marTop w:val="0"/>
                      <w:marBottom w:val="0"/>
                      <w:divBdr>
                        <w:top w:val="none" w:sz="0" w:space="0" w:color="auto"/>
                        <w:left w:val="none" w:sz="0" w:space="0" w:color="auto"/>
                        <w:bottom w:val="none" w:sz="0" w:space="0" w:color="auto"/>
                        <w:right w:val="none" w:sz="0" w:space="0" w:color="auto"/>
                      </w:divBdr>
                    </w:div>
                  </w:divsChild>
                </w:div>
                <w:div w:id="1300912963">
                  <w:marLeft w:val="0"/>
                  <w:marRight w:val="0"/>
                  <w:marTop w:val="0"/>
                  <w:marBottom w:val="0"/>
                  <w:divBdr>
                    <w:top w:val="none" w:sz="0" w:space="0" w:color="auto"/>
                    <w:left w:val="none" w:sz="0" w:space="0" w:color="auto"/>
                    <w:bottom w:val="none" w:sz="0" w:space="0" w:color="auto"/>
                    <w:right w:val="none" w:sz="0" w:space="0" w:color="auto"/>
                  </w:divBdr>
                  <w:divsChild>
                    <w:div w:id="935596151">
                      <w:marLeft w:val="0"/>
                      <w:marRight w:val="0"/>
                      <w:marTop w:val="0"/>
                      <w:marBottom w:val="0"/>
                      <w:divBdr>
                        <w:top w:val="none" w:sz="0" w:space="0" w:color="auto"/>
                        <w:left w:val="none" w:sz="0" w:space="0" w:color="auto"/>
                        <w:bottom w:val="none" w:sz="0" w:space="0" w:color="auto"/>
                        <w:right w:val="none" w:sz="0" w:space="0" w:color="auto"/>
                      </w:divBdr>
                    </w:div>
                    <w:div w:id="11107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38563">
          <w:marLeft w:val="0"/>
          <w:marRight w:val="0"/>
          <w:marTop w:val="0"/>
          <w:marBottom w:val="0"/>
          <w:divBdr>
            <w:top w:val="none" w:sz="0" w:space="0" w:color="auto"/>
            <w:left w:val="none" w:sz="0" w:space="0" w:color="auto"/>
            <w:bottom w:val="none" w:sz="0" w:space="0" w:color="auto"/>
            <w:right w:val="none" w:sz="0" w:space="0" w:color="auto"/>
          </w:divBdr>
          <w:divsChild>
            <w:div w:id="351567077">
              <w:marLeft w:val="-75"/>
              <w:marRight w:val="0"/>
              <w:marTop w:val="30"/>
              <w:marBottom w:val="30"/>
              <w:divBdr>
                <w:top w:val="none" w:sz="0" w:space="0" w:color="auto"/>
                <w:left w:val="none" w:sz="0" w:space="0" w:color="auto"/>
                <w:bottom w:val="none" w:sz="0" w:space="0" w:color="auto"/>
                <w:right w:val="none" w:sz="0" w:space="0" w:color="auto"/>
              </w:divBdr>
              <w:divsChild>
                <w:div w:id="51390785">
                  <w:marLeft w:val="0"/>
                  <w:marRight w:val="0"/>
                  <w:marTop w:val="0"/>
                  <w:marBottom w:val="0"/>
                  <w:divBdr>
                    <w:top w:val="none" w:sz="0" w:space="0" w:color="auto"/>
                    <w:left w:val="none" w:sz="0" w:space="0" w:color="auto"/>
                    <w:bottom w:val="none" w:sz="0" w:space="0" w:color="auto"/>
                    <w:right w:val="none" w:sz="0" w:space="0" w:color="auto"/>
                  </w:divBdr>
                  <w:divsChild>
                    <w:div w:id="241138403">
                      <w:marLeft w:val="0"/>
                      <w:marRight w:val="0"/>
                      <w:marTop w:val="0"/>
                      <w:marBottom w:val="0"/>
                      <w:divBdr>
                        <w:top w:val="none" w:sz="0" w:space="0" w:color="auto"/>
                        <w:left w:val="none" w:sz="0" w:space="0" w:color="auto"/>
                        <w:bottom w:val="none" w:sz="0" w:space="0" w:color="auto"/>
                        <w:right w:val="none" w:sz="0" w:space="0" w:color="auto"/>
                      </w:divBdr>
                    </w:div>
                    <w:div w:id="472253211">
                      <w:marLeft w:val="0"/>
                      <w:marRight w:val="0"/>
                      <w:marTop w:val="0"/>
                      <w:marBottom w:val="0"/>
                      <w:divBdr>
                        <w:top w:val="none" w:sz="0" w:space="0" w:color="auto"/>
                        <w:left w:val="none" w:sz="0" w:space="0" w:color="auto"/>
                        <w:bottom w:val="none" w:sz="0" w:space="0" w:color="auto"/>
                        <w:right w:val="none" w:sz="0" w:space="0" w:color="auto"/>
                      </w:divBdr>
                    </w:div>
                    <w:div w:id="1019741955">
                      <w:marLeft w:val="0"/>
                      <w:marRight w:val="0"/>
                      <w:marTop w:val="0"/>
                      <w:marBottom w:val="0"/>
                      <w:divBdr>
                        <w:top w:val="none" w:sz="0" w:space="0" w:color="auto"/>
                        <w:left w:val="none" w:sz="0" w:space="0" w:color="auto"/>
                        <w:bottom w:val="none" w:sz="0" w:space="0" w:color="auto"/>
                        <w:right w:val="none" w:sz="0" w:space="0" w:color="auto"/>
                      </w:divBdr>
                    </w:div>
                  </w:divsChild>
                </w:div>
                <w:div w:id="823547203">
                  <w:marLeft w:val="0"/>
                  <w:marRight w:val="0"/>
                  <w:marTop w:val="0"/>
                  <w:marBottom w:val="0"/>
                  <w:divBdr>
                    <w:top w:val="none" w:sz="0" w:space="0" w:color="auto"/>
                    <w:left w:val="none" w:sz="0" w:space="0" w:color="auto"/>
                    <w:bottom w:val="none" w:sz="0" w:space="0" w:color="auto"/>
                    <w:right w:val="none" w:sz="0" w:space="0" w:color="auto"/>
                  </w:divBdr>
                  <w:divsChild>
                    <w:div w:id="1798180412">
                      <w:marLeft w:val="0"/>
                      <w:marRight w:val="0"/>
                      <w:marTop w:val="0"/>
                      <w:marBottom w:val="0"/>
                      <w:divBdr>
                        <w:top w:val="none" w:sz="0" w:space="0" w:color="auto"/>
                        <w:left w:val="none" w:sz="0" w:space="0" w:color="auto"/>
                        <w:bottom w:val="none" w:sz="0" w:space="0" w:color="auto"/>
                        <w:right w:val="none" w:sz="0" w:space="0" w:color="auto"/>
                      </w:divBdr>
                    </w:div>
                  </w:divsChild>
                </w:div>
                <w:div w:id="1272591634">
                  <w:marLeft w:val="0"/>
                  <w:marRight w:val="0"/>
                  <w:marTop w:val="0"/>
                  <w:marBottom w:val="0"/>
                  <w:divBdr>
                    <w:top w:val="none" w:sz="0" w:space="0" w:color="auto"/>
                    <w:left w:val="none" w:sz="0" w:space="0" w:color="auto"/>
                    <w:bottom w:val="none" w:sz="0" w:space="0" w:color="auto"/>
                    <w:right w:val="none" w:sz="0" w:space="0" w:color="auto"/>
                  </w:divBdr>
                  <w:divsChild>
                    <w:div w:id="50810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088">
          <w:marLeft w:val="0"/>
          <w:marRight w:val="0"/>
          <w:marTop w:val="0"/>
          <w:marBottom w:val="0"/>
          <w:divBdr>
            <w:top w:val="none" w:sz="0" w:space="0" w:color="auto"/>
            <w:left w:val="none" w:sz="0" w:space="0" w:color="auto"/>
            <w:bottom w:val="none" w:sz="0" w:space="0" w:color="auto"/>
            <w:right w:val="none" w:sz="0" w:space="0" w:color="auto"/>
          </w:divBdr>
          <w:divsChild>
            <w:div w:id="1242106003">
              <w:marLeft w:val="-75"/>
              <w:marRight w:val="0"/>
              <w:marTop w:val="30"/>
              <w:marBottom w:val="30"/>
              <w:divBdr>
                <w:top w:val="none" w:sz="0" w:space="0" w:color="auto"/>
                <w:left w:val="none" w:sz="0" w:space="0" w:color="auto"/>
                <w:bottom w:val="none" w:sz="0" w:space="0" w:color="auto"/>
                <w:right w:val="none" w:sz="0" w:space="0" w:color="auto"/>
              </w:divBdr>
              <w:divsChild>
                <w:div w:id="38820040">
                  <w:marLeft w:val="0"/>
                  <w:marRight w:val="0"/>
                  <w:marTop w:val="0"/>
                  <w:marBottom w:val="0"/>
                  <w:divBdr>
                    <w:top w:val="none" w:sz="0" w:space="0" w:color="auto"/>
                    <w:left w:val="none" w:sz="0" w:space="0" w:color="auto"/>
                    <w:bottom w:val="none" w:sz="0" w:space="0" w:color="auto"/>
                    <w:right w:val="none" w:sz="0" w:space="0" w:color="auto"/>
                  </w:divBdr>
                  <w:divsChild>
                    <w:div w:id="771585913">
                      <w:marLeft w:val="0"/>
                      <w:marRight w:val="0"/>
                      <w:marTop w:val="0"/>
                      <w:marBottom w:val="0"/>
                      <w:divBdr>
                        <w:top w:val="none" w:sz="0" w:space="0" w:color="auto"/>
                        <w:left w:val="none" w:sz="0" w:space="0" w:color="auto"/>
                        <w:bottom w:val="none" w:sz="0" w:space="0" w:color="auto"/>
                        <w:right w:val="none" w:sz="0" w:space="0" w:color="auto"/>
                      </w:divBdr>
                    </w:div>
                  </w:divsChild>
                </w:div>
                <w:div w:id="395444387">
                  <w:marLeft w:val="0"/>
                  <w:marRight w:val="0"/>
                  <w:marTop w:val="0"/>
                  <w:marBottom w:val="0"/>
                  <w:divBdr>
                    <w:top w:val="none" w:sz="0" w:space="0" w:color="auto"/>
                    <w:left w:val="none" w:sz="0" w:space="0" w:color="auto"/>
                    <w:bottom w:val="none" w:sz="0" w:space="0" w:color="auto"/>
                    <w:right w:val="none" w:sz="0" w:space="0" w:color="auto"/>
                  </w:divBdr>
                  <w:divsChild>
                    <w:div w:id="365526280">
                      <w:marLeft w:val="0"/>
                      <w:marRight w:val="0"/>
                      <w:marTop w:val="0"/>
                      <w:marBottom w:val="0"/>
                      <w:divBdr>
                        <w:top w:val="none" w:sz="0" w:space="0" w:color="auto"/>
                        <w:left w:val="none" w:sz="0" w:space="0" w:color="auto"/>
                        <w:bottom w:val="none" w:sz="0" w:space="0" w:color="auto"/>
                        <w:right w:val="none" w:sz="0" w:space="0" w:color="auto"/>
                      </w:divBdr>
                    </w:div>
                    <w:div w:id="1392996850">
                      <w:marLeft w:val="0"/>
                      <w:marRight w:val="0"/>
                      <w:marTop w:val="0"/>
                      <w:marBottom w:val="0"/>
                      <w:divBdr>
                        <w:top w:val="none" w:sz="0" w:space="0" w:color="auto"/>
                        <w:left w:val="none" w:sz="0" w:space="0" w:color="auto"/>
                        <w:bottom w:val="none" w:sz="0" w:space="0" w:color="auto"/>
                        <w:right w:val="none" w:sz="0" w:space="0" w:color="auto"/>
                      </w:divBdr>
                    </w:div>
                    <w:div w:id="2146118996">
                      <w:marLeft w:val="0"/>
                      <w:marRight w:val="0"/>
                      <w:marTop w:val="0"/>
                      <w:marBottom w:val="0"/>
                      <w:divBdr>
                        <w:top w:val="none" w:sz="0" w:space="0" w:color="auto"/>
                        <w:left w:val="none" w:sz="0" w:space="0" w:color="auto"/>
                        <w:bottom w:val="none" w:sz="0" w:space="0" w:color="auto"/>
                        <w:right w:val="none" w:sz="0" w:space="0" w:color="auto"/>
                      </w:divBdr>
                    </w:div>
                  </w:divsChild>
                </w:div>
                <w:div w:id="503665675">
                  <w:marLeft w:val="0"/>
                  <w:marRight w:val="0"/>
                  <w:marTop w:val="0"/>
                  <w:marBottom w:val="0"/>
                  <w:divBdr>
                    <w:top w:val="none" w:sz="0" w:space="0" w:color="auto"/>
                    <w:left w:val="none" w:sz="0" w:space="0" w:color="auto"/>
                    <w:bottom w:val="none" w:sz="0" w:space="0" w:color="auto"/>
                    <w:right w:val="none" w:sz="0" w:space="0" w:color="auto"/>
                  </w:divBdr>
                  <w:divsChild>
                    <w:div w:id="709691884">
                      <w:marLeft w:val="0"/>
                      <w:marRight w:val="0"/>
                      <w:marTop w:val="0"/>
                      <w:marBottom w:val="0"/>
                      <w:divBdr>
                        <w:top w:val="none" w:sz="0" w:space="0" w:color="auto"/>
                        <w:left w:val="none" w:sz="0" w:space="0" w:color="auto"/>
                        <w:bottom w:val="none" w:sz="0" w:space="0" w:color="auto"/>
                        <w:right w:val="none" w:sz="0" w:space="0" w:color="auto"/>
                      </w:divBdr>
                    </w:div>
                  </w:divsChild>
                </w:div>
                <w:div w:id="592782654">
                  <w:marLeft w:val="0"/>
                  <w:marRight w:val="0"/>
                  <w:marTop w:val="0"/>
                  <w:marBottom w:val="0"/>
                  <w:divBdr>
                    <w:top w:val="none" w:sz="0" w:space="0" w:color="auto"/>
                    <w:left w:val="none" w:sz="0" w:space="0" w:color="auto"/>
                    <w:bottom w:val="none" w:sz="0" w:space="0" w:color="auto"/>
                    <w:right w:val="none" w:sz="0" w:space="0" w:color="auto"/>
                  </w:divBdr>
                  <w:divsChild>
                    <w:div w:id="1587303160">
                      <w:marLeft w:val="0"/>
                      <w:marRight w:val="0"/>
                      <w:marTop w:val="0"/>
                      <w:marBottom w:val="0"/>
                      <w:divBdr>
                        <w:top w:val="none" w:sz="0" w:space="0" w:color="auto"/>
                        <w:left w:val="none" w:sz="0" w:space="0" w:color="auto"/>
                        <w:bottom w:val="none" w:sz="0" w:space="0" w:color="auto"/>
                        <w:right w:val="none" w:sz="0" w:space="0" w:color="auto"/>
                      </w:divBdr>
                    </w:div>
                  </w:divsChild>
                </w:div>
                <w:div w:id="616958885">
                  <w:marLeft w:val="0"/>
                  <w:marRight w:val="0"/>
                  <w:marTop w:val="0"/>
                  <w:marBottom w:val="0"/>
                  <w:divBdr>
                    <w:top w:val="none" w:sz="0" w:space="0" w:color="auto"/>
                    <w:left w:val="none" w:sz="0" w:space="0" w:color="auto"/>
                    <w:bottom w:val="none" w:sz="0" w:space="0" w:color="auto"/>
                    <w:right w:val="none" w:sz="0" w:space="0" w:color="auto"/>
                  </w:divBdr>
                  <w:divsChild>
                    <w:div w:id="111634484">
                      <w:marLeft w:val="0"/>
                      <w:marRight w:val="0"/>
                      <w:marTop w:val="0"/>
                      <w:marBottom w:val="0"/>
                      <w:divBdr>
                        <w:top w:val="none" w:sz="0" w:space="0" w:color="auto"/>
                        <w:left w:val="none" w:sz="0" w:space="0" w:color="auto"/>
                        <w:bottom w:val="none" w:sz="0" w:space="0" w:color="auto"/>
                        <w:right w:val="none" w:sz="0" w:space="0" w:color="auto"/>
                      </w:divBdr>
                    </w:div>
                    <w:div w:id="1055857286">
                      <w:marLeft w:val="0"/>
                      <w:marRight w:val="0"/>
                      <w:marTop w:val="0"/>
                      <w:marBottom w:val="0"/>
                      <w:divBdr>
                        <w:top w:val="none" w:sz="0" w:space="0" w:color="auto"/>
                        <w:left w:val="none" w:sz="0" w:space="0" w:color="auto"/>
                        <w:bottom w:val="none" w:sz="0" w:space="0" w:color="auto"/>
                        <w:right w:val="none" w:sz="0" w:space="0" w:color="auto"/>
                      </w:divBdr>
                    </w:div>
                    <w:div w:id="1317419296">
                      <w:marLeft w:val="0"/>
                      <w:marRight w:val="0"/>
                      <w:marTop w:val="0"/>
                      <w:marBottom w:val="0"/>
                      <w:divBdr>
                        <w:top w:val="none" w:sz="0" w:space="0" w:color="auto"/>
                        <w:left w:val="none" w:sz="0" w:space="0" w:color="auto"/>
                        <w:bottom w:val="none" w:sz="0" w:space="0" w:color="auto"/>
                        <w:right w:val="none" w:sz="0" w:space="0" w:color="auto"/>
                      </w:divBdr>
                    </w:div>
                  </w:divsChild>
                </w:div>
                <w:div w:id="971980493">
                  <w:marLeft w:val="0"/>
                  <w:marRight w:val="0"/>
                  <w:marTop w:val="0"/>
                  <w:marBottom w:val="0"/>
                  <w:divBdr>
                    <w:top w:val="none" w:sz="0" w:space="0" w:color="auto"/>
                    <w:left w:val="none" w:sz="0" w:space="0" w:color="auto"/>
                    <w:bottom w:val="none" w:sz="0" w:space="0" w:color="auto"/>
                    <w:right w:val="none" w:sz="0" w:space="0" w:color="auto"/>
                  </w:divBdr>
                  <w:divsChild>
                    <w:div w:id="945423312">
                      <w:marLeft w:val="0"/>
                      <w:marRight w:val="0"/>
                      <w:marTop w:val="0"/>
                      <w:marBottom w:val="0"/>
                      <w:divBdr>
                        <w:top w:val="none" w:sz="0" w:space="0" w:color="auto"/>
                        <w:left w:val="none" w:sz="0" w:space="0" w:color="auto"/>
                        <w:bottom w:val="none" w:sz="0" w:space="0" w:color="auto"/>
                        <w:right w:val="none" w:sz="0" w:space="0" w:color="auto"/>
                      </w:divBdr>
                    </w:div>
                  </w:divsChild>
                </w:div>
                <w:div w:id="1051852896">
                  <w:marLeft w:val="0"/>
                  <w:marRight w:val="0"/>
                  <w:marTop w:val="0"/>
                  <w:marBottom w:val="0"/>
                  <w:divBdr>
                    <w:top w:val="none" w:sz="0" w:space="0" w:color="auto"/>
                    <w:left w:val="none" w:sz="0" w:space="0" w:color="auto"/>
                    <w:bottom w:val="none" w:sz="0" w:space="0" w:color="auto"/>
                    <w:right w:val="none" w:sz="0" w:space="0" w:color="auto"/>
                  </w:divBdr>
                  <w:divsChild>
                    <w:div w:id="1407846759">
                      <w:marLeft w:val="0"/>
                      <w:marRight w:val="0"/>
                      <w:marTop w:val="0"/>
                      <w:marBottom w:val="0"/>
                      <w:divBdr>
                        <w:top w:val="none" w:sz="0" w:space="0" w:color="auto"/>
                        <w:left w:val="none" w:sz="0" w:space="0" w:color="auto"/>
                        <w:bottom w:val="none" w:sz="0" w:space="0" w:color="auto"/>
                        <w:right w:val="none" w:sz="0" w:space="0" w:color="auto"/>
                      </w:divBdr>
                    </w:div>
                  </w:divsChild>
                </w:div>
                <w:div w:id="1122070077">
                  <w:marLeft w:val="0"/>
                  <w:marRight w:val="0"/>
                  <w:marTop w:val="0"/>
                  <w:marBottom w:val="0"/>
                  <w:divBdr>
                    <w:top w:val="none" w:sz="0" w:space="0" w:color="auto"/>
                    <w:left w:val="none" w:sz="0" w:space="0" w:color="auto"/>
                    <w:bottom w:val="none" w:sz="0" w:space="0" w:color="auto"/>
                    <w:right w:val="none" w:sz="0" w:space="0" w:color="auto"/>
                  </w:divBdr>
                  <w:divsChild>
                    <w:div w:id="484130993">
                      <w:marLeft w:val="0"/>
                      <w:marRight w:val="0"/>
                      <w:marTop w:val="0"/>
                      <w:marBottom w:val="0"/>
                      <w:divBdr>
                        <w:top w:val="none" w:sz="0" w:space="0" w:color="auto"/>
                        <w:left w:val="none" w:sz="0" w:space="0" w:color="auto"/>
                        <w:bottom w:val="none" w:sz="0" w:space="0" w:color="auto"/>
                        <w:right w:val="none" w:sz="0" w:space="0" w:color="auto"/>
                      </w:divBdr>
                    </w:div>
                    <w:div w:id="652297245">
                      <w:marLeft w:val="0"/>
                      <w:marRight w:val="0"/>
                      <w:marTop w:val="0"/>
                      <w:marBottom w:val="0"/>
                      <w:divBdr>
                        <w:top w:val="none" w:sz="0" w:space="0" w:color="auto"/>
                        <w:left w:val="none" w:sz="0" w:space="0" w:color="auto"/>
                        <w:bottom w:val="none" w:sz="0" w:space="0" w:color="auto"/>
                        <w:right w:val="none" w:sz="0" w:space="0" w:color="auto"/>
                      </w:divBdr>
                    </w:div>
                    <w:div w:id="1870487474">
                      <w:marLeft w:val="0"/>
                      <w:marRight w:val="0"/>
                      <w:marTop w:val="0"/>
                      <w:marBottom w:val="0"/>
                      <w:divBdr>
                        <w:top w:val="none" w:sz="0" w:space="0" w:color="auto"/>
                        <w:left w:val="none" w:sz="0" w:space="0" w:color="auto"/>
                        <w:bottom w:val="none" w:sz="0" w:space="0" w:color="auto"/>
                        <w:right w:val="none" w:sz="0" w:space="0" w:color="auto"/>
                      </w:divBdr>
                    </w:div>
                  </w:divsChild>
                </w:div>
                <w:div w:id="1441561606">
                  <w:marLeft w:val="0"/>
                  <w:marRight w:val="0"/>
                  <w:marTop w:val="0"/>
                  <w:marBottom w:val="0"/>
                  <w:divBdr>
                    <w:top w:val="none" w:sz="0" w:space="0" w:color="auto"/>
                    <w:left w:val="none" w:sz="0" w:space="0" w:color="auto"/>
                    <w:bottom w:val="none" w:sz="0" w:space="0" w:color="auto"/>
                    <w:right w:val="none" w:sz="0" w:space="0" w:color="auto"/>
                  </w:divBdr>
                  <w:divsChild>
                    <w:div w:id="1095974572">
                      <w:marLeft w:val="0"/>
                      <w:marRight w:val="0"/>
                      <w:marTop w:val="0"/>
                      <w:marBottom w:val="0"/>
                      <w:divBdr>
                        <w:top w:val="none" w:sz="0" w:space="0" w:color="auto"/>
                        <w:left w:val="none" w:sz="0" w:space="0" w:color="auto"/>
                        <w:bottom w:val="none" w:sz="0" w:space="0" w:color="auto"/>
                        <w:right w:val="none" w:sz="0" w:space="0" w:color="auto"/>
                      </w:divBdr>
                    </w:div>
                    <w:div w:id="1440561982">
                      <w:marLeft w:val="0"/>
                      <w:marRight w:val="0"/>
                      <w:marTop w:val="0"/>
                      <w:marBottom w:val="0"/>
                      <w:divBdr>
                        <w:top w:val="none" w:sz="0" w:space="0" w:color="auto"/>
                        <w:left w:val="none" w:sz="0" w:space="0" w:color="auto"/>
                        <w:bottom w:val="none" w:sz="0" w:space="0" w:color="auto"/>
                        <w:right w:val="none" w:sz="0" w:space="0" w:color="auto"/>
                      </w:divBdr>
                    </w:div>
                    <w:div w:id="1743524780">
                      <w:marLeft w:val="0"/>
                      <w:marRight w:val="0"/>
                      <w:marTop w:val="0"/>
                      <w:marBottom w:val="0"/>
                      <w:divBdr>
                        <w:top w:val="none" w:sz="0" w:space="0" w:color="auto"/>
                        <w:left w:val="none" w:sz="0" w:space="0" w:color="auto"/>
                        <w:bottom w:val="none" w:sz="0" w:space="0" w:color="auto"/>
                        <w:right w:val="none" w:sz="0" w:space="0" w:color="auto"/>
                      </w:divBdr>
                    </w:div>
                  </w:divsChild>
                </w:div>
                <w:div w:id="1669014651">
                  <w:marLeft w:val="0"/>
                  <w:marRight w:val="0"/>
                  <w:marTop w:val="0"/>
                  <w:marBottom w:val="0"/>
                  <w:divBdr>
                    <w:top w:val="none" w:sz="0" w:space="0" w:color="auto"/>
                    <w:left w:val="none" w:sz="0" w:space="0" w:color="auto"/>
                    <w:bottom w:val="none" w:sz="0" w:space="0" w:color="auto"/>
                    <w:right w:val="none" w:sz="0" w:space="0" w:color="auto"/>
                  </w:divBdr>
                  <w:divsChild>
                    <w:div w:id="1394037515">
                      <w:marLeft w:val="0"/>
                      <w:marRight w:val="0"/>
                      <w:marTop w:val="0"/>
                      <w:marBottom w:val="0"/>
                      <w:divBdr>
                        <w:top w:val="none" w:sz="0" w:space="0" w:color="auto"/>
                        <w:left w:val="none" w:sz="0" w:space="0" w:color="auto"/>
                        <w:bottom w:val="none" w:sz="0" w:space="0" w:color="auto"/>
                        <w:right w:val="none" w:sz="0" w:space="0" w:color="auto"/>
                      </w:divBdr>
                    </w:div>
                    <w:div w:id="1715303267">
                      <w:marLeft w:val="0"/>
                      <w:marRight w:val="0"/>
                      <w:marTop w:val="0"/>
                      <w:marBottom w:val="0"/>
                      <w:divBdr>
                        <w:top w:val="none" w:sz="0" w:space="0" w:color="auto"/>
                        <w:left w:val="none" w:sz="0" w:space="0" w:color="auto"/>
                        <w:bottom w:val="none" w:sz="0" w:space="0" w:color="auto"/>
                        <w:right w:val="none" w:sz="0" w:space="0" w:color="auto"/>
                      </w:divBdr>
                    </w:div>
                    <w:div w:id="2058627888">
                      <w:marLeft w:val="0"/>
                      <w:marRight w:val="0"/>
                      <w:marTop w:val="0"/>
                      <w:marBottom w:val="0"/>
                      <w:divBdr>
                        <w:top w:val="none" w:sz="0" w:space="0" w:color="auto"/>
                        <w:left w:val="none" w:sz="0" w:space="0" w:color="auto"/>
                        <w:bottom w:val="none" w:sz="0" w:space="0" w:color="auto"/>
                        <w:right w:val="none" w:sz="0" w:space="0" w:color="auto"/>
                      </w:divBdr>
                    </w:div>
                  </w:divsChild>
                </w:div>
                <w:div w:id="1869100138">
                  <w:marLeft w:val="0"/>
                  <w:marRight w:val="0"/>
                  <w:marTop w:val="0"/>
                  <w:marBottom w:val="0"/>
                  <w:divBdr>
                    <w:top w:val="none" w:sz="0" w:space="0" w:color="auto"/>
                    <w:left w:val="none" w:sz="0" w:space="0" w:color="auto"/>
                    <w:bottom w:val="none" w:sz="0" w:space="0" w:color="auto"/>
                    <w:right w:val="none" w:sz="0" w:space="0" w:color="auto"/>
                  </w:divBdr>
                  <w:divsChild>
                    <w:div w:id="1946116039">
                      <w:marLeft w:val="0"/>
                      <w:marRight w:val="0"/>
                      <w:marTop w:val="0"/>
                      <w:marBottom w:val="0"/>
                      <w:divBdr>
                        <w:top w:val="none" w:sz="0" w:space="0" w:color="auto"/>
                        <w:left w:val="none" w:sz="0" w:space="0" w:color="auto"/>
                        <w:bottom w:val="none" w:sz="0" w:space="0" w:color="auto"/>
                        <w:right w:val="none" w:sz="0" w:space="0" w:color="auto"/>
                      </w:divBdr>
                    </w:div>
                  </w:divsChild>
                </w:div>
                <w:div w:id="1963268315">
                  <w:marLeft w:val="0"/>
                  <w:marRight w:val="0"/>
                  <w:marTop w:val="0"/>
                  <w:marBottom w:val="0"/>
                  <w:divBdr>
                    <w:top w:val="none" w:sz="0" w:space="0" w:color="auto"/>
                    <w:left w:val="none" w:sz="0" w:space="0" w:color="auto"/>
                    <w:bottom w:val="none" w:sz="0" w:space="0" w:color="auto"/>
                    <w:right w:val="none" w:sz="0" w:space="0" w:color="auto"/>
                  </w:divBdr>
                  <w:divsChild>
                    <w:div w:id="77679354">
                      <w:marLeft w:val="0"/>
                      <w:marRight w:val="0"/>
                      <w:marTop w:val="0"/>
                      <w:marBottom w:val="0"/>
                      <w:divBdr>
                        <w:top w:val="none" w:sz="0" w:space="0" w:color="auto"/>
                        <w:left w:val="none" w:sz="0" w:space="0" w:color="auto"/>
                        <w:bottom w:val="none" w:sz="0" w:space="0" w:color="auto"/>
                        <w:right w:val="none" w:sz="0" w:space="0" w:color="auto"/>
                      </w:divBdr>
                    </w:div>
                  </w:divsChild>
                </w:div>
                <w:div w:id="1996910376">
                  <w:marLeft w:val="0"/>
                  <w:marRight w:val="0"/>
                  <w:marTop w:val="0"/>
                  <w:marBottom w:val="0"/>
                  <w:divBdr>
                    <w:top w:val="none" w:sz="0" w:space="0" w:color="auto"/>
                    <w:left w:val="none" w:sz="0" w:space="0" w:color="auto"/>
                    <w:bottom w:val="none" w:sz="0" w:space="0" w:color="auto"/>
                    <w:right w:val="none" w:sz="0" w:space="0" w:color="auto"/>
                  </w:divBdr>
                  <w:divsChild>
                    <w:div w:id="206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532647">
          <w:marLeft w:val="0"/>
          <w:marRight w:val="0"/>
          <w:marTop w:val="0"/>
          <w:marBottom w:val="0"/>
          <w:divBdr>
            <w:top w:val="none" w:sz="0" w:space="0" w:color="auto"/>
            <w:left w:val="none" w:sz="0" w:space="0" w:color="auto"/>
            <w:bottom w:val="none" w:sz="0" w:space="0" w:color="auto"/>
            <w:right w:val="none" w:sz="0" w:space="0" w:color="auto"/>
          </w:divBdr>
        </w:div>
        <w:div w:id="2130582901">
          <w:marLeft w:val="0"/>
          <w:marRight w:val="0"/>
          <w:marTop w:val="0"/>
          <w:marBottom w:val="0"/>
          <w:divBdr>
            <w:top w:val="none" w:sz="0" w:space="0" w:color="auto"/>
            <w:left w:val="none" w:sz="0" w:space="0" w:color="auto"/>
            <w:bottom w:val="none" w:sz="0" w:space="0" w:color="auto"/>
            <w:right w:val="none" w:sz="0" w:space="0" w:color="auto"/>
          </w:divBdr>
        </w:div>
      </w:divsChild>
    </w:div>
    <w:div w:id="588738209">
      <w:bodyDiv w:val="1"/>
      <w:marLeft w:val="0"/>
      <w:marRight w:val="0"/>
      <w:marTop w:val="0"/>
      <w:marBottom w:val="0"/>
      <w:divBdr>
        <w:top w:val="none" w:sz="0" w:space="0" w:color="auto"/>
        <w:left w:val="none" w:sz="0" w:space="0" w:color="auto"/>
        <w:bottom w:val="none" w:sz="0" w:space="0" w:color="auto"/>
        <w:right w:val="none" w:sz="0" w:space="0" w:color="auto"/>
      </w:divBdr>
    </w:div>
    <w:div w:id="598832572">
      <w:bodyDiv w:val="1"/>
      <w:marLeft w:val="0"/>
      <w:marRight w:val="0"/>
      <w:marTop w:val="0"/>
      <w:marBottom w:val="0"/>
      <w:divBdr>
        <w:top w:val="none" w:sz="0" w:space="0" w:color="auto"/>
        <w:left w:val="none" w:sz="0" w:space="0" w:color="auto"/>
        <w:bottom w:val="none" w:sz="0" w:space="0" w:color="auto"/>
        <w:right w:val="none" w:sz="0" w:space="0" w:color="auto"/>
      </w:divBdr>
    </w:div>
    <w:div w:id="625283278">
      <w:bodyDiv w:val="1"/>
      <w:marLeft w:val="0"/>
      <w:marRight w:val="0"/>
      <w:marTop w:val="0"/>
      <w:marBottom w:val="0"/>
      <w:divBdr>
        <w:top w:val="none" w:sz="0" w:space="0" w:color="auto"/>
        <w:left w:val="none" w:sz="0" w:space="0" w:color="auto"/>
        <w:bottom w:val="none" w:sz="0" w:space="0" w:color="auto"/>
        <w:right w:val="none" w:sz="0" w:space="0" w:color="auto"/>
      </w:divBdr>
    </w:div>
    <w:div w:id="656882381">
      <w:bodyDiv w:val="1"/>
      <w:marLeft w:val="0"/>
      <w:marRight w:val="0"/>
      <w:marTop w:val="0"/>
      <w:marBottom w:val="0"/>
      <w:divBdr>
        <w:top w:val="none" w:sz="0" w:space="0" w:color="auto"/>
        <w:left w:val="none" w:sz="0" w:space="0" w:color="auto"/>
        <w:bottom w:val="none" w:sz="0" w:space="0" w:color="auto"/>
        <w:right w:val="none" w:sz="0" w:space="0" w:color="auto"/>
      </w:divBdr>
    </w:div>
    <w:div w:id="686099693">
      <w:bodyDiv w:val="1"/>
      <w:marLeft w:val="0"/>
      <w:marRight w:val="0"/>
      <w:marTop w:val="0"/>
      <w:marBottom w:val="0"/>
      <w:divBdr>
        <w:top w:val="none" w:sz="0" w:space="0" w:color="auto"/>
        <w:left w:val="none" w:sz="0" w:space="0" w:color="auto"/>
        <w:bottom w:val="none" w:sz="0" w:space="0" w:color="auto"/>
        <w:right w:val="none" w:sz="0" w:space="0" w:color="auto"/>
      </w:divBdr>
      <w:divsChild>
        <w:div w:id="542788178">
          <w:marLeft w:val="0"/>
          <w:marRight w:val="0"/>
          <w:marTop w:val="0"/>
          <w:marBottom w:val="0"/>
          <w:divBdr>
            <w:top w:val="none" w:sz="0" w:space="0" w:color="auto"/>
            <w:left w:val="none" w:sz="0" w:space="0" w:color="auto"/>
            <w:bottom w:val="none" w:sz="0" w:space="0" w:color="auto"/>
            <w:right w:val="none" w:sz="0" w:space="0" w:color="auto"/>
          </w:divBdr>
          <w:divsChild>
            <w:div w:id="1323049190">
              <w:marLeft w:val="0"/>
              <w:marRight w:val="0"/>
              <w:marTop w:val="30"/>
              <w:marBottom w:val="30"/>
              <w:divBdr>
                <w:top w:val="none" w:sz="0" w:space="0" w:color="auto"/>
                <w:left w:val="none" w:sz="0" w:space="0" w:color="auto"/>
                <w:bottom w:val="none" w:sz="0" w:space="0" w:color="auto"/>
                <w:right w:val="none" w:sz="0" w:space="0" w:color="auto"/>
              </w:divBdr>
              <w:divsChild>
                <w:div w:id="149711090">
                  <w:marLeft w:val="0"/>
                  <w:marRight w:val="0"/>
                  <w:marTop w:val="0"/>
                  <w:marBottom w:val="0"/>
                  <w:divBdr>
                    <w:top w:val="none" w:sz="0" w:space="0" w:color="auto"/>
                    <w:left w:val="none" w:sz="0" w:space="0" w:color="auto"/>
                    <w:bottom w:val="none" w:sz="0" w:space="0" w:color="auto"/>
                    <w:right w:val="none" w:sz="0" w:space="0" w:color="auto"/>
                  </w:divBdr>
                  <w:divsChild>
                    <w:div w:id="552425972">
                      <w:marLeft w:val="0"/>
                      <w:marRight w:val="0"/>
                      <w:marTop w:val="0"/>
                      <w:marBottom w:val="0"/>
                      <w:divBdr>
                        <w:top w:val="none" w:sz="0" w:space="0" w:color="auto"/>
                        <w:left w:val="none" w:sz="0" w:space="0" w:color="auto"/>
                        <w:bottom w:val="none" w:sz="0" w:space="0" w:color="auto"/>
                        <w:right w:val="none" w:sz="0" w:space="0" w:color="auto"/>
                      </w:divBdr>
                    </w:div>
                    <w:div w:id="576094125">
                      <w:marLeft w:val="0"/>
                      <w:marRight w:val="0"/>
                      <w:marTop w:val="0"/>
                      <w:marBottom w:val="0"/>
                      <w:divBdr>
                        <w:top w:val="none" w:sz="0" w:space="0" w:color="auto"/>
                        <w:left w:val="none" w:sz="0" w:space="0" w:color="auto"/>
                        <w:bottom w:val="none" w:sz="0" w:space="0" w:color="auto"/>
                        <w:right w:val="none" w:sz="0" w:space="0" w:color="auto"/>
                      </w:divBdr>
                    </w:div>
                    <w:div w:id="758067211">
                      <w:marLeft w:val="0"/>
                      <w:marRight w:val="0"/>
                      <w:marTop w:val="0"/>
                      <w:marBottom w:val="0"/>
                      <w:divBdr>
                        <w:top w:val="none" w:sz="0" w:space="0" w:color="auto"/>
                        <w:left w:val="none" w:sz="0" w:space="0" w:color="auto"/>
                        <w:bottom w:val="none" w:sz="0" w:space="0" w:color="auto"/>
                        <w:right w:val="none" w:sz="0" w:space="0" w:color="auto"/>
                      </w:divBdr>
                    </w:div>
                  </w:divsChild>
                </w:div>
                <w:div w:id="506139507">
                  <w:marLeft w:val="0"/>
                  <w:marRight w:val="0"/>
                  <w:marTop w:val="0"/>
                  <w:marBottom w:val="0"/>
                  <w:divBdr>
                    <w:top w:val="none" w:sz="0" w:space="0" w:color="auto"/>
                    <w:left w:val="none" w:sz="0" w:space="0" w:color="auto"/>
                    <w:bottom w:val="none" w:sz="0" w:space="0" w:color="auto"/>
                    <w:right w:val="none" w:sz="0" w:space="0" w:color="auto"/>
                  </w:divBdr>
                  <w:divsChild>
                    <w:div w:id="277416063">
                      <w:marLeft w:val="0"/>
                      <w:marRight w:val="0"/>
                      <w:marTop w:val="0"/>
                      <w:marBottom w:val="0"/>
                      <w:divBdr>
                        <w:top w:val="none" w:sz="0" w:space="0" w:color="auto"/>
                        <w:left w:val="none" w:sz="0" w:space="0" w:color="auto"/>
                        <w:bottom w:val="none" w:sz="0" w:space="0" w:color="auto"/>
                        <w:right w:val="none" w:sz="0" w:space="0" w:color="auto"/>
                      </w:divBdr>
                    </w:div>
                    <w:div w:id="438599626">
                      <w:marLeft w:val="0"/>
                      <w:marRight w:val="0"/>
                      <w:marTop w:val="0"/>
                      <w:marBottom w:val="0"/>
                      <w:divBdr>
                        <w:top w:val="none" w:sz="0" w:space="0" w:color="auto"/>
                        <w:left w:val="none" w:sz="0" w:space="0" w:color="auto"/>
                        <w:bottom w:val="none" w:sz="0" w:space="0" w:color="auto"/>
                        <w:right w:val="none" w:sz="0" w:space="0" w:color="auto"/>
                      </w:divBdr>
                    </w:div>
                    <w:div w:id="674914618">
                      <w:marLeft w:val="0"/>
                      <w:marRight w:val="0"/>
                      <w:marTop w:val="0"/>
                      <w:marBottom w:val="0"/>
                      <w:divBdr>
                        <w:top w:val="none" w:sz="0" w:space="0" w:color="auto"/>
                        <w:left w:val="none" w:sz="0" w:space="0" w:color="auto"/>
                        <w:bottom w:val="none" w:sz="0" w:space="0" w:color="auto"/>
                        <w:right w:val="none" w:sz="0" w:space="0" w:color="auto"/>
                      </w:divBdr>
                    </w:div>
                    <w:div w:id="697004945">
                      <w:marLeft w:val="0"/>
                      <w:marRight w:val="0"/>
                      <w:marTop w:val="0"/>
                      <w:marBottom w:val="0"/>
                      <w:divBdr>
                        <w:top w:val="none" w:sz="0" w:space="0" w:color="auto"/>
                        <w:left w:val="none" w:sz="0" w:space="0" w:color="auto"/>
                        <w:bottom w:val="none" w:sz="0" w:space="0" w:color="auto"/>
                        <w:right w:val="none" w:sz="0" w:space="0" w:color="auto"/>
                      </w:divBdr>
                    </w:div>
                    <w:div w:id="1441605498">
                      <w:marLeft w:val="0"/>
                      <w:marRight w:val="0"/>
                      <w:marTop w:val="0"/>
                      <w:marBottom w:val="0"/>
                      <w:divBdr>
                        <w:top w:val="none" w:sz="0" w:space="0" w:color="auto"/>
                        <w:left w:val="none" w:sz="0" w:space="0" w:color="auto"/>
                        <w:bottom w:val="none" w:sz="0" w:space="0" w:color="auto"/>
                        <w:right w:val="none" w:sz="0" w:space="0" w:color="auto"/>
                      </w:divBdr>
                    </w:div>
                    <w:div w:id="1899852260">
                      <w:marLeft w:val="0"/>
                      <w:marRight w:val="0"/>
                      <w:marTop w:val="0"/>
                      <w:marBottom w:val="0"/>
                      <w:divBdr>
                        <w:top w:val="none" w:sz="0" w:space="0" w:color="auto"/>
                        <w:left w:val="none" w:sz="0" w:space="0" w:color="auto"/>
                        <w:bottom w:val="none" w:sz="0" w:space="0" w:color="auto"/>
                        <w:right w:val="none" w:sz="0" w:space="0" w:color="auto"/>
                      </w:divBdr>
                    </w:div>
                    <w:div w:id="2110155521">
                      <w:marLeft w:val="0"/>
                      <w:marRight w:val="0"/>
                      <w:marTop w:val="0"/>
                      <w:marBottom w:val="0"/>
                      <w:divBdr>
                        <w:top w:val="none" w:sz="0" w:space="0" w:color="auto"/>
                        <w:left w:val="none" w:sz="0" w:space="0" w:color="auto"/>
                        <w:bottom w:val="none" w:sz="0" w:space="0" w:color="auto"/>
                        <w:right w:val="none" w:sz="0" w:space="0" w:color="auto"/>
                      </w:divBdr>
                    </w:div>
                  </w:divsChild>
                </w:div>
                <w:div w:id="567304393">
                  <w:marLeft w:val="0"/>
                  <w:marRight w:val="0"/>
                  <w:marTop w:val="0"/>
                  <w:marBottom w:val="0"/>
                  <w:divBdr>
                    <w:top w:val="none" w:sz="0" w:space="0" w:color="auto"/>
                    <w:left w:val="none" w:sz="0" w:space="0" w:color="auto"/>
                    <w:bottom w:val="none" w:sz="0" w:space="0" w:color="auto"/>
                    <w:right w:val="none" w:sz="0" w:space="0" w:color="auto"/>
                  </w:divBdr>
                  <w:divsChild>
                    <w:div w:id="1862358480">
                      <w:marLeft w:val="0"/>
                      <w:marRight w:val="0"/>
                      <w:marTop w:val="0"/>
                      <w:marBottom w:val="0"/>
                      <w:divBdr>
                        <w:top w:val="none" w:sz="0" w:space="0" w:color="auto"/>
                        <w:left w:val="none" w:sz="0" w:space="0" w:color="auto"/>
                        <w:bottom w:val="none" w:sz="0" w:space="0" w:color="auto"/>
                        <w:right w:val="none" w:sz="0" w:space="0" w:color="auto"/>
                      </w:divBdr>
                    </w:div>
                  </w:divsChild>
                </w:div>
                <w:div w:id="820387258">
                  <w:marLeft w:val="0"/>
                  <w:marRight w:val="0"/>
                  <w:marTop w:val="0"/>
                  <w:marBottom w:val="0"/>
                  <w:divBdr>
                    <w:top w:val="none" w:sz="0" w:space="0" w:color="auto"/>
                    <w:left w:val="none" w:sz="0" w:space="0" w:color="auto"/>
                    <w:bottom w:val="none" w:sz="0" w:space="0" w:color="auto"/>
                    <w:right w:val="none" w:sz="0" w:space="0" w:color="auto"/>
                  </w:divBdr>
                  <w:divsChild>
                    <w:div w:id="1118987599">
                      <w:marLeft w:val="0"/>
                      <w:marRight w:val="0"/>
                      <w:marTop w:val="0"/>
                      <w:marBottom w:val="0"/>
                      <w:divBdr>
                        <w:top w:val="none" w:sz="0" w:space="0" w:color="auto"/>
                        <w:left w:val="none" w:sz="0" w:space="0" w:color="auto"/>
                        <w:bottom w:val="none" w:sz="0" w:space="0" w:color="auto"/>
                        <w:right w:val="none" w:sz="0" w:space="0" w:color="auto"/>
                      </w:divBdr>
                    </w:div>
                  </w:divsChild>
                </w:div>
                <w:div w:id="1028262029">
                  <w:marLeft w:val="0"/>
                  <w:marRight w:val="0"/>
                  <w:marTop w:val="0"/>
                  <w:marBottom w:val="0"/>
                  <w:divBdr>
                    <w:top w:val="none" w:sz="0" w:space="0" w:color="auto"/>
                    <w:left w:val="none" w:sz="0" w:space="0" w:color="auto"/>
                    <w:bottom w:val="none" w:sz="0" w:space="0" w:color="auto"/>
                    <w:right w:val="none" w:sz="0" w:space="0" w:color="auto"/>
                  </w:divBdr>
                  <w:divsChild>
                    <w:div w:id="5876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08095">
          <w:marLeft w:val="0"/>
          <w:marRight w:val="0"/>
          <w:marTop w:val="0"/>
          <w:marBottom w:val="0"/>
          <w:divBdr>
            <w:top w:val="none" w:sz="0" w:space="0" w:color="auto"/>
            <w:left w:val="none" w:sz="0" w:space="0" w:color="auto"/>
            <w:bottom w:val="none" w:sz="0" w:space="0" w:color="auto"/>
            <w:right w:val="none" w:sz="0" w:space="0" w:color="auto"/>
          </w:divBdr>
          <w:divsChild>
            <w:div w:id="425926879">
              <w:marLeft w:val="0"/>
              <w:marRight w:val="0"/>
              <w:marTop w:val="30"/>
              <w:marBottom w:val="30"/>
              <w:divBdr>
                <w:top w:val="none" w:sz="0" w:space="0" w:color="auto"/>
                <w:left w:val="none" w:sz="0" w:space="0" w:color="auto"/>
                <w:bottom w:val="none" w:sz="0" w:space="0" w:color="auto"/>
                <w:right w:val="none" w:sz="0" w:space="0" w:color="auto"/>
              </w:divBdr>
              <w:divsChild>
                <w:div w:id="875505920">
                  <w:marLeft w:val="0"/>
                  <w:marRight w:val="0"/>
                  <w:marTop w:val="0"/>
                  <w:marBottom w:val="0"/>
                  <w:divBdr>
                    <w:top w:val="none" w:sz="0" w:space="0" w:color="auto"/>
                    <w:left w:val="none" w:sz="0" w:space="0" w:color="auto"/>
                    <w:bottom w:val="none" w:sz="0" w:space="0" w:color="auto"/>
                    <w:right w:val="none" w:sz="0" w:space="0" w:color="auto"/>
                  </w:divBdr>
                  <w:divsChild>
                    <w:div w:id="1478648787">
                      <w:marLeft w:val="0"/>
                      <w:marRight w:val="0"/>
                      <w:marTop w:val="0"/>
                      <w:marBottom w:val="0"/>
                      <w:divBdr>
                        <w:top w:val="none" w:sz="0" w:space="0" w:color="auto"/>
                        <w:left w:val="none" w:sz="0" w:space="0" w:color="auto"/>
                        <w:bottom w:val="none" w:sz="0" w:space="0" w:color="auto"/>
                        <w:right w:val="none" w:sz="0" w:space="0" w:color="auto"/>
                      </w:divBdr>
                    </w:div>
                  </w:divsChild>
                </w:div>
                <w:div w:id="1985887215">
                  <w:marLeft w:val="0"/>
                  <w:marRight w:val="0"/>
                  <w:marTop w:val="0"/>
                  <w:marBottom w:val="0"/>
                  <w:divBdr>
                    <w:top w:val="none" w:sz="0" w:space="0" w:color="auto"/>
                    <w:left w:val="none" w:sz="0" w:space="0" w:color="auto"/>
                    <w:bottom w:val="none" w:sz="0" w:space="0" w:color="auto"/>
                    <w:right w:val="none" w:sz="0" w:space="0" w:color="auto"/>
                  </w:divBdr>
                  <w:divsChild>
                    <w:div w:id="72897347">
                      <w:marLeft w:val="0"/>
                      <w:marRight w:val="0"/>
                      <w:marTop w:val="0"/>
                      <w:marBottom w:val="0"/>
                      <w:divBdr>
                        <w:top w:val="none" w:sz="0" w:space="0" w:color="auto"/>
                        <w:left w:val="none" w:sz="0" w:space="0" w:color="auto"/>
                        <w:bottom w:val="none" w:sz="0" w:space="0" w:color="auto"/>
                        <w:right w:val="none" w:sz="0" w:space="0" w:color="auto"/>
                      </w:divBdr>
                    </w:div>
                    <w:div w:id="149606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084112">
          <w:marLeft w:val="0"/>
          <w:marRight w:val="0"/>
          <w:marTop w:val="0"/>
          <w:marBottom w:val="0"/>
          <w:divBdr>
            <w:top w:val="none" w:sz="0" w:space="0" w:color="auto"/>
            <w:left w:val="none" w:sz="0" w:space="0" w:color="auto"/>
            <w:bottom w:val="none" w:sz="0" w:space="0" w:color="auto"/>
            <w:right w:val="none" w:sz="0" w:space="0" w:color="auto"/>
          </w:divBdr>
          <w:divsChild>
            <w:div w:id="1162551456">
              <w:marLeft w:val="0"/>
              <w:marRight w:val="0"/>
              <w:marTop w:val="30"/>
              <w:marBottom w:val="30"/>
              <w:divBdr>
                <w:top w:val="none" w:sz="0" w:space="0" w:color="auto"/>
                <w:left w:val="none" w:sz="0" w:space="0" w:color="auto"/>
                <w:bottom w:val="none" w:sz="0" w:space="0" w:color="auto"/>
                <w:right w:val="none" w:sz="0" w:space="0" w:color="auto"/>
              </w:divBdr>
              <w:divsChild>
                <w:div w:id="185218158">
                  <w:marLeft w:val="0"/>
                  <w:marRight w:val="0"/>
                  <w:marTop w:val="0"/>
                  <w:marBottom w:val="0"/>
                  <w:divBdr>
                    <w:top w:val="none" w:sz="0" w:space="0" w:color="auto"/>
                    <w:left w:val="none" w:sz="0" w:space="0" w:color="auto"/>
                    <w:bottom w:val="none" w:sz="0" w:space="0" w:color="auto"/>
                    <w:right w:val="none" w:sz="0" w:space="0" w:color="auto"/>
                  </w:divBdr>
                  <w:divsChild>
                    <w:div w:id="178011432">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0"/>
                      <w:marTop w:val="0"/>
                      <w:marBottom w:val="0"/>
                      <w:divBdr>
                        <w:top w:val="none" w:sz="0" w:space="0" w:color="auto"/>
                        <w:left w:val="none" w:sz="0" w:space="0" w:color="auto"/>
                        <w:bottom w:val="none" w:sz="0" w:space="0" w:color="auto"/>
                        <w:right w:val="none" w:sz="0" w:space="0" w:color="auto"/>
                      </w:divBdr>
                    </w:div>
                    <w:div w:id="1421369448">
                      <w:marLeft w:val="0"/>
                      <w:marRight w:val="0"/>
                      <w:marTop w:val="0"/>
                      <w:marBottom w:val="0"/>
                      <w:divBdr>
                        <w:top w:val="none" w:sz="0" w:space="0" w:color="auto"/>
                        <w:left w:val="none" w:sz="0" w:space="0" w:color="auto"/>
                        <w:bottom w:val="none" w:sz="0" w:space="0" w:color="auto"/>
                        <w:right w:val="none" w:sz="0" w:space="0" w:color="auto"/>
                      </w:divBdr>
                    </w:div>
                  </w:divsChild>
                </w:div>
                <w:div w:id="702442437">
                  <w:marLeft w:val="0"/>
                  <w:marRight w:val="0"/>
                  <w:marTop w:val="0"/>
                  <w:marBottom w:val="0"/>
                  <w:divBdr>
                    <w:top w:val="none" w:sz="0" w:space="0" w:color="auto"/>
                    <w:left w:val="none" w:sz="0" w:space="0" w:color="auto"/>
                    <w:bottom w:val="none" w:sz="0" w:space="0" w:color="auto"/>
                    <w:right w:val="none" w:sz="0" w:space="0" w:color="auto"/>
                  </w:divBdr>
                  <w:divsChild>
                    <w:div w:id="1775861179">
                      <w:marLeft w:val="0"/>
                      <w:marRight w:val="0"/>
                      <w:marTop w:val="0"/>
                      <w:marBottom w:val="0"/>
                      <w:divBdr>
                        <w:top w:val="none" w:sz="0" w:space="0" w:color="auto"/>
                        <w:left w:val="none" w:sz="0" w:space="0" w:color="auto"/>
                        <w:bottom w:val="none" w:sz="0" w:space="0" w:color="auto"/>
                        <w:right w:val="none" w:sz="0" w:space="0" w:color="auto"/>
                      </w:divBdr>
                    </w:div>
                  </w:divsChild>
                </w:div>
                <w:div w:id="1754933892">
                  <w:marLeft w:val="0"/>
                  <w:marRight w:val="0"/>
                  <w:marTop w:val="0"/>
                  <w:marBottom w:val="0"/>
                  <w:divBdr>
                    <w:top w:val="none" w:sz="0" w:space="0" w:color="auto"/>
                    <w:left w:val="none" w:sz="0" w:space="0" w:color="auto"/>
                    <w:bottom w:val="none" w:sz="0" w:space="0" w:color="auto"/>
                    <w:right w:val="none" w:sz="0" w:space="0" w:color="auto"/>
                  </w:divBdr>
                  <w:divsChild>
                    <w:div w:id="941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83317">
          <w:marLeft w:val="0"/>
          <w:marRight w:val="0"/>
          <w:marTop w:val="0"/>
          <w:marBottom w:val="0"/>
          <w:divBdr>
            <w:top w:val="none" w:sz="0" w:space="0" w:color="auto"/>
            <w:left w:val="none" w:sz="0" w:space="0" w:color="auto"/>
            <w:bottom w:val="none" w:sz="0" w:space="0" w:color="auto"/>
            <w:right w:val="none" w:sz="0" w:space="0" w:color="auto"/>
          </w:divBdr>
        </w:div>
        <w:div w:id="917788234">
          <w:marLeft w:val="0"/>
          <w:marRight w:val="0"/>
          <w:marTop w:val="0"/>
          <w:marBottom w:val="0"/>
          <w:divBdr>
            <w:top w:val="none" w:sz="0" w:space="0" w:color="auto"/>
            <w:left w:val="none" w:sz="0" w:space="0" w:color="auto"/>
            <w:bottom w:val="none" w:sz="0" w:space="0" w:color="auto"/>
            <w:right w:val="none" w:sz="0" w:space="0" w:color="auto"/>
          </w:divBdr>
        </w:div>
        <w:div w:id="933171881">
          <w:marLeft w:val="0"/>
          <w:marRight w:val="0"/>
          <w:marTop w:val="0"/>
          <w:marBottom w:val="0"/>
          <w:divBdr>
            <w:top w:val="none" w:sz="0" w:space="0" w:color="auto"/>
            <w:left w:val="none" w:sz="0" w:space="0" w:color="auto"/>
            <w:bottom w:val="none" w:sz="0" w:space="0" w:color="auto"/>
            <w:right w:val="none" w:sz="0" w:space="0" w:color="auto"/>
          </w:divBdr>
        </w:div>
        <w:div w:id="1079209406">
          <w:marLeft w:val="0"/>
          <w:marRight w:val="0"/>
          <w:marTop w:val="0"/>
          <w:marBottom w:val="0"/>
          <w:divBdr>
            <w:top w:val="none" w:sz="0" w:space="0" w:color="auto"/>
            <w:left w:val="none" w:sz="0" w:space="0" w:color="auto"/>
            <w:bottom w:val="none" w:sz="0" w:space="0" w:color="auto"/>
            <w:right w:val="none" w:sz="0" w:space="0" w:color="auto"/>
          </w:divBdr>
          <w:divsChild>
            <w:div w:id="1778410234">
              <w:marLeft w:val="0"/>
              <w:marRight w:val="0"/>
              <w:marTop w:val="30"/>
              <w:marBottom w:val="30"/>
              <w:divBdr>
                <w:top w:val="none" w:sz="0" w:space="0" w:color="auto"/>
                <w:left w:val="none" w:sz="0" w:space="0" w:color="auto"/>
                <w:bottom w:val="none" w:sz="0" w:space="0" w:color="auto"/>
                <w:right w:val="none" w:sz="0" w:space="0" w:color="auto"/>
              </w:divBdr>
              <w:divsChild>
                <w:div w:id="756292503">
                  <w:marLeft w:val="0"/>
                  <w:marRight w:val="0"/>
                  <w:marTop w:val="0"/>
                  <w:marBottom w:val="0"/>
                  <w:divBdr>
                    <w:top w:val="none" w:sz="0" w:space="0" w:color="auto"/>
                    <w:left w:val="none" w:sz="0" w:space="0" w:color="auto"/>
                    <w:bottom w:val="none" w:sz="0" w:space="0" w:color="auto"/>
                    <w:right w:val="none" w:sz="0" w:space="0" w:color="auto"/>
                  </w:divBdr>
                  <w:divsChild>
                    <w:div w:id="402408846">
                      <w:marLeft w:val="0"/>
                      <w:marRight w:val="0"/>
                      <w:marTop w:val="0"/>
                      <w:marBottom w:val="0"/>
                      <w:divBdr>
                        <w:top w:val="none" w:sz="0" w:space="0" w:color="auto"/>
                        <w:left w:val="none" w:sz="0" w:space="0" w:color="auto"/>
                        <w:bottom w:val="none" w:sz="0" w:space="0" w:color="auto"/>
                        <w:right w:val="none" w:sz="0" w:space="0" w:color="auto"/>
                      </w:divBdr>
                    </w:div>
                    <w:div w:id="522062441">
                      <w:marLeft w:val="0"/>
                      <w:marRight w:val="0"/>
                      <w:marTop w:val="0"/>
                      <w:marBottom w:val="0"/>
                      <w:divBdr>
                        <w:top w:val="none" w:sz="0" w:space="0" w:color="auto"/>
                        <w:left w:val="none" w:sz="0" w:space="0" w:color="auto"/>
                        <w:bottom w:val="none" w:sz="0" w:space="0" w:color="auto"/>
                        <w:right w:val="none" w:sz="0" w:space="0" w:color="auto"/>
                      </w:divBdr>
                    </w:div>
                    <w:div w:id="1017775993">
                      <w:marLeft w:val="0"/>
                      <w:marRight w:val="0"/>
                      <w:marTop w:val="0"/>
                      <w:marBottom w:val="0"/>
                      <w:divBdr>
                        <w:top w:val="none" w:sz="0" w:space="0" w:color="auto"/>
                        <w:left w:val="none" w:sz="0" w:space="0" w:color="auto"/>
                        <w:bottom w:val="none" w:sz="0" w:space="0" w:color="auto"/>
                        <w:right w:val="none" w:sz="0" w:space="0" w:color="auto"/>
                      </w:divBdr>
                    </w:div>
                    <w:div w:id="1053887173">
                      <w:marLeft w:val="0"/>
                      <w:marRight w:val="0"/>
                      <w:marTop w:val="0"/>
                      <w:marBottom w:val="0"/>
                      <w:divBdr>
                        <w:top w:val="none" w:sz="0" w:space="0" w:color="auto"/>
                        <w:left w:val="none" w:sz="0" w:space="0" w:color="auto"/>
                        <w:bottom w:val="none" w:sz="0" w:space="0" w:color="auto"/>
                        <w:right w:val="none" w:sz="0" w:space="0" w:color="auto"/>
                      </w:divBdr>
                    </w:div>
                    <w:div w:id="1565676432">
                      <w:marLeft w:val="0"/>
                      <w:marRight w:val="0"/>
                      <w:marTop w:val="0"/>
                      <w:marBottom w:val="0"/>
                      <w:divBdr>
                        <w:top w:val="none" w:sz="0" w:space="0" w:color="auto"/>
                        <w:left w:val="none" w:sz="0" w:space="0" w:color="auto"/>
                        <w:bottom w:val="none" w:sz="0" w:space="0" w:color="auto"/>
                        <w:right w:val="none" w:sz="0" w:space="0" w:color="auto"/>
                      </w:divBdr>
                    </w:div>
                    <w:div w:id="1684354996">
                      <w:marLeft w:val="0"/>
                      <w:marRight w:val="0"/>
                      <w:marTop w:val="0"/>
                      <w:marBottom w:val="0"/>
                      <w:divBdr>
                        <w:top w:val="none" w:sz="0" w:space="0" w:color="auto"/>
                        <w:left w:val="none" w:sz="0" w:space="0" w:color="auto"/>
                        <w:bottom w:val="none" w:sz="0" w:space="0" w:color="auto"/>
                        <w:right w:val="none" w:sz="0" w:space="0" w:color="auto"/>
                      </w:divBdr>
                    </w:div>
                    <w:div w:id="1704164762">
                      <w:marLeft w:val="0"/>
                      <w:marRight w:val="0"/>
                      <w:marTop w:val="0"/>
                      <w:marBottom w:val="0"/>
                      <w:divBdr>
                        <w:top w:val="none" w:sz="0" w:space="0" w:color="auto"/>
                        <w:left w:val="none" w:sz="0" w:space="0" w:color="auto"/>
                        <w:bottom w:val="none" w:sz="0" w:space="0" w:color="auto"/>
                        <w:right w:val="none" w:sz="0" w:space="0" w:color="auto"/>
                      </w:divBdr>
                    </w:div>
                    <w:div w:id="1766336986">
                      <w:marLeft w:val="0"/>
                      <w:marRight w:val="0"/>
                      <w:marTop w:val="0"/>
                      <w:marBottom w:val="0"/>
                      <w:divBdr>
                        <w:top w:val="none" w:sz="0" w:space="0" w:color="auto"/>
                        <w:left w:val="none" w:sz="0" w:space="0" w:color="auto"/>
                        <w:bottom w:val="none" w:sz="0" w:space="0" w:color="auto"/>
                        <w:right w:val="none" w:sz="0" w:space="0" w:color="auto"/>
                      </w:divBdr>
                    </w:div>
                    <w:div w:id="2049063403">
                      <w:marLeft w:val="0"/>
                      <w:marRight w:val="0"/>
                      <w:marTop w:val="0"/>
                      <w:marBottom w:val="0"/>
                      <w:divBdr>
                        <w:top w:val="none" w:sz="0" w:space="0" w:color="auto"/>
                        <w:left w:val="none" w:sz="0" w:space="0" w:color="auto"/>
                        <w:bottom w:val="none" w:sz="0" w:space="0" w:color="auto"/>
                        <w:right w:val="none" w:sz="0" w:space="0" w:color="auto"/>
                      </w:divBdr>
                    </w:div>
                  </w:divsChild>
                </w:div>
                <w:div w:id="821846542">
                  <w:marLeft w:val="0"/>
                  <w:marRight w:val="0"/>
                  <w:marTop w:val="0"/>
                  <w:marBottom w:val="0"/>
                  <w:divBdr>
                    <w:top w:val="none" w:sz="0" w:space="0" w:color="auto"/>
                    <w:left w:val="none" w:sz="0" w:space="0" w:color="auto"/>
                    <w:bottom w:val="none" w:sz="0" w:space="0" w:color="auto"/>
                    <w:right w:val="none" w:sz="0" w:space="0" w:color="auto"/>
                  </w:divBdr>
                  <w:divsChild>
                    <w:div w:id="717974346">
                      <w:marLeft w:val="0"/>
                      <w:marRight w:val="0"/>
                      <w:marTop w:val="0"/>
                      <w:marBottom w:val="0"/>
                      <w:divBdr>
                        <w:top w:val="none" w:sz="0" w:space="0" w:color="auto"/>
                        <w:left w:val="none" w:sz="0" w:space="0" w:color="auto"/>
                        <w:bottom w:val="none" w:sz="0" w:space="0" w:color="auto"/>
                        <w:right w:val="none" w:sz="0" w:space="0" w:color="auto"/>
                      </w:divBdr>
                    </w:div>
                    <w:div w:id="1212108063">
                      <w:marLeft w:val="0"/>
                      <w:marRight w:val="0"/>
                      <w:marTop w:val="0"/>
                      <w:marBottom w:val="0"/>
                      <w:divBdr>
                        <w:top w:val="none" w:sz="0" w:space="0" w:color="auto"/>
                        <w:left w:val="none" w:sz="0" w:space="0" w:color="auto"/>
                        <w:bottom w:val="none" w:sz="0" w:space="0" w:color="auto"/>
                        <w:right w:val="none" w:sz="0" w:space="0" w:color="auto"/>
                      </w:divBdr>
                    </w:div>
                  </w:divsChild>
                </w:div>
                <w:div w:id="1103846422">
                  <w:marLeft w:val="0"/>
                  <w:marRight w:val="0"/>
                  <w:marTop w:val="0"/>
                  <w:marBottom w:val="0"/>
                  <w:divBdr>
                    <w:top w:val="none" w:sz="0" w:space="0" w:color="auto"/>
                    <w:left w:val="none" w:sz="0" w:space="0" w:color="auto"/>
                    <w:bottom w:val="none" w:sz="0" w:space="0" w:color="auto"/>
                    <w:right w:val="none" w:sz="0" w:space="0" w:color="auto"/>
                  </w:divBdr>
                  <w:divsChild>
                    <w:div w:id="734737570">
                      <w:marLeft w:val="0"/>
                      <w:marRight w:val="0"/>
                      <w:marTop w:val="0"/>
                      <w:marBottom w:val="0"/>
                      <w:divBdr>
                        <w:top w:val="none" w:sz="0" w:space="0" w:color="auto"/>
                        <w:left w:val="none" w:sz="0" w:space="0" w:color="auto"/>
                        <w:bottom w:val="none" w:sz="0" w:space="0" w:color="auto"/>
                        <w:right w:val="none" w:sz="0" w:space="0" w:color="auto"/>
                      </w:divBdr>
                    </w:div>
                  </w:divsChild>
                </w:div>
                <w:div w:id="1715496485">
                  <w:marLeft w:val="0"/>
                  <w:marRight w:val="0"/>
                  <w:marTop w:val="0"/>
                  <w:marBottom w:val="0"/>
                  <w:divBdr>
                    <w:top w:val="none" w:sz="0" w:space="0" w:color="auto"/>
                    <w:left w:val="none" w:sz="0" w:space="0" w:color="auto"/>
                    <w:bottom w:val="none" w:sz="0" w:space="0" w:color="auto"/>
                    <w:right w:val="none" w:sz="0" w:space="0" w:color="auto"/>
                  </w:divBdr>
                  <w:divsChild>
                    <w:div w:id="944967587">
                      <w:marLeft w:val="0"/>
                      <w:marRight w:val="0"/>
                      <w:marTop w:val="0"/>
                      <w:marBottom w:val="0"/>
                      <w:divBdr>
                        <w:top w:val="none" w:sz="0" w:space="0" w:color="auto"/>
                        <w:left w:val="none" w:sz="0" w:space="0" w:color="auto"/>
                        <w:bottom w:val="none" w:sz="0" w:space="0" w:color="auto"/>
                        <w:right w:val="none" w:sz="0" w:space="0" w:color="auto"/>
                      </w:divBdr>
                    </w:div>
                  </w:divsChild>
                </w:div>
                <w:div w:id="2108847036">
                  <w:marLeft w:val="0"/>
                  <w:marRight w:val="0"/>
                  <w:marTop w:val="0"/>
                  <w:marBottom w:val="0"/>
                  <w:divBdr>
                    <w:top w:val="none" w:sz="0" w:space="0" w:color="auto"/>
                    <w:left w:val="none" w:sz="0" w:space="0" w:color="auto"/>
                    <w:bottom w:val="none" w:sz="0" w:space="0" w:color="auto"/>
                    <w:right w:val="none" w:sz="0" w:space="0" w:color="auto"/>
                  </w:divBdr>
                  <w:divsChild>
                    <w:div w:id="127625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94666">
          <w:marLeft w:val="0"/>
          <w:marRight w:val="0"/>
          <w:marTop w:val="0"/>
          <w:marBottom w:val="0"/>
          <w:divBdr>
            <w:top w:val="none" w:sz="0" w:space="0" w:color="auto"/>
            <w:left w:val="none" w:sz="0" w:space="0" w:color="auto"/>
            <w:bottom w:val="none" w:sz="0" w:space="0" w:color="auto"/>
            <w:right w:val="none" w:sz="0" w:space="0" w:color="auto"/>
          </w:divBdr>
        </w:div>
        <w:div w:id="1156727905">
          <w:marLeft w:val="0"/>
          <w:marRight w:val="0"/>
          <w:marTop w:val="0"/>
          <w:marBottom w:val="0"/>
          <w:divBdr>
            <w:top w:val="none" w:sz="0" w:space="0" w:color="auto"/>
            <w:left w:val="none" w:sz="0" w:space="0" w:color="auto"/>
            <w:bottom w:val="none" w:sz="0" w:space="0" w:color="auto"/>
            <w:right w:val="none" w:sz="0" w:space="0" w:color="auto"/>
          </w:divBdr>
        </w:div>
        <w:div w:id="1309094540">
          <w:marLeft w:val="0"/>
          <w:marRight w:val="0"/>
          <w:marTop w:val="0"/>
          <w:marBottom w:val="0"/>
          <w:divBdr>
            <w:top w:val="none" w:sz="0" w:space="0" w:color="auto"/>
            <w:left w:val="none" w:sz="0" w:space="0" w:color="auto"/>
            <w:bottom w:val="none" w:sz="0" w:space="0" w:color="auto"/>
            <w:right w:val="none" w:sz="0" w:space="0" w:color="auto"/>
          </w:divBdr>
          <w:divsChild>
            <w:div w:id="1786345282">
              <w:marLeft w:val="0"/>
              <w:marRight w:val="0"/>
              <w:marTop w:val="30"/>
              <w:marBottom w:val="30"/>
              <w:divBdr>
                <w:top w:val="none" w:sz="0" w:space="0" w:color="auto"/>
                <w:left w:val="none" w:sz="0" w:space="0" w:color="auto"/>
                <w:bottom w:val="none" w:sz="0" w:space="0" w:color="auto"/>
                <w:right w:val="none" w:sz="0" w:space="0" w:color="auto"/>
              </w:divBdr>
              <w:divsChild>
                <w:div w:id="43063785">
                  <w:marLeft w:val="0"/>
                  <w:marRight w:val="0"/>
                  <w:marTop w:val="0"/>
                  <w:marBottom w:val="0"/>
                  <w:divBdr>
                    <w:top w:val="none" w:sz="0" w:space="0" w:color="auto"/>
                    <w:left w:val="none" w:sz="0" w:space="0" w:color="auto"/>
                    <w:bottom w:val="none" w:sz="0" w:space="0" w:color="auto"/>
                    <w:right w:val="none" w:sz="0" w:space="0" w:color="auto"/>
                  </w:divBdr>
                  <w:divsChild>
                    <w:div w:id="623848845">
                      <w:marLeft w:val="0"/>
                      <w:marRight w:val="0"/>
                      <w:marTop w:val="0"/>
                      <w:marBottom w:val="0"/>
                      <w:divBdr>
                        <w:top w:val="none" w:sz="0" w:space="0" w:color="auto"/>
                        <w:left w:val="none" w:sz="0" w:space="0" w:color="auto"/>
                        <w:bottom w:val="none" w:sz="0" w:space="0" w:color="auto"/>
                        <w:right w:val="none" w:sz="0" w:space="0" w:color="auto"/>
                      </w:divBdr>
                    </w:div>
                  </w:divsChild>
                </w:div>
                <w:div w:id="140393756">
                  <w:marLeft w:val="0"/>
                  <w:marRight w:val="0"/>
                  <w:marTop w:val="0"/>
                  <w:marBottom w:val="0"/>
                  <w:divBdr>
                    <w:top w:val="none" w:sz="0" w:space="0" w:color="auto"/>
                    <w:left w:val="none" w:sz="0" w:space="0" w:color="auto"/>
                    <w:bottom w:val="none" w:sz="0" w:space="0" w:color="auto"/>
                    <w:right w:val="none" w:sz="0" w:space="0" w:color="auto"/>
                  </w:divBdr>
                  <w:divsChild>
                    <w:div w:id="1083843210">
                      <w:marLeft w:val="0"/>
                      <w:marRight w:val="0"/>
                      <w:marTop w:val="0"/>
                      <w:marBottom w:val="0"/>
                      <w:divBdr>
                        <w:top w:val="none" w:sz="0" w:space="0" w:color="auto"/>
                        <w:left w:val="none" w:sz="0" w:space="0" w:color="auto"/>
                        <w:bottom w:val="none" w:sz="0" w:space="0" w:color="auto"/>
                        <w:right w:val="none" w:sz="0" w:space="0" w:color="auto"/>
                      </w:divBdr>
                    </w:div>
                  </w:divsChild>
                </w:div>
                <w:div w:id="142629483">
                  <w:marLeft w:val="0"/>
                  <w:marRight w:val="0"/>
                  <w:marTop w:val="0"/>
                  <w:marBottom w:val="0"/>
                  <w:divBdr>
                    <w:top w:val="none" w:sz="0" w:space="0" w:color="auto"/>
                    <w:left w:val="none" w:sz="0" w:space="0" w:color="auto"/>
                    <w:bottom w:val="none" w:sz="0" w:space="0" w:color="auto"/>
                    <w:right w:val="none" w:sz="0" w:space="0" w:color="auto"/>
                  </w:divBdr>
                  <w:divsChild>
                    <w:div w:id="403182319">
                      <w:marLeft w:val="0"/>
                      <w:marRight w:val="0"/>
                      <w:marTop w:val="0"/>
                      <w:marBottom w:val="0"/>
                      <w:divBdr>
                        <w:top w:val="none" w:sz="0" w:space="0" w:color="auto"/>
                        <w:left w:val="none" w:sz="0" w:space="0" w:color="auto"/>
                        <w:bottom w:val="none" w:sz="0" w:space="0" w:color="auto"/>
                        <w:right w:val="none" w:sz="0" w:space="0" w:color="auto"/>
                      </w:divBdr>
                    </w:div>
                    <w:div w:id="682364930">
                      <w:marLeft w:val="0"/>
                      <w:marRight w:val="0"/>
                      <w:marTop w:val="0"/>
                      <w:marBottom w:val="0"/>
                      <w:divBdr>
                        <w:top w:val="none" w:sz="0" w:space="0" w:color="auto"/>
                        <w:left w:val="none" w:sz="0" w:space="0" w:color="auto"/>
                        <w:bottom w:val="none" w:sz="0" w:space="0" w:color="auto"/>
                        <w:right w:val="none" w:sz="0" w:space="0" w:color="auto"/>
                      </w:divBdr>
                    </w:div>
                    <w:div w:id="1940868772">
                      <w:marLeft w:val="0"/>
                      <w:marRight w:val="0"/>
                      <w:marTop w:val="0"/>
                      <w:marBottom w:val="0"/>
                      <w:divBdr>
                        <w:top w:val="none" w:sz="0" w:space="0" w:color="auto"/>
                        <w:left w:val="none" w:sz="0" w:space="0" w:color="auto"/>
                        <w:bottom w:val="none" w:sz="0" w:space="0" w:color="auto"/>
                        <w:right w:val="none" w:sz="0" w:space="0" w:color="auto"/>
                      </w:divBdr>
                    </w:div>
                  </w:divsChild>
                </w:div>
                <w:div w:id="261189801">
                  <w:marLeft w:val="0"/>
                  <w:marRight w:val="0"/>
                  <w:marTop w:val="0"/>
                  <w:marBottom w:val="0"/>
                  <w:divBdr>
                    <w:top w:val="none" w:sz="0" w:space="0" w:color="auto"/>
                    <w:left w:val="none" w:sz="0" w:space="0" w:color="auto"/>
                    <w:bottom w:val="none" w:sz="0" w:space="0" w:color="auto"/>
                    <w:right w:val="none" w:sz="0" w:space="0" w:color="auto"/>
                  </w:divBdr>
                  <w:divsChild>
                    <w:div w:id="682710579">
                      <w:marLeft w:val="0"/>
                      <w:marRight w:val="0"/>
                      <w:marTop w:val="0"/>
                      <w:marBottom w:val="0"/>
                      <w:divBdr>
                        <w:top w:val="none" w:sz="0" w:space="0" w:color="auto"/>
                        <w:left w:val="none" w:sz="0" w:space="0" w:color="auto"/>
                        <w:bottom w:val="none" w:sz="0" w:space="0" w:color="auto"/>
                        <w:right w:val="none" w:sz="0" w:space="0" w:color="auto"/>
                      </w:divBdr>
                    </w:div>
                    <w:div w:id="1793595361">
                      <w:marLeft w:val="0"/>
                      <w:marRight w:val="0"/>
                      <w:marTop w:val="0"/>
                      <w:marBottom w:val="0"/>
                      <w:divBdr>
                        <w:top w:val="none" w:sz="0" w:space="0" w:color="auto"/>
                        <w:left w:val="none" w:sz="0" w:space="0" w:color="auto"/>
                        <w:bottom w:val="none" w:sz="0" w:space="0" w:color="auto"/>
                        <w:right w:val="none" w:sz="0" w:space="0" w:color="auto"/>
                      </w:divBdr>
                    </w:div>
                    <w:div w:id="2119055815">
                      <w:marLeft w:val="0"/>
                      <w:marRight w:val="0"/>
                      <w:marTop w:val="0"/>
                      <w:marBottom w:val="0"/>
                      <w:divBdr>
                        <w:top w:val="none" w:sz="0" w:space="0" w:color="auto"/>
                        <w:left w:val="none" w:sz="0" w:space="0" w:color="auto"/>
                        <w:bottom w:val="none" w:sz="0" w:space="0" w:color="auto"/>
                        <w:right w:val="none" w:sz="0" w:space="0" w:color="auto"/>
                      </w:divBdr>
                    </w:div>
                  </w:divsChild>
                </w:div>
                <w:div w:id="292643186">
                  <w:marLeft w:val="0"/>
                  <w:marRight w:val="0"/>
                  <w:marTop w:val="0"/>
                  <w:marBottom w:val="0"/>
                  <w:divBdr>
                    <w:top w:val="none" w:sz="0" w:space="0" w:color="auto"/>
                    <w:left w:val="none" w:sz="0" w:space="0" w:color="auto"/>
                    <w:bottom w:val="none" w:sz="0" w:space="0" w:color="auto"/>
                    <w:right w:val="none" w:sz="0" w:space="0" w:color="auto"/>
                  </w:divBdr>
                  <w:divsChild>
                    <w:div w:id="1653749204">
                      <w:marLeft w:val="0"/>
                      <w:marRight w:val="0"/>
                      <w:marTop w:val="0"/>
                      <w:marBottom w:val="0"/>
                      <w:divBdr>
                        <w:top w:val="none" w:sz="0" w:space="0" w:color="auto"/>
                        <w:left w:val="none" w:sz="0" w:space="0" w:color="auto"/>
                        <w:bottom w:val="none" w:sz="0" w:space="0" w:color="auto"/>
                        <w:right w:val="none" w:sz="0" w:space="0" w:color="auto"/>
                      </w:divBdr>
                    </w:div>
                  </w:divsChild>
                </w:div>
                <w:div w:id="336613355">
                  <w:marLeft w:val="0"/>
                  <w:marRight w:val="0"/>
                  <w:marTop w:val="0"/>
                  <w:marBottom w:val="0"/>
                  <w:divBdr>
                    <w:top w:val="none" w:sz="0" w:space="0" w:color="auto"/>
                    <w:left w:val="none" w:sz="0" w:space="0" w:color="auto"/>
                    <w:bottom w:val="none" w:sz="0" w:space="0" w:color="auto"/>
                    <w:right w:val="none" w:sz="0" w:space="0" w:color="auto"/>
                  </w:divBdr>
                  <w:divsChild>
                    <w:div w:id="1716811024">
                      <w:marLeft w:val="0"/>
                      <w:marRight w:val="0"/>
                      <w:marTop w:val="0"/>
                      <w:marBottom w:val="0"/>
                      <w:divBdr>
                        <w:top w:val="none" w:sz="0" w:space="0" w:color="auto"/>
                        <w:left w:val="none" w:sz="0" w:space="0" w:color="auto"/>
                        <w:bottom w:val="none" w:sz="0" w:space="0" w:color="auto"/>
                        <w:right w:val="none" w:sz="0" w:space="0" w:color="auto"/>
                      </w:divBdr>
                    </w:div>
                  </w:divsChild>
                </w:div>
                <w:div w:id="477962083">
                  <w:marLeft w:val="0"/>
                  <w:marRight w:val="0"/>
                  <w:marTop w:val="0"/>
                  <w:marBottom w:val="0"/>
                  <w:divBdr>
                    <w:top w:val="none" w:sz="0" w:space="0" w:color="auto"/>
                    <w:left w:val="none" w:sz="0" w:space="0" w:color="auto"/>
                    <w:bottom w:val="none" w:sz="0" w:space="0" w:color="auto"/>
                    <w:right w:val="none" w:sz="0" w:space="0" w:color="auto"/>
                  </w:divBdr>
                  <w:divsChild>
                    <w:div w:id="1090857174">
                      <w:marLeft w:val="0"/>
                      <w:marRight w:val="0"/>
                      <w:marTop w:val="0"/>
                      <w:marBottom w:val="0"/>
                      <w:divBdr>
                        <w:top w:val="none" w:sz="0" w:space="0" w:color="auto"/>
                        <w:left w:val="none" w:sz="0" w:space="0" w:color="auto"/>
                        <w:bottom w:val="none" w:sz="0" w:space="0" w:color="auto"/>
                        <w:right w:val="none" w:sz="0" w:space="0" w:color="auto"/>
                      </w:divBdr>
                    </w:div>
                  </w:divsChild>
                </w:div>
                <w:div w:id="890385880">
                  <w:marLeft w:val="0"/>
                  <w:marRight w:val="0"/>
                  <w:marTop w:val="0"/>
                  <w:marBottom w:val="0"/>
                  <w:divBdr>
                    <w:top w:val="none" w:sz="0" w:space="0" w:color="auto"/>
                    <w:left w:val="none" w:sz="0" w:space="0" w:color="auto"/>
                    <w:bottom w:val="none" w:sz="0" w:space="0" w:color="auto"/>
                    <w:right w:val="none" w:sz="0" w:space="0" w:color="auto"/>
                  </w:divBdr>
                  <w:divsChild>
                    <w:div w:id="1023634298">
                      <w:marLeft w:val="0"/>
                      <w:marRight w:val="0"/>
                      <w:marTop w:val="0"/>
                      <w:marBottom w:val="0"/>
                      <w:divBdr>
                        <w:top w:val="none" w:sz="0" w:space="0" w:color="auto"/>
                        <w:left w:val="none" w:sz="0" w:space="0" w:color="auto"/>
                        <w:bottom w:val="none" w:sz="0" w:space="0" w:color="auto"/>
                        <w:right w:val="none" w:sz="0" w:space="0" w:color="auto"/>
                      </w:divBdr>
                    </w:div>
                    <w:div w:id="1325939511">
                      <w:marLeft w:val="0"/>
                      <w:marRight w:val="0"/>
                      <w:marTop w:val="0"/>
                      <w:marBottom w:val="0"/>
                      <w:divBdr>
                        <w:top w:val="none" w:sz="0" w:space="0" w:color="auto"/>
                        <w:left w:val="none" w:sz="0" w:space="0" w:color="auto"/>
                        <w:bottom w:val="none" w:sz="0" w:space="0" w:color="auto"/>
                        <w:right w:val="none" w:sz="0" w:space="0" w:color="auto"/>
                      </w:divBdr>
                    </w:div>
                    <w:div w:id="1542087788">
                      <w:marLeft w:val="0"/>
                      <w:marRight w:val="0"/>
                      <w:marTop w:val="0"/>
                      <w:marBottom w:val="0"/>
                      <w:divBdr>
                        <w:top w:val="none" w:sz="0" w:space="0" w:color="auto"/>
                        <w:left w:val="none" w:sz="0" w:space="0" w:color="auto"/>
                        <w:bottom w:val="none" w:sz="0" w:space="0" w:color="auto"/>
                        <w:right w:val="none" w:sz="0" w:space="0" w:color="auto"/>
                      </w:divBdr>
                    </w:div>
                  </w:divsChild>
                </w:div>
                <w:div w:id="1118765926">
                  <w:marLeft w:val="0"/>
                  <w:marRight w:val="0"/>
                  <w:marTop w:val="0"/>
                  <w:marBottom w:val="0"/>
                  <w:divBdr>
                    <w:top w:val="none" w:sz="0" w:space="0" w:color="auto"/>
                    <w:left w:val="none" w:sz="0" w:space="0" w:color="auto"/>
                    <w:bottom w:val="none" w:sz="0" w:space="0" w:color="auto"/>
                    <w:right w:val="none" w:sz="0" w:space="0" w:color="auto"/>
                  </w:divBdr>
                  <w:divsChild>
                    <w:div w:id="302588892">
                      <w:marLeft w:val="0"/>
                      <w:marRight w:val="0"/>
                      <w:marTop w:val="0"/>
                      <w:marBottom w:val="0"/>
                      <w:divBdr>
                        <w:top w:val="none" w:sz="0" w:space="0" w:color="auto"/>
                        <w:left w:val="none" w:sz="0" w:space="0" w:color="auto"/>
                        <w:bottom w:val="none" w:sz="0" w:space="0" w:color="auto"/>
                        <w:right w:val="none" w:sz="0" w:space="0" w:color="auto"/>
                      </w:divBdr>
                    </w:div>
                  </w:divsChild>
                </w:div>
                <w:div w:id="1331561430">
                  <w:marLeft w:val="0"/>
                  <w:marRight w:val="0"/>
                  <w:marTop w:val="0"/>
                  <w:marBottom w:val="0"/>
                  <w:divBdr>
                    <w:top w:val="none" w:sz="0" w:space="0" w:color="auto"/>
                    <w:left w:val="none" w:sz="0" w:space="0" w:color="auto"/>
                    <w:bottom w:val="none" w:sz="0" w:space="0" w:color="auto"/>
                    <w:right w:val="none" w:sz="0" w:space="0" w:color="auto"/>
                  </w:divBdr>
                  <w:divsChild>
                    <w:div w:id="940334866">
                      <w:marLeft w:val="0"/>
                      <w:marRight w:val="0"/>
                      <w:marTop w:val="0"/>
                      <w:marBottom w:val="0"/>
                      <w:divBdr>
                        <w:top w:val="none" w:sz="0" w:space="0" w:color="auto"/>
                        <w:left w:val="none" w:sz="0" w:space="0" w:color="auto"/>
                        <w:bottom w:val="none" w:sz="0" w:space="0" w:color="auto"/>
                        <w:right w:val="none" w:sz="0" w:space="0" w:color="auto"/>
                      </w:divBdr>
                    </w:div>
                    <w:div w:id="1563364121">
                      <w:marLeft w:val="0"/>
                      <w:marRight w:val="0"/>
                      <w:marTop w:val="0"/>
                      <w:marBottom w:val="0"/>
                      <w:divBdr>
                        <w:top w:val="none" w:sz="0" w:space="0" w:color="auto"/>
                        <w:left w:val="none" w:sz="0" w:space="0" w:color="auto"/>
                        <w:bottom w:val="none" w:sz="0" w:space="0" w:color="auto"/>
                        <w:right w:val="none" w:sz="0" w:space="0" w:color="auto"/>
                      </w:divBdr>
                    </w:div>
                    <w:div w:id="1949971024">
                      <w:marLeft w:val="0"/>
                      <w:marRight w:val="0"/>
                      <w:marTop w:val="0"/>
                      <w:marBottom w:val="0"/>
                      <w:divBdr>
                        <w:top w:val="none" w:sz="0" w:space="0" w:color="auto"/>
                        <w:left w:val="none" w:sz="0" w:space="0" w:color="auto"/>
                        <w:bottom w:val="none" w:sz="0" w:space="0" w:color="auto"/>
                        <w:right w:val="none" w:sz="0" w:space="0" w:color="auto"/>
                      </w:divBdr>
                    </w:div>
                  </w:divsChild>
                </w:div>
                <w:div w:id="1719891676">
                  <w:marLeft w:val="0"/>
                  <w:marRight w:val="0"/>
                  <w:marTop w:val="0"/>
                  <w:marBottom w:val="0"/>
                  <w:divBdr>
                    <w:top w:val="none" w:sz="0" w:space="0" w:color="auto"/>
                    <w:left w:val="none" w:sz="0" w:space="0" w:color="auto"/>
                    <w:bottom w:val="none" w:sz="0" w:space="0" w:color="auto"/>
                    <w:right w:val="none" w:sz="0" w:space="0" w:color="auto"/>
                  </w:divBdr>
                  <w:divsChild>
                    <w:div w:id="11077124">
                      <w:marLeft w:val="0"/>
                      <w:marRight w:val="0"/>
                      <w:marTop w:val="0"/>
                      <w:marBottom w:val="0"/>
                      <w:divBdr>
                        <w:top w:val="none" w:sz="0" w:space="0" w:color="auto"/>
                        <w:left w:val="none" w:sz="0" w:space="0" w:color="auto"/>
                        <w:bottom w:val="none" w:sz="0" w:space="0" w:color="auto"/>
                        <w:right w:val="none" w:sz="0" w:space="0" w:color="auto"/>
                      </w:divBdr>
                    </w:div>
                    <w:div w:id="1241016470">
                      <w:marLeft w:val="0"/>
                      <w:marRight w:val="0"/>
                      <w:marTop w:val="0"/>
                      <w:marBottom w:val="0"/>
                      <w:divBdr>
                        <w:top w:val="none" w:sz="0" w:space="0" w:color="auto"/>
                        <w:left w:val="none" w:sz="0" w:space="0" w:color="auto"/>
                        <w:bottom w:val="none" w:sz="0" w:space="0" w:color="auto"/>
                        <w:right w:val="none" w:sz="0" w:space="0" w:color="auto"/>
                      </w:divBdr>
                    </w:div>
                    <w:div w:id="1347630115">
                      <w:marLeft w:val="0"/>
                      <w:marRight w:val="0"/>
                      <w:marTop w:val="0"/>
                      <w:marBottom w:val="0"/>
                      <w:divBdr>
                        <w:top w:val="none" w:sz="0" w:space="0" w:color="auto"/>
                        <w:left w:val="none" w:sz="0" w:space="0" w:color="auto"/>
                        <w:bottom w:val="none" w:sz="0" w:space="0" w:color="auto"/>
                        <w:right w:val="none" w:sz="0" w:space="0" w:color="auto"/>
                      </w:divBdr>
                    </w:div>
                  </w:divsChild>
                </w:div>
                <w:div w:id="1881088357">
                  <w:marLeft w:val="0"/>
                  <w:marRight w:val="0"/>
                  <w:marTop w:val="0"/>
                  <w:marBottom w:val="0"/>
                  <w:divBdr>
                    <w:top w:val="none" w:sz="0" w:space="0" w:color="auto"/>
                    <w:left w:val="none" w:sz="0" w:space="0" w:color="auto"/>
                    <w:bottom w:val="none" w:sz="0" w:space="0" w:color="auto"/>
                    <w:right w:val="none" w:sz="0" w:space="0" w:color="auto"/>
                  </w:divBdr>
                  <w:divsChild>
                    <w:div w:id="1642807971">
                      <w:marLeft w:val="0"/>
                      <w:marRight w:val="0"/>
                      <w:marTop w:val="0"/>
                      <w:marBottom w:val="0"/>
                      <w:divBdr>
                        <w:top w:val="none" w:sz="0" w:space="0" w:color="auto"/>
                        <w:left w:val="none" w:sz="0" w:space="0" w:color="auto"/>
                        <w:bottom w:val="none" w:sz="0" w:space="0" w:color="auto"/>
                        <w:right w:val="none" w:sz="0" w:space="0" w:color="auto"/>
                      </w:divBdr>
                    </w:div>
                  </w:divsChild>
                </w:div>
                <w:div w:id="2043050541">
                  <w:marLeft w:val="0"/>
                  <w:marRight w:val="0"/>
                  <w:marTop w:val="0"/>
                  <w:marBottom w:val="0"/>
                  <w:divBdr>
                    <w:top w:val="none" w:sz="0" w:space="0" w:color="auto"/>
                    <w:left w:val="none" w:sz="0" w:space="0" w:color="auto"/>
                    <w:bottom w:val="none" w:sz="0" w:space="0" w:color="auto"/>
                    <w:right w:val="none" w:sz="0" w:space="0" w:color="auto"/>
                  </w:divBdr>
                  <w:divsChild>
                    <w:div w:id="619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3295">
          <w:marLeft w:val="0"/>
          <w:marRight w:val="0"/>
          <w:marTop w:val="0"/>
          <w:marBottom w:val="0"/>
          <w:divBdr>
            <w:top w:val="none" w:sz="0" w:space="0" w:color="auto"/>
            <w:left w:val="none" w:sz="0" w:space="0" w:color="auto"/>
            <w:bottom w:val="none" w:sz="0" w:space="0" w:color="auto"/>
            <w:right w:val="none" w:sz="0" w:space="0" w:color="auto"/>
          </w:divBdr>
          <w:divsChild>
            <w:div w:id="569000270">
              <w:marLeft w:val="0"/>
              <w:marRight w:val="0"/>
              <w:marTop w:val="30"/>
              <w:marBottom w:val="30"/>
              <w:divBdr>
                <w:top w:val="none" w:sz="0" w:space="0" w:color="auto"/>
                <w:left w:val="none" w:sz="0" w:space="0" w:color="auto"/>
                <w:bottom w:val="none" w:sz="0" w:space="0" w:color="auto"/>
                <w:right w:val="none" w:sz="0" w:space="0" w:color="auto"/>
              </w:divBdr>
              <w:divsChild>
                <w:div w:id="97453927">
                  <w:marLeft w:val="0"/>
                  <w:marRight w:val="0"/>
                  <w:marTop w:val="0"/>
                  <w:marBottom w:val="0"/>
                  <w:divBdr>
                    <w:top w:val="none" w:sz="0" w:space="0" w:color="auto"/>
                    <w:left w:val="none" w:sz="0" w:space="0" w:color="auto"/>
                    <w:bottom w:val="none" w:sz="0" w:space="0" w:color="auto"/>
                    <w:right w:val="none" w:sz="0" w:space="0" w:color="auto"/>
                  </w:divBdr>
                  <w:divsChild>
                    <w:div w:id="132455972">
                      <w:marLeft w:val="0"/>
                      <w:marRight w:val="0"/>
                      <w:marTop w:val="0"/>
                      <w:marBottom w:val="0"/>
                      <w:divBdr>
                        <w:top w:val="none" w:sz="0" w:space="0" w:color="auto"/>
                        <w:left w:val="none" w:sz="0" w:space="0" w:color="auto"/>
                        <w:bottom w:val="none" w:sz="0" w:space="0" w:color="auto"/>
                        <w:right w:val="none" w:sz="0" w:space="0" w:color="auto"/>
                      </w:divBdr>
                    </w:div>
                    <w:div w:id="771895770">
                      <w:marLeft w:val="0"/>
                      <w:marRight w:val="0"/>
                      <w:marTop w:val="0"/>
                      <w:marBottom w:val="0"/>
                      <w:divBdr>
                        <w:top w:val="none" w:sz="0" w:space="0" w:color="auto"/>
                        <w:left w:val="none" w:sz="0" w:space="0" w:color="auto"/>
                        <w:bottom w:val="none" w:sz="0" w:space="0" w:color="auto"/>
                        <w:right w:val="none" w:sz="0" w:space="0" w:color="auto"/>
                      </w:divBdr>
                    </w:div>
                    <w:div w:id="1308435416">
                      <w:marLeft w:val="0"/>
                      <w:marRight w:val="0"/>
                      <w:marTop w:val="0"/>
                      <w:marBottom w:val="0"/>
                      <w:divBdr>
                        <w:top w:val="none" w:sz="0" w:space="0" w:color="auto"/>
                        <w:left w:val="none" w:sz="0" w:space="0" w:color="auto"/>
                        <w:bottom w:val="none" w:sz="0" w:space="0" w:color="auto"/>
                        <w:right w:val="none" w:sz="0" w:space="0" w:color="auto"/>
                      </w:divBdr>
                    </w:div>
                    <w:div w:id="1333606080">
                      <w:marLeft w:val="0"/>
                      <w:marRight w:val="0"/>
                      <w:marTop w:val="0"/>
                      <w:marBottom w:val="0"/>
                      <w:divBdr>
                        <w:top w:val="none" w:sz="0" w:space="0" w:color="auto"/>
                        <w:left w:val="none" w:sz="0" w:space="0" w:color="auto"/>
                        <w:bottom w:val="none" w:sz="0" w:space="0" w:color="auto"/>
                        <w:right w:val="none" w:sz="0" w:space="0" w:color="auto"/>
                      </w:divBdr>
                    </w:div>
                  </w:divsChild>
                </w:div>
                <w:div w:id="473253255">
                  <w:marLeft w:val="0"/>
                  <w:marRight w:val="0"/>
                  <w:marTop w:val="0"/>
                  <w:marBottom w:val="0"/>
                  <w:divBdr>
                    <w:top w:val="none" w:sz="0" w:space="0" w:color="auto"/>
                    <w:left w:val="none" w:sz="0" w:space="0" w:color="auto"/>
                    <w:bottom w:val="none" w:sz="0" w:space="0" w:color="auto"/>
                    <w:right w:val="none" w:sz="0" w:space="0" w:color="auto"/>
                  </w:divBdr>
                  <w:divsChild>
                    <w:div w:id="1385717163">
                      <w:marLeft w:val="0"/>
                      <w:marRight w:val="0"/>
                      <w:marTop w:val="0"/>
                      <w:marBottom w:val="0"/>
                      <w:divBdr>
                        <w:top w:val="none" w:sz="0" w:space="0" w:color="auto"/>
                        <w:left w:val="none" w:sz="0" w:space="0" w:color="auto"/>
                        <w:bottom w:val="none" w:sz="0" w:space="0" w:color="auto"/>
                        <w:right w:val="none" w:sz="0" w:space="0" w:color="auto"/>
                      </w:divBdr>
                    </w:div>
                    <w:div w:id="1512573791">
                      <w:marLeft w:val="0"/>
                      <w:marRight w:val="0"/>
                      <w:marTop w:val="0"/>
                      <w:marBottom w:val="0"/>
                      <w:divBdr>
                        <w:top w:val="none" w:sz="0" w:space="0" w:color="auto"/>
                        <w:left w:val="none" w:sz="0" w:space="0" w:color="auto"/>
                        <w:bottom w:val="none" w:sz="0" w:space="0" w:color="auto"/>
                        <w:right w:val="none" w:sz="0" w:space="0" w:color="auto"/>
                      </w:divBdr>
                    </w:div>
                    <w:div w:id="1658993303">
                      <w:marLeft w:val="0"/>
                      <w:marRight w:val="0"/>
                      <w:marTop w:val="0"/>
                      <w:marBottom w:val="0"/>
                      <w:divBdr>
                        <w:top w:val="none" w:sz="0" w:space="0" w:color="auto"/>
                        <w:left w:val="none" w:sz="0" w:space="0" w:color="auto"/>
                        <w:bottom w:val="none" w:sz="0" w:space="0" w:color="auto"/>
                        <w:right w:val="none" w:sz="0" w:space="0" w:color="auto"/>
                      </w:divBdr>
                    </w:div>
                  </w:divsChild>
                </w:div>
                <w:div w:id="512187360">
                  <w:marLeft w:val="0"/>
                  <w:marRight w:val="0"/>
                  <w:marTop w:val="0"/>
                  <w:marBottom w:val="0"/>
                  <w:divBdr>
                    <w:top w:val="none" w:sz="0" w:space="0" w:color="auto"/>
                    <w:left w:val="none" w:sz="0" w:space="0" w:color="auto"/>
                    <w:bottom w:val="none" w:sz="0" w:space="0" w:color="auto"/>
                    <w:right w:val="none" w:sz="0" w:space="0" w:color="auto"/>
                  </w:divBdr>
                  <w:divsChild>
                    <w:div w:id="77213981">
                      <w:marLeft w:val="0"/>
                      <w:marRight w:val="0"/>
                      <w:marTop w:val="0"/>
                      <w:marBottom w:val="0"/>
                      <w:divBdr>
                        <w:top w:val="none" w:sz="0" w:space="0" w:color="auto"/>
                        <w:left w:val="none" w:sz="0" w:space="0" w:color="auto"/>
                        <w:bottom w:val="none" w:sz="0" w:space="0" w:color="auto"/>
                        <w:right w:val="none" w:sz="0" w:space="0" w:color="auto"/>
                      </w:divBdr>
                    </w:div>
                    <w:div w:id="192575998">
                      <w:marLeft w:val="0"/>
                      <w:marRight w:val="0"/>
                      <w:marTop w:val="0"/>
                      <w:marBottom w:val="0"/>
                      <w:divBdr>
                        <w:top w:val="none" w:sz="0" w:space="0" w:color="auto"/>
                        <w:left w:val="none" w:sz="0" w:space="0" w:color="auto"/>
                        <w:bottom w:val="none" w:sz="0" w:space="0" w:color="auto"/>
                        <w:right w:val="none" w:sz="0" w:space="0" w:color="auto"/>
                      </w:divBdr>
                    </w:div>
                    <w:div w:id="409041399">
                      <w:marLeft w:val="0"/>
                      <w:marRight w:val="0"/>
                      <w:marTop w:val="0"/>
                      <w:marBottom w:val="0"/>
                      <w:divBdr>
                        <w:top w:val="none" w:sz="0" w:space="0" w:color="auto"/>
                        <w:left w:val="none" w:sz="0" w:space="0" w:color="auto"/>
                        <w:bottom w:val="none" w:sz="0" w:space="0" w:color="auto"/>
                        <w:right w:val="none" w:sz="0" w:space="0" w:color="auto"/>
                      </w:divBdr>
                    </w:div>
                    <w:div w:id="447697353">
                      <w:marLeft w:val="0"/>
                      <w:marRight w:val="0"/>
                      <w:marTop w:val="0"/>
                      <w:marBottom w:val="0"/>
                      <w:divBdr>
                        <w:top w:val="none" w:sz="0" w:space="0" w:color="auto"/>
                        <w:left w:val="none" w:sz="0" w:space="0" w:color="auto"/>
                        <w:bottom w:val="none" w:sz="0" w:space="0" w:color="auto"/>
                        <w:right w:val="none" w:sz="0" w:space="0" w:color="auto"/>
                      </w:divBdr>
                    </w:div>
                    <w:div w:id="568541703">
                      <w:marLeft w:val="0"/>
                      <w:marRight w:val="0"/>
                      <w:marTop w:val="0"/>
                      <w:marBottom w:val="0"/>
                      <w:divBdr>
                        <w:top w:val="none" w:sz="0" w:space="0" w:color="auto"/>
                        <w:left w:val="none" w:sz="0" w:space="0" w:color="auto"/>
                        <w:bottom w:val="none" w:sz="0" w:space="0" w:color="auto"/>
                        <w:right w:val="none" w:sz="0" w:space="0" w:color="auto"/>
                      </w:divBdr>
                    </w:div>
                    <w:div w:id="639578583">
                      <w:marLeft w:val="0"/>
                      <w:marRight w:val="0"/>
                      <w:marTop w:val="0"/>
                      <w:marBottom w:val="0"/>
                      <w:divBdr>
                        <w:top w:val="none" w:sz="0" w:space="0" w:color="auto"/>
                        <w:left w:val="none" w:sz="0" w:space="0" w:color="auto"/>
                        <w:bottom w:val="none" w:sz="0" w:space="0" w:color="auto"/>
                        <w:right w:val="none" w:sz="0" w:space="0" w:color="auto"/>
                      </w:divBdr>
                    </w:div>
                    <w:div w:id="924730536">
                      <w:marLeft w:val="0"/>
                      <w:marRight w:val="0"/>
                      <w:marTop w:val="0"/>
                      <w:marBottom w:val="0"/>
                      <w:divBdr>
                        <w:top w:val="none" w:sz="0" w:space="0" w:color="auto"/>
                        <w:left w:val="none" w:sz="0" w:space="0" w:color="auto"/>
                        <w:bottom w:val="none" w:sz="0" w:space="0" w:color="auto"/>
                        <w:right w:val="none" w:sz="0" w:space="0" w:color="auto"/>
                      </w:divBdr>
                    </w:div>
                    <w:div w:id="1014650716">
                      <w:marLeft w:val="0"/>
                      <w:marRight w:val="0"/>
                      <w:marTop w:val="0"/>
                      <w:marBottom w:val="0"/>
                      <w:divBdr>
                        <w:top w:val="none" w:sz="0" w:space="0" w:color="auto"/>
                        <w:left w:val="none" w:sz="0" w:space="0" w:color="auto"/>
                        <w:bottom w:val="none" w:sz="0" w:space="0" w:color="auto"/>
                        <w:right w:val="none" w:sz="0" w:space="0" w:color="auto"/>
                      </w:divBdr>
                    </w:div>
                    <w:div w:id="1322195887">
                      <w:marLeft w:val="0"/>
                      <w:marRight w:val="0"/>
                      <w:marTop w:val="0"/>
                      <w:marBottom w:val="0"/>
                      <w:divBdr>
                        <w:top w:val="none" w:sz="0" w:space="0" w:color="auto"/>
                        <w:left w:val="none" w:sz="0" w:space="0" w:color="auto"/>
                        <w:bottom w:val="none" w:sz="0" w:space="0" w:color="auto"/>
                        <w:right w:val="none" w:sz="0" w:space="0" w:color="auto"/>
                      </w:divBdr>
                    </w:div>
                    <w:div w:id="1862159443">
                      <w:marLeft w:val="0"/>
                      <w:marRight w:val="0"/>
                      <w:marTop w:val="0"/>
                      <w:marBottom w:val="0"/>
                      <w:divBdr>
                        <w:top w:val="none" w:sz="0" w:space="0" w:color="auto"/>
                        <w:left w:val="none" w:sz="0" w:space="0" w:color="auto"/>
                        <w:bottom w:val="none" w:sz="0" w:space="0" w:color="auto"/>
                        <w:right w:val="none" w:sz="0" w:space="0" w:color="auto"/>
                      </w:divBdr>
                    </w:div>
                  </w:divsChild>
                </w:div>
                <w:div w:id="653142183">
                  <w:marLeft w:val="0"/>
                  <w:marRight w:val="0"/>
                  <w:marTop w:val="0"/>
                  <w:marBottom w:val="0"/>
                  <w:divBdr>
                    <w:top w:val="none" w:sz="0" w:space="0" w:color="auto"/>
                    <w:left w:val="none" w:sz="0" w:space="0" w:color="auto"/>
                    <w:bottom w:val="none" w:sz="0" w:space="0" w:color="auto"/>
                    <w:right w:val="none" w:sz="0" w:space="0" w:color="auto"/>
                  </w:divBdr>
                  <w:divsChild>
                    <w:div w:id="817914184">
                      <w:marLeft w:val="0"/>
                      <w:marRight w:val="0"/>
                      <w:marTop w:val="0"/>
                      <w:marBottom w:val="0"/>
                      <w:divBdr>
                        <w:top w:val="none" w:sz="0" w:space="0" w:color="auto"/>
                        <w:left w:val="none" w:sz="0" w:space="0" w:color="auto"/>
                        <w:bottom w:val="none" w:sz="0" w:space="0" w:color="auto"/>
                        <w:right w:val="none" w:sz="0" w:space="0" w:color="auto"/>
                      </w:divBdr>
                    </w:div>
                  </w:divsChild>
                </w:div>
                <w:div w:id="704212239">
                  <w:marLeft w:val="0"/>
                  <w:marRight w:val="0"/>
                  <w:marTop w:val="0"/>
                  <w:marBottom w:val="0"/>
                  <w:divBdr>
                    <w:top w:val="none" w:sz="0" w:space="0" w:color="auto"/>
                    <w:left w:val="none" w:sz="0" w:space="0" w:color="auto"/>
                    <w:bottom w:val="none" w:sz="0" w:space="0" w:color="auto"/>
                    <w:right w:val="none" w:sz="0" w:space="0" w:color="auto"/>
                  </w:divBdr>
                  <w:divsChild>
                    <w:div w:id="234557432">
                      <w:marLeft w:val="0"/>
                      <w:marRight w:val="0"/>
                      <w:marTop w:val="0"/>
                      <w:marBottom w:val="0"/>
                      <w:divBdr>
                        <w:top w:val="none" w:sz="0" w:space="0" w:color="auto"/>
                        <w:left w:val="none" w:sz="0" w:space="0" w:color="auto"/>
                        <w:bottom w:val="none" w:sz="0" w:space="0" w:color="auto"/>
                        <w:right w:val="none" w:sz="0" w:space="0" w:color="auto"/>
                      </w:divBdr>
                    </w:div>
                    <w:div w:id="413403833">
                      <w:marLeft w:val="0"/>
                      <w:marRight w:val="0"/>
                      <w:marTop w:val="0"/>
                      <w:marBottom w:val="0"/>
                      <w:divBdr>
                        <w:top w:val="none" w:sz="0" w:space="0" w:color="auto"/>
                        <w:left w:val="none" w:sz="0" w:space="0" w:color="auto"/>
                        <w:bottom w:val="none" w:sz="0" w:space="0" w:color="auto"/>
                        <w:right w:val="none" w:sz="0" w:space="0" w:color="auto"/>
                      </w:divBdr>
                    </w:div>
                    <w:div w:id="1394427299">
                      <w:marLeft w:val="0"/>
                      <w:marRight w:val="0"/>
                      <w:marTop w:val="0"/>
                      <w:marBottom w:val="0"/>
                      <w:divBdr>
                        <w:top w:val="none" w:sz="0" w:space="0" w:color="auto"/>
                        <w:left w:val="none" w:sz="0" w:space="0" w:color="auto"/>
                        <w:bottom w:val="none" w:sz="0" w:space="0" w:color="auto"/>
                        <w:right w:val="none" w:sz="0" w:space="0" w:color="auto"/>
                      </w:divBdr>
                    </w:div>
                    <w:div w:id="2067675678">
                      <w:marLeft w:val="0"/>
                      <w:marRight w:val="0"/>
                      <w:marTop w:val="0"/>
                      <w:marBottom w:val="0"/>
                      <w:divBdr>
                        <w:top w:val="none" w:sz="0" w:space="0" w:color="auto"/>
                        <w:left w:val="none" w:sz="0" w:space="0" w:color="auto"/>
                        <w:bottom w:val="none" w:sz="0" w:space="0" w:color="auto"/>
                        <w:right w:val="none" w:sz="0" w:space="0" w:color="auto"/>
                      </w:divBdr>
                    </w:div>
                  </w:divsChild>
                </w:div>
                <w:div w:id="711687934">
                  <w:marLeft w:val="0"/>
                  <w:marRight w:val="0"/>
                  <w:marTop w:val="0"/>
                  <w:marBottom w:val="0"/>
                  <w:divBdr>
                    <w:top w:val="none" w:sz="0" w:space="0" w:color="auto"/>
                    <w:left w:val="none" w:sz="0" w:space="0" w:color="auto"/>
                    <w:bottom w:val="none" w:sz="0" w:space="0" w:color="auto"/>
                    <w:right w:val="none" w:sz="0" w:space="0" w:color="auto"/>
                  </w:divBdr>
                  <w:divsChild>
                    <w:div w:id="1357190927">
                      <w:marLeft w:val="0"/>
                      <w:marRight w:val="0"/>
                      <w:marTop w:val="0"/>
                      <w:marBottom w:val="0"/>
                      <w:divBdr>
                        <w:top w:val="none" w:sz="0" w:space="0" w:color="auto"/>
                        <w:left w:val="none" w:sz="0" w:space="0" w:color="auto"/>
                        <w:bottom w:val="none" w:sz="0" w:space="0" w:color="auto"/>
                        <w:right w:val="none" w:sz="0" w:space="0" w:color="auto"/>
                      </w:divBdr>
                    </w:div>
                  </w:divsChild>
                </w:div>
                <w:div w:id="1301961159">
                  <w:marLeft w:val="0"/>
                  <w:marRight w:val="0"/>
                  <w:marTop w:val="0"/>
                  <w:marBottom w:val="0"/>
                  <w:divBdr>
                    <w:top w:val="none" w:sz="0" w:space="0" w:color="auto"/>
                    <w:left w:val="none" w:sz="0" w:space="0" w:color="auto"/>
                    <w:bottom w:val="none" w:sz="0" w:space="0" w:color="auto"/>
                    <w:right w:val="none" w:sz="0" w:space="0" w:color="auto"/>
                  </w:divBdr>
                  <w:divsChild>
                    <w:div w:id="817920617">
                      <w:marLeft w:val="0"/>
                      <w:marRight w:val="0"/>
                      <w:marTop w:val="0"/>
                      <w:marBottom w:val="0"/>
                      <w:divBdr>
                        <w:top w:val="none" w:sz="0" w:space="0" w:color="auto"/>
                        <w:left w:val="none" w:sz="0" w:space="0" w:color="auto"/>
                        <w:bottom w:val="none" w:sz="0" w:space="0" w:color="auto"/>
                        <w:right w:val="none" w:sz="0" w:space="0" w:color="auto"/>
                      </w:divBdr>
                    </w:div>
                  </w:divsChild>
                </w:div>
                <w:div w:id="1368410230">
                  <w:marLeft w:val="0"/>
                  <w:marRight w:val="0"/>
                  <w:marTop w:val="0"/>
                  <w:marBottom w:val="0"/>
                  <w:divBdr>
                    <w:top w:val="none" w:sz="0" w:space="0" w:color="auto"/>
                    <w:left w:val="none" w:sz="0" w:space="0" w:color="auto"/>
                    <w:bottom w:val="none" w:sz="0" w:space="0" w:color="auto"/>
                    <w:right w:val="none" w:sz="0" w:space="0" w:color="auto"/>
                  </w:divBdr>
                  <w:divsChild>
                    <w:div w:id="305550647">
                      <w:marLeft w:val="0"/>
                      <w:marRight w:val="0"/>
                      <w:marTop w:val="0"/>
                      <w:marBottom w:val="0"/>
                      <w:divBdr>
                        <w:top w:val="none" w:sz="0" w:space="0" w:color="auto"/>
                        <w:left w:val="none" w:sz="0" w:space="0" w:color="auto"/>
                        <w:bottom w:val="none" w:sz="0" w:space="0" w:color="auto"/>
                        <w:right w:val="none" w:sz="0" w:space="0" w:color="auto"/>
                      </w:divBdr>
                    </w:div>
                  </w:divsChild>
                </w:div>
                <w:div w:id="1845587671">
                  <w:marLeft w:val="0"/>
                  <w:marRight w:val="0"/>
                  <w:marTop w:val="0"/>
                  <w:marBottom w:val="0"/>
                  <w:divBdr>
                    <w:top w:val="none" w:sz="0" w:space="0" w:color="auto"/>
                    <w:left w:val="none" w:sz="0" w:space="0" w:color="auto"/>
                    <w:bottom w:val="none" w:sz="0" w:space="0" w:color="auto"/>
                    <w:right w:val="none" w:sz="0" w:space="0" w:color="auto"/>
                  </w:divBdr>
                  <w:divsChild>
                    <w:div w:id="19308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899">
          <w:marLeft w:val="0"/>
          <w:marRight w:val="0"/>
          <w:marTop w:val="0"/>
          <w:marBottom w:val="0"/>
          <w:divBdr>
            <w:top w:val="none" w:sz="0" w:space="0" w:color="auto"/>
            <w:left w:val="none" w:sz="0" w:space="0" w:color="auto"/>
            <w:bottom w:val="none" w:sz="0" w:space="0" w:color="auto"/>
            <w:right w:val="none" w:sz="0" w:space="0" w:color="auto"/>
          </w:divBdr>
        </w:div>
      </w:divsChild>
    </w:div>
    <w:div w:id="686371369">
      <w:bodyDiv w:val="1"/>
      <w:marLeft w:val="0"/>
      <w:marRight w:val="0"/>
      <w:marTop w:val="0"/>
      <w:marBottom w:val="0"/>
      <w:divBdr>
        <w:top w:val="none" w:sz="0" w:space="0" w:color="auto"/>
        <w:left w:val="none" w:sz="0" w:space="0" w:color="auto"/>
        <w:bottom w:val="none" w:sz="0" w:space="0" w:color="auto"/>
        <w:right w:val="none" w:sz="0" w:space="0" w:color="auto"/>
      </w:divBdr>
    </w:div>
    <w:div w:id="711424923">
      <w:bodyDiv w:val="1"/>
      <w:marLeft w:val="0"/>
      <w:marRight w:val="0"/>
      <w:marTop w:val="0"/>
      <w:marBottom w:val="0"/>
      <w:divBdr>
        <w:top w:val="none" w:sz="0" w:space="0" w:color="auto"/>
        <w:left w:val="none" w:sz="0" w:space="0" w:color="auto"/>
        <w:bottom w:val="none" w:sz="0" w:space="0" w:color="auto"/>
        <w:right w:val="none" w:sz="0" w:space="0" w:color="auto"/>
      </w:divBdr>
      <w:divsChild>
        <w:div w:id="44763692">
          <w:marLeft w:val="0"/>
          <w:marRight w:val="0"/>
          <w:marTop w:val="0"/>
          <w:marBottom w:val="0"/>
          <w:divBdr>
            <w:top w:val="none" w:sz="0" w:space="0" w:color="auto"/>
            <w:left w:val="none" w:sz="0" w:space="0" w:color="auto"/>
            <w:bottom w:val="none" w:sz="0" w:space="0" w:color="auto"/>
            <w:right w:val="none" w:sz="0" w:space="0" w:color="auto"/>
          </w:divBdr>
        </w:div>
        <w:div w:id="650720986">
          <w:marLeft w:val="0"/>
          <w:marRight w:val="0"/>
          <w:marTop w:val="0"/>
          <w:marBottom w:val="0"/>
          <w:divBdr>
            <w:top w:val="none" w:sz="0" w:space="0" w:color="auto"/>
            <w:left w:val="none" w:sz="0" w:space="0" w:color="auto"/>
            <w:bottom w:val="none" w:sz="0" w:space="0" w:color="auto"/>
            <w:right w:val="none" w:sz="0" w:space="0" w:color="auto"/>
          </w:divBdr>
        </w:div>
        <w:div w:id="901252301">
          <w:marLeft w:val="0"/>
          <w:marRight w:val="0"/>
          <w:marTop w:val="0"/>
          <w:marBottom w:val="0"/>
          <w:divBdr>
            <w:top w:val="none" w:sz="0" w:space="0" w:color="auto"/>
            <w:left w:val="none" w:sz="0" w:space="0" w:color="auto"/>
            <w:bottom w:val="none" w:sz="0" w:space="0" w:color="auto"/>
            <w:right w:val="none" w:sz="0" w:space="0" w:color="auto"/>
          </w:divBdr>
        </w:div>
        <w:div w:id="1408261566">
          <w:marLeft w:val="0"/>
          <w:marRight w:val="0"/>
          <w:marTop w:val="0"/>
          <w:marBottom w:val="0"/>
          <w:divBdr>
            <w:top w:val="none" w:sz="0" w:space="0" w:color="auto"/>
            <w:left w:val="none" w:sz="0" w:space="0" w:color="auto"/>
            <w:bottom w:val="none" w:sz="0" w:space="0" w:color="auto"/>
            <w:right w:val="none" w:sz="0" w:space="0" w:color="auto"/>
          </w:divBdr>
        </w:div>
        <w:div w:id="1722946609">
          <w:marLeft w:val="0"/>
          <w:marRight w:val="0"/>
          <w:marTop w:val="0"/>
          <w:marBottom w:val="0"/>
          <w:divBdr>
            <w:top w:val="none" w:sz="0" w:space="0" w:color="auto"/>
            <w:left w:val="none" w:sz="0" w:space="0" w:color="auto"/>
            <w:bottom w:val="none" w:sz="0" w:space="0" w:color="auto"/>
            <w:right w:val="none" w:sz="0" w:space="0" w:color="auto"/>
          </w:divBdr>
        </w:div>
      </w:divsChild>
    </w:div>
    <w:div w:id="721103997">
      <w:bodyDiv w:val="1"/>
      <w:marLeft w:val="0"/>
      <w:marRight w:val="0"/>
      <w:marTop w:val="0"/>
      <w:marBottom w:val="0"/>
      <w:divBdr>
        <w:top w:val="none" w:sz="0" w:space="0" w:color="auto"/>
        <w:left w:val="none" w:sz="0" w:space="0" w:color="auto"/>
        <w:bottom w:val="none" w:sz="0" w:space="0" w:color="auto"/>
        <w:right w:val="none" w:sz="0" w:space="0" w:color="auto"/>
      </w:divBdr>
    </w:div>
    <w:div w:id="748576127">
      <w:bodyDiv w:val="1"/>
      <w:marLeft w:val="0"/>
      <w:marRight w:val="0"/>
      <w:marTop w:val="0"/>
      <w:marBottom w:val="0"/>
      <w:divBdr>
        <w:top w:val="none" w:sz="0" w:space="0" w:color="auto"/>
        <w:left w:val="none" w:sz="0" w:space="0" w:color="auto"/>
        <w:bottom w:val="none" w:sz="0" w:space="0" w:color="auto"/>
        <w:right w:val="none" w:sz="0" w:space="0" w:color="auto"/>
      </w:divBdr>
    </w:div>
    <w:div w:id="764837661">
      <w:bodyDiv w:val="1"/>
      <w:marLeft w:val="0"/>
      <w:marRight w:val="0"/>
      <w:marTop w:val="0"/>
      <w:marBottom w:val="0"/>
      <w:divBdr>
        <w:top w:val="none" w:sz="0" w:space="0" w:color="auto"/>
        <w:left w:val="none" w:sz="0" w:space="0" w:color="auto"/>
        <w:bottom w:val="none" w:sz="0" w:space="0" w:color="auto"/>
        <w:right w:val="none" w:sz="0" w:space="0" w:color="auto"/>
      </w:divBdr>
    </w:div>
    <w:div w:id="775517744">
      <w:bodyDiv w:val="1"/>
      <w:marLeft w:val="0"/>
      <w:marRight w:val="0"/>
      <w:marTop w:val="0"/>
      <w:marBottom w:val="0"/>
      <w:divBdr>
        <w:top w:val="none" w:sz="0" w:space="0" w:color="auto"/>
        <w:left w:val="none" w:sz="0" w:space="0" w:color="auto"/>
        <w:bottom w:val="none" w:sz="0" w:space="0" w:color="auto"/>
        <w:right w:val="none" w:sz="0" w:space="0" w:color="auto"/>
      </w:divBdr>
    </w:div>
    <w:div w:id="780877194">
      <w:bodyDiv w:val="1"/>
      <w:marLeft w:val="0"/>
      <w:marRight w:val="0"/>
      <w:marTop w:val="0"/>
      <w:marBottom w:val="0"/>
      <w:divBdr>
        <w:top w:val="none" w:sz="0" w:space="0" w:color="auto"/>
        <w:left w:val="none" w:sz="0" w:space="0" w:color="auto"/>
        <w:bottom w:val="none" w:sz="0" w:space="0" w:color="auto"/>
        <w:right w:val="none" w:sz="0" w:space="0" w:color="auto"/>
      </w:divBdr>
    </w:div>
    <w:div w:id="809400581">
      <w:bodyDiv w:val="1"/>
      <w:marLeft w:val="0"/>
      <w:marRight w:val="0"/>
      <w:marTop w:val="0"/>
      <w:marBottom w:val="0"/>
      <w:divBdr>
        <w:top w:val="none" w:sz="0" w:space="0" w:color="auto"/>
        <w:left w:val="none" w:sz="0" w:space="0" w:color="auto"/>
        <w:bottom w:val="none" w:sz="0" w:space="0" w:color="auto"/>
        <w:right w:val="none" w:sz="0" w:space="0" w:color="auto"/>
      </w:divBdr>
    </w:div>
    <w:div w:id="814957357">
      <w:bodyDiv w:val="1"/>
      <w:marLeft w:val="0"/>
      <w:marRight w:val="0"/>
      <w:marTop w:val="0"/>
      <w:marBottom w:val="0"/>
      <w:divBdr>
        <w:top w:val="none" w:sz="0" w:space="0" w:color="auto"/>
        <w:left w:val="none" w:sz="0" w:space="0" w:color="auto"/>
        <w:bottom w:val="none" w:sz="0" w:space="0" w:color="auto"/>
        <w:right w:val="none" w:sz="0" w:space="0" w:color="auto"/>
      </w:divBdr>
    </w:div>
    <w:div w:id="815300402">
      <w:bodyDiv w:val="1"/>
      <w:marLeft w:val="0"/>
      <w:marRight w:val="0"/>
      <w:marTop w:val="0"/>
      <w:marBottom w:val="0"/>
      <w:divBdr>
        <w:top w:val="none" w:sz="0" w:space="0" w:color="auto"/>
        <w:left w:val="none" w:sz="0" w:space="0" w:color="auto"/>
        <w:bottom w:val="none" w:sz="0" w:space="0" w:color="auto"/>
        <w:right w:val="none" w:sz="0" w:space="0" w:color="auto"/>
      </w:divBdr>
    </w:div>
    <w:div w:id="822312477">
      <w:bodyDiv w:val="1"/>
      <w:marLeft w:val="0"/>
      <w:marRight w:val="0"/>
      <w:marTop w:val="0"/>
      <w:marBottom w:val="0"/>
      <w:divBdr>
        <w:top w:val="none" w:sz="0" w:space="0" w:color="auto"/>
        <w:left w:val="none" w:sz="0" w:space="0" w:color="auto"/>
        <w:bottom w:val="none" w:sz="0" w:space="0" w:color="auto"/>
        <w:right w:val="none" w:sz="0" w:space="0" w:color="auto"/>
      </w:divBdr>
    </w:div>
    <w:div w:id="834688250">
      <w:bodyDiv w:val="1"/>
      <w:marLeft w:val="0"/>
      <w:marRight w:val="0"/>
      <w:marTop w:val="0"/>
      <w:marBottom w:val="0"/>
      <w:divBdr>
        <w:top w:val="none" w:sz="0" w:space="0" w:color="auto"/>
        <w:left w:val="none" w:sz="0" w:space="0" w:color="auto"/>
        <w:bottom w:val="none" w:sz="0" w:space="0" w:color="auto"/>
        <w:right w:val="none" w:sz="0" w:space="0" w:color="auto"/>
      </w:divBdr>
    </w:div>
    <w:div w:id="836846257">
      <w:bodyDiv w:val="1"/>
      <w:marLeft w:val="0"/>
      <w:marRight w:val="0"/>
      <w:marTop w:val="0"/>
      <w:marBottom w:val="0"/>
      <w:divBdr>
        <w:top w:val="none" w:sz="0" w:space="0" w:color="auto"/>
        <w:left w:val="none" w:sz="0" w:space="0" w:color="auto"/>
        <w:bottom w:val="none" w:sz="0" w:space="0" w:color="auto"/>
        <w:right w:val="none" w:sz="0" w:space="0" w:color="auto"/>
      </w:divBdr>
    </w:div>
    <w:div w:id="877742470">
      <w:bodyDiv w:val="1"/>
      <w:marLeft w:val="0"/>
      <w:marRight w:val="0"/>
      <w:marTop w:val="0"/>
      <w:marBottom w:val="0"/>
      <w:divBdr>
        <w:top w:val="none" w:sz="0" w:space="0" w:color="auto"/>
        <w:left w:val="none" w:sz="0" w:space="0" w:color="auto"/>
        <w:bottom w:val="none" w:sz="0" w:space="0" w:color="auto"/>
        <w:right w:val="none" w:sz="0" w:space="0" w:color="auto"/>
      </w:divBdr>
    </w:div>
    <w:div w:id="889730056">
      <w:bodyDiv w:val="1"/>
      <w:marLeft w:val="0"/>
      <w:marRight w:val="0"/>
      <w:marTop w:val="0"/>
      <w:marBottom w:val="0"/>
      <w:divBdr>
        <w:top w:val="none" w:sz="0" w:space="0" w:color="auto"/>
        <w:left w:val="none" w:sz="0" w:space="0" w:color="auto"/>
        <w:bottom w:val="none" w:sz="0" w:space="0" w:color="auto"/>
        <w:right w:val="none" w:sz="0" w:space="0" w:color="auto"/>
      </w:divBdr>
    </w:div>
    <w:div w:id="889734426">
      <w:bodyDiv w:val="1"/>
      <w:marLeft w:val="0"/>
      <w:marRight w:val="0"/>
      <w:marTop w:val="0"/>
      <w:marBottom w:val="0"/>
      <w:divBdr>
        <w:top w:val="none" w:sz="0" w:space="0" w:color="auto"/>
        <w:left w:val="none" w:sz="0" w:space="0" w:color="auto"/>
        <w:bottom w:val="none" w:sz="0" w:space="0" w:color="auto"/>
        <w:right w:val="none" w:sz="0" w:space="0" w:color="auto"/>
      </w:divBdr>
    </w:div>
    <w:div w:id="930546020">
      <w:bodyDiv w:val="1"/>
      <w:marLeft w:val="0"/>
      <w:marRight w:val="0"/>
      <w:marTop w:val="0"/>
      <w:marBottom w:val="0"/>
      <w:divBdr>
        <w:top w:val="none" w:sz="0" w:space="0" w:color="auto"/>
        <w:left w:val="none" w:sz="0" w:space="0" w:color="auto"/>
        <w:bottom w:val="none" w:sz="0" w:space="0" w:color="auto"/>
        <w:right w:val="none" w:sz="0" w:space="0" w:color="auto"/>
      </w:divBdr>
    </w:div>
    <w:div w:id="936523247">
      <w:bodyDiv w:val="1"/>
      <w:marLeft w:val="0"/>
      <w:marRight w:val="0"/>
      <w:marTop w:val="0"/>
      <w:marBottom w:val="0"/>
      <w:divBdr>
        <w:top w:val="none" w:sz="0" w:space="0" w:color="auto"/>
        <w:left w:val="none" w:sz="0" w:space="0" w:color="auto"/>
        <w:bottom w:val="none" w:sz="0" w:space="0" w:color="auto"/>
        <w:right w:val="none" w:sz="0" w:space="0" w:color="auto"/>
      </w:divBdr>
    </w:div>
    <w:div w:id="938099106">
      <w:bodyDiv w:val="1"/>
      <w:marLeft w:val="0"/>
      <w:marRight w:val="0"/>
      <w:marTop w:val="0"/>
      <w:marBottom w:val="0"/>
      <w:divBdr>
        <w:top w:val="none" w:sz="0" w:space="0" w:color="auto"/>
        <w:left w:val="none" w:sz="0" w:space="0" w:color="auto"/>
        <w:bottom w:val="none" w:sz="0" w:space="0" w:color="auto"/>
        <w:right w:val="none" w:sz="0" w:space="0" w:color="auto"/>
      </w:divBdr>
    </w:div>
    <w:div w:id="967469218">
      <w:bodyDiv w:val="1"/>
      <w:marLeft w:val="0"/>
      <w:marRight w:val="0"/>
      <w:marTop w:val="0"/>
      <w:marBottom w:val="0"/>
      <w:divBdr>
        <w:top w:val="none" w:sz="0" w:space="0" w:color="auto"/>
        <w:left w:val="none" w:sz="0" w:space="0" w:color="auto"/>
        <w:bottom w:val="none" w:sz="0" w:space="0" w:color="auto"/>
        <w:right w:val="none" w:sz="0" w:space="0" w:color="auto"/>
      </w:divBdr>
    </w:div>
    <w:div w:id="1002969307">
      <w:bodyDiv w:val="1"/>
      <w:marLeft w:val="0"/>
      <w:marRight w:val="0"/>
      <w:marTop w:val="0"/>
      <w:marBottom w:val="0"/>
      <w:divBdr>
        <w:top w:val="none" w:sz="0" w:space="0" w:color="auto"/>
        <w:left w:val="none" w:sz="0" w:space="0" w:color="auto"/>
        <w:bottom w:val="none" w:sz="0" w:space="0" w:color="auto"/>
        <w:right w:val="none" w:sz="0" w:space="0" w:color="auto"/>
      </w:divBdr>
    </w:div>
    <w:div w:id="1012032426">
      <w:bodyDiv w:val="1"/>
      <w:marLeft w:val="0"/>
      <w:marRight w:val="0"/>
      <w:marTop w:val="0"/>
      <w:marBottom w:val="0"/>
      <w:divBdr>
        <w:top w:val="none" w:sz="0" w:space="0" w:color="auto"/>
        <w:left w:val="none" w:sz="0" w:space="0" w:color="auto"/>
        <w:bottom w:val="none" w:sz="0" w:space="0" w:color="auto"/>
        <w:right w:val="none" w:sz="0" w:space="0" w:color="auto"/>
      </w:divBdr>
    </w:div>
    <w:div w:id="1031957652">
      <w:bodyDiv w:val="1"/>
      <w:marLeft w:val="0"/>
      <w:marRight w:val="0"/>
      <w:marTop w:val="0"/>
      <w:marBottom w:val="0"/>
      <w:divBdr>
        <w:top w:val="none" w:sz="0" w:space="0" w:color="auto"/>
        <w:left w:val="none" w:sz="0" w:space="0" w:color="auto"/>
        <w:bottom w:val="none" w:sz="0" w:space="0" w:color="auto"/>
        <w:right w:val="none" w:sz="0" w:space="0" w:color="auto"/>
      </w:divBdr>
    </w:div>
    <w:div w:id="1047335160">
      <w:bodyDiv w:val="1"/>
      <w:marLeft w:val="0"/>
      <w:marRight w:val="0"/>
      <w:marTop w:val="0"/>
      <w:marBottom w:val="0"/>
      <w:divBdr>
        <w:top w:val="none" w:sz="0" w:space="0" w:color="auto"/>
        <w:left w:val="none" w:sz="0" w:space="0" w:color="auto"/>
        <w:bottom w:val="none" w:sz="0" w:space="0" w:color="auto"/>
        <w:right w:val="none" w:sz="0" w:space="0" w:color="auto"/>
      </w:divBdr>
    </w:div>
    <w:div w:id="1050030920">
      <w:bodyDiv w:val="1"/>
      <w:marLeft w:val="0"/>
      <w:marRight w:val="0"/>
      <w:marTop w:val="0"/>
      <w:marBottom w:val="0"/>
      <w:divBdr>
        <w:top w:val="none" w:sz="0" w:space="0" w:color="auto"/>
        <w:left w:val="none" w:sz="0" w:space="0" w:color="auto"/>
        <w:bottom w:val="none" w:sz="0" w:space="0" w:color="auto"/>
        <w:right w:val="none" w:sz="0" w:space="0" w:color="auto"/>
      </w:divBdr>
      <w:divsChild>
        <w:div w:id="478764247">
          <w:marLeft w:val="0"/>
          <w:marRight w:val="0"/>
          <w:marTop w:val="0"/>
          <w:marBottom w:val="0"/>
          <w:divBdr>
            <w:top w:val="none" w:sz="0" w:space="0" w:color="auto"/>
            <w:left w:val="none" w:sz="0" w:space="0" w:color="auto"/>
            <w:bottom w:val="none" w:sz="0" w:space="0" w:color="auto"/>
            <w:right w:val="none" w:sz="0" w:space="0" w:color="auto"/>
          </w:divBdr>
        </w:div>
        <w:div w:id="681396459">
          <w:marLeft w:val="0"/>
          <w:marRight w:val="0"/>
          <w:marTop w:val="0"/>
          <w:marBottom w:val="0"/>
          <w:divBdr>
            <w:top w:val="none" w:sz="0" w:space="0" w:color="auto"/>
            <w:left w:val="none" w:sz="0" w:space="0" w:color="auto"/>
            <w:bottom w:val="none" w:sz="0" w:space="0" w:color="auto"/>
            <w:right w:val="none" w:sz="0" w:space="0" w:color="auto"/>
          </w:divBdr>
          <w:divsChild>
            <w:div w:id="81265875">
              <w:marLeft w:val="-75"/>
              <w:marRight w:val="0"/>
              <w:marTop w:val="30"/>
              <w:marBottom w:val="30"/>
              <w:divBdr>
                <w:top w:val="none" w:sz="0" w:space="0" w:color="auto"/>
                <w:left w:val="none" w:sz="0" w:space="0" w:color="auto"/>
                <w:bottom w:val="none" w:sz="0" w:space="0" w:color="auto"/>
                <w:right w:val="none" w:sz="0" w:space="0" w:color="auto"/>
              </w:divBdr>
              <w:divsChild>
                <w:div w:id="80182014">
                  <w:marLeft w:val="0"/>
                  <w:marRight w:val="0"/>
                  <w:marTop w:val="0"/>
                  <w:marBottom w:val="0"/>
                  <w:divBdr>
                    <w:top w:val="none" w:sz="0" w:space="0" w:color="auto"/>
                    <w:left w:val="none" w:sz="0" w:space="0" w:color="auto"/>
                    <w:bottom w:val="none" w:sz="0" w:space="0" w:color="auto"/>
                    <w:right w:val="none" w:sz="0" w:space="0" w:color="auto"/>
                  </w:divBdr>
                  <w:divsChild>
                    <w:div w:id="537812768">
                      <w:marLeft w:val="0"/>
                      <w:marRight w:val="0"/>
                      <w:marTop w:val="0"/>
                      <w:marBottom w:val="0"/>
                      <w:divBdr>
                        <w:top w:val="none" w:sz="0" w:space="0" w:color="auto"/>
                        <w:left w:val="none" w:sz="0" w:space="0" w:color="auto"/>
                        <w:bottom w:val="none" w:sz="0" w:space="0" w:color="auto"/>
                        <w:right w:val="none" w:sz="0" w:space="0" w:color="auto"/>
                      </w:divBdr>
                    </w:div>
                  </w:divsChild>
                </w:div>
                <w:div w:id="124393774">
                  <w:marLeft w:val="0"/>
                  <w:marRight w:val="0"/>
                  <w:marTop w:val="0"/>
                  <w:marBottom w:val="0"/>
                  <w:divBdr>
                    <w:top w:val="none" w:sz="0" w:space="0" w:color="auto"/>
                    <w:left w:val="none" w:sz="0" w:space="0" w:color="auto"/>
                    <w:bottom w:val="none" w:sz="0" w:space="0" w:color="auto"/>
                    <w:right w:val="none" w:sz="0" w:space="0" w:color="auto"/>
                  </w:divBdr>
                  <w:divsChild>
                    <w:div w:id="893543431">
                      <w:marLeft w:val="0"/>
                      <w:marRight w:val="0"/>
                      <w:marTop w:val="0"/>
                      <w:marBottom w:val="0"/>
                      <w:divBdr>
                        <w:top w:val="none" w:sz="0" w:space="0" w:color="auto"/>
                        <w:left w:val="none" w:sz="0" w:space="0" w:color="auto"/>
                        <w:bottom w:val="none" w:sz="0" w:space="0" w:color="auto"/>
                        <w:right w:val="none" w:sz="0" w:space="0" w:color="auto"/>
                      </w:divBdr>
                    </w:div>
                  </w:divsChild>
                </w:div>
                <w:div w:id="136073533">
                  <w:marLeft w:val="0"/>
                  <w:marRight w:val="0"/>
                  <w:marTop w:val="0"/>
                  <w:marBottom w:val="0"/>
                  <w:divBdr>
                    <w:top w:val="none" w:sz="0" w:space="0" w:color="auto"/>
                    <w:left w:val="none" w:sz="0" w:space="0" w:color="auto"/>
                    <w:bottom w:val="none" w:sz="0" w:space="0" w:color="auto"/>
                    <w:right w:val="none" w:sz="0" w:space="0" w:color="auto"/>
                  </w:divBdr>
                  <w:divsChild>
                    <w:div w:id="1976253231">
                      <w:marLeft w:val="0"/>
                      <w:marRight w:val="0"/>
                      <w:marTop w:val="0"/>
                      <w:marBottom w:val="0"/>
                      <w:divBdr>
                        <w:top w:val="none" w:sz="0" w:space="0" w:color="auto"/>
                        <w:left w:val="none" w:sz="0" w:space="0" w:color="auto"/>
                        <w:bottom w:val="none" w:sz="0" w:space="0" w:color="auto"/>
                        <w:right w:val="none" w:sz="0" w:space="0" w:color="auto"/>
                      </w:divBdr>
                    </w:div>
                  </w:divsChild>
                </w:div>
                <w:div w:id="239101556">
                  <w:marLeft w:val="0"/>
                  <w:marRight w:val="0"/>
                  <w:marTop w:val="0"/>
                  <w:marBottom w:val="0"/>
                  <w:divBdr>
                    <w:top w:val="none" w:sz="0" w:space="0" w:color="auto"/>
                    <w:left w:val="none" w:sz="0" w:space="0" w:color="auto"/>
                    <w:bottom w:val="none" w:sz="0" w:space="0" w:color="auto"/>
                    <w:right w:val="none" w:sz="0" w:space="0" w:color="auto"/>
                  </w:divBdr>
                  <w:divsChild>
                    <w:div w:id="1491870399">
                      <w:marLeft w:val="0"/>
                      <w:marRight w:val="0"/>
                      <w:marTop w:val="0"/>
                      <w:marBottom w:val="0"/>
                      <w:divBdr>
                        <w:top w:val="none" w:sz="0" w:space="0" w:color="auto"/>
                        <w:left w:val="none" w:sz="0" w:space="0" w:color="auto"/>
                        <w:bottom w:val="none" w:sz="0" w:space="0" w:color="auto"/>
                        <w:right w:val="none" w:sz="0" w:space="0" w:color="auto"/>
                      </w:divBdr>
                    </w:div>
                  </w:divsChild>
                </w:div>
                <w:div w:id="328750111">
                  <w:marLeft w:val="0"/>
                  <w:marRight w:val="0"/>
                  <w:marTop w:val="0"/>
                  <w:marBottom w:val="0"/>
                  <w:divBdr>
                    <w:top w:val="none" w:sz="0" w:space="0" w:color="auto"/>
                    <w:left w:val="none" w:sz="0" w:space="0" w:color="auto"/>
                    <w:bottom w:val="none" w:sz="0" w:space="0" w:color="auto"/>
                    <w:right w:val="none" w:sz="0" w:space="0" w:color="auto"/>
                  </w:divBdr>
                  <w:divsChild>
                    <w:div w:id="1628314216">
                      <w:marLeft w:val="0"/>
                      <w:marRight w:val="0"/>
                      <w:marTop w:val="0"/>
                      <w:marBottom w:val="0"/>
                      <w:divBdr>
                        <w:top w:val="none" w:sz="0" w:space="0" w:color="auto"/>
                        <w:left w:val="none" w:sz="0" w:space="0" w:color="auto"/>
                        <w:bottom w:val="none" w:sz="0" w:space="0" w:color="auto"/>
                        <w:right w:val="none" w:sz="0" w:space="0" w:color="auto"/>
                      </w:divBdr>
                    </w:div>
                  </w:divsChild>
                </w:div>
                <w:div w:id="371930528">
                  <w:marLeft w:val="0"/>
                  <w:marRight w:val="0"/>
                  <w:marTop w:val="0"/>
                  <w:marBottom w:val="0"/>
                  <w:divBdr>
                    <w:top w:val="none" w:sz="0" w:space="0" w:color="auto"/>
                    <w:left w:val="none" w:sz="0" w:space="0" w:color="auto"/>
                    <w:bottom w:val="none" w:sz="0" w:space="0" w:color="auto"/>
                    <w:right w:val="none" w:sz="0" w:space="0" w:color="auto"/>
                  </w:divBdr>
                  <w:divsChild>
                    <w:div w:id="779422141">
                      <w:marLeft w:val="0"/>
                      <w:marRight w:val="0"/>
                      <w:marTop w:val="0"/>
                      <w:marBottom w:val="0"/>
                      <w:divBdr>
                        <w:top w:val="none" w:sz="0" w:space="0" w:color="auto"/>
                        <w:left w:val="none" w:sz="0" w:space="0" w:color="auto"/>
                        <w:bottom w:val="none" w:sz="0" w:space="0" w:color="auto"/>
                        <w:right w:val="none" w:sz="0" w:space="0" w:color="auto"/>
                      </w:divBdr>
                    </w:div>
                  </w:divsChild>
                </w:div>
                <w:div w:id="390228182">
                  <w:marLeft w:val="0"/>
                  <w:marRight w:val="0"/>
                  <w:marTop w:val="0"/>
                  <w:marBottom w:val="0"/>
                  <w:divBdr>
                    <w:top w:val="none" w:sz="0" w:space="0" w:color="auto"/>
                    <w:left w:val="none" w:sz="0" w:space="0" w:color="auto"/>
                    <w:bottom w:val="none" w:sz="0" w:space="0" w:color="auto"/>
                    <w:right w:val="none" w:sz="0" w:space="0" w:color="auto"/>
                  </w:divBdr>
                  <w:divsChild>
                    <w:div w:id="1277329281">
                      <w:marLeft w:val="0"/>
                      <w:marRight w:val="0"/>
                      <w:marTop w:val="0"/>
                      <w:marBottom w:val="0"/>
                      <w:divBdr>
                        <w:top w:val="none" w:sz="0" w:space="0" w:color="auto"/>
                        <w:left w:val="none" w:sz="0" w:space="0" w:color="auto"/>
                        <w:bottom w:val="none" w:sz="0" w:space="0" w:color="auto"/>
                        <w:right w:val="none" w:sz="0" w:space="0" w:color="auto"/>
                      </w:divBdr>
                    </w:div>
                  </w:divsChild>
                </w:div>
                <w:div w:id="485557251">
                  <w:marLeft w:val="0"/>
                  <w:marRight w:val="0"/>
                  <w:marTop w:val="0"/>
                  <w:marBottom w:val="0"/>
                  <w:divBdr>
                    <w:top w:val="none" w:sz="0" w:space="0" w:color="auto"/>
                    <w:left w:val="none" w:sz="0" w:space="0" w:color="auto"/>
                    <w:bottom w:val="none" w:sz="0" w:space="0" w:color="auto"/>
                    <w:right w:val="none" w:sz="0" w:space="0" w:color="auto"/>
                  </w:divBdr>
                  <w:divsChild>
                    <w:div w:id="685328667">
                      <w:marLeft w:val="0"/>
                      <w:marRight w:val="0"/>
                      <w:marTop w:val="0"/>
                      <w:marBottom w:val="0"/>
                      <w:divBdr>
                        <w:top w:val="none" w:sz="0" w:space="0" w:color="auto"/>
                        <w:left w:val="none" w:sz="0" w:space="0" w:color="auto"/>
                        <w:bottom w:val="none" w:sz="0" w:space="0" w:color="auto"/>
                        <w:right w:val="none" w:sz="0" w:space="0" w:color="auto"/>
                      </w:divBdr>
                    </w:div>
                  </w:divsChild>
                </w:div>
                <w:div w:id="570313921">
                  <w:marLeft w:val="0"/>
                  <w:marRight w:val="0"/>
                  <w:marTop w:val="0"/>
                  <w:marBottom w:val="0"/>
                  <w:divBdr>
                    <w:top w:val="none" w:sz="0" w:space="0" w:color="auto"/>
                    <w:left w:val="none" w:sz="0" w:space="0" w:color="auto"/>
                    <w:bottom w:val="none" w:sz="0" w:space="0" w:color="auto"/>
                    <w:right w:val="none" w:sz="0" w:space="0" w:color="auto"/>
                  </w:divBdr>
                  <w:divsChild>
                    <w:div w:id="359478250">
                      <w:marLeft w:val="0"/>
                      <w:marRight w:val="0"/>
                      <w:marTop w:val="0"/>
                      <w:marBottom w:val="0"/>
                      <w:divBdr>
                        <w:top w:val="none" w:sz="0" w:space="0" w:color="auto"/>
                        <w:left w:val="none" w:sz="0" w:space="0" w:color="auto"/>
                        <w:bottom w:val="none" w:sz="0" w:space="0" w:color="auto"/>
                        <w:right w:val="none" w:sz="0" w:space="0" w:color="auto"/>
                      </w:divBdr>
                    </w:div>
                  </w:divsChild>
                </w:div>
                <w:div w:id="690306178">
                  <w:marLeft w:val="0"/>
                  <w:marRight w:val="0"/>
                  <w:marTop w:val="0"/>
                  <w:marBottom w:val="0"/>
                  <w:divBdr>
                    <w:top w:val="none" w:sz="0" w:space="0" w:color="auto"/>
                    <w:left w:val="none" w:sz="0" w:space="0" w:color="auto"/>
                    <w:bottom w:val="none" w:sz="0" w:space="0" w:color="auto"/>
                    <w:right w:val="none" w:sz="0" w:space="0" w:color="auto"/>
                  </w:divBdr>
                  <w:divsChild>
                    <w:div w:id="2015185796">
                      <w:marLeft w:val="0"/>
                      <w:marRight w:val="0"/>
                      <w:marTop w:val="0"/>
                      <w:marBottom w:val="0"/>
                      <w:divBdr>
                        <w:top w:val="none" w:sz="0" w:space="0" w:color="auto"/>
                        <w:left w:val="none" w:sz="0" w:space="0" w:color="auto"/>
                        <w:bottom w:val="none" w:sz="0" w:space="0" w:color="auto"/>
                        <w:right w:val="none" w:sz="0" w:space="0" w:color="auto"/>
                      </w:divBdr>
                    </w:div>
                  </w:divsChild>
                </w:div>
                <w:div w:id="780340981">
                  <w:marLeft w:val="0"/>
                  <w:marRight w:val="0"/>
                  <w:marTop w:val="0"/>
                  <w:marBottom w:val="0"/>
                  <w:divBdr>
                    <w:top w:val="none" w:sz="0" w:space="0" w:color="auto"/>
                    <w:left w:val="none" w:sz="0" w:space="0" w:color="auto"/>
                    <w:bottom w:val="none" w:sz="0" w:space="0" w:color="auto"/>
                    <w:right w:val="none" w:sz="0" w:space="0" w:color="auto"/>
                  </w:divBdr>
                  <w:divsChild>
                    <w:div w:id="1009452447">
                      <w:marLeft w:val="0"/>
                      <w:marRight w:val="0"/>
                      <w:marTop w:val="0"/>
                      <w:marBottom w:val="0"/>
                      <w:divBdr>
                        <w:top w:val="none" w:sz="0" w:space="0" w:color="auto"/>
                        <w:left w:val="none" w:sz="0" w:space="0" w:color="auto"/>
                        <w:bottom w:val="none" w:sz="0" w:space="0" w:color="auto"/>
                        <w:right w:val="none" w:sz="0" w:space="0" w:color="auto"/>
                      </w:divBdr>
                    </w:div>
                  </w:divsChild>
                </w:div>
                <w:div w:id="852454130">
                  <w:marLeft w:val="0"/>
                  <w:marRight w:val="0"/>
                  <w:marTop w:val="0"/>
                  <w:marBottom w:val="0"/>
                  <w:divBdr>
                    <w:top w:val="none" w:sz="0" w:space="0" w:color="auto"/>
                    <w:left w:val="none" w:sz="0" w:space="0" w:color="auto"/>
                    <w:bottom w:val="none" w:sz="0" w:space="0" w:color="auto"/>
                    <w:right w:val="none" w:sz="0" w:space="0" w:color="auto"/>
                  </w:divBdr>
                  <w:divsChild>
                    <w:div w:id="1252396114">
                      <w:marLeft w:val="0"/>
                      <w:marRight w:val="0"/>
                      <w:marTop w:val="0"/>
                      <w:marBottom w:val="0"/>
                      <w:divBdr>
                        <w:top w:val="none" w:sz="0" w:space="0" w:color="auto"/>
                        <w:left w:val="none" w:sz="0" w:space="0" w:color="auto"/>
                        <w:bottom w:val="none" w:sz="0" w:space="0" w:color="auto"/>
                        <w:right w:val="none" w:sz="0" w:space="0" w:color="auto"/>
                      </w:divBdr>
                    </w:div>
                  </w:divsChild>
                </w:div>
                <w:div w:id="1124346015">
                  <w:marLeft w:val="0"/>
                  <w:marRight w:val="0"/>
                  <w:marTop w:val="0"/>
                  <w:marBottom w:val="0"/>
                  <w:divBdr>
                    <w:top w:val="none" w:sz="0" w:space="0" w:color="auto"/>
                    <w:left w:val="none" w:sz="0" w:space="0" w:color="auto"/>
                    <w:bottom w:val="none" w:sz="0" w:space="0" w:color="auto"/>
                    <w:right w:val="none" w:sz="0" w:space="0" w:color="auto"/>
                  </w:divBdr>
                  <w:divsChild>
                    <w:div w:id="1471485048">
                      <w:marLeft w:val="0"/>
                      <w:marRight w:val="0"/>
                      <w:marTop w:val="0"/>
                      <w:marBottom w:val="0"/>
                      <w:divBdr>
                        <w:top w:val="none" w:sz="0" w:space="0" w:color="auto"/>
                        <w:left w:val="none" w:sz="0" w:space="0" w:color="auto"/>
                        <w:bottom w:val="none" w:sz="0" w:space="0" w:color="auto"/>
                        <w:right w:val="none" w:sz="0" w:space="0" w:color="auto"/>
                      </w:divBdr>
                    </w:div>
                  </w:divsChild>
                </w:div>
                <w:div w:id="1148546978">
                  <w:marLeft w:val="0"/>
                  <w:marRight w:val="0"/>
                  <w:marTop w:val="0"/>
                  <w:marBottom w:val="0"/>
                  <w:divBdr>
                    <w:top w:val="none" w:sz="0" w:space="0" w:color="auto"/>
                    <w:left w:val="none" w:sz="0" w:space="0" w:color="auto"/>
                    <w:bottom w:val="none" w:sz="0" w:space="0" w:color="auto"/>
                    <w:right w:val="none" w:sz="0" w:space="0" w:color="auto"/>
                  </w:divBdr>
                  <w:divsChild>
                    <w:div w:id="657272727">
                      <w:marLeft w:val="0"/>
                      <w:marRight w:val="0"/>
                      <w:marTop w:val="0"/>
                      <w:marBottom w:val="0"/>
                      <w:divBdr>
                        <w:top w:val="none" w:sz="0" w:space="0" w:color="auto"/>
                        <w:left w:val="none" w:sz="0" w:space="0" w:color="auto"/>
                        <w:bottom w:val="none" w:sz="0" w:space="0" w:color="auto"/>
                        <w:right w:val="none" w:sz="0" w:space="0" w:color="auto"/>
                      </w:divBdr>
                    </w:div>
                  </w:divsChild>
                </w:div>
                <w:div w:id="1157067306">
                  <w:marLeft w:val="0"/>
                  <w:marRight w:val="0"/>
                  <w:marTop w:val="0"/>
                  <w:marBottom w:val="0"/>
                  <w:divBdr>
                    <w:top w:val="none" w:sz="0" w:space="0" w:color="auto"/>
                    <w:left w:val="none" w:sz="0" w:space="0" w:color="auto"/>
                    <w:bottom w:val="none" w:sz="0" w:space="0" w:color="auto"/>
                    <w:right w:val="none" w:sz="0" w:space="0" w:color="auto"/>
                  </w:divBdr>
                  <w:divsChild>
                    <w:div w:id="223879469">
                      <w:marLeft w:val="0"/>
                      <w:marRight w:val="0"/>
                      <w:marTop w:val="0"/>
                      <w:marBottom w:val="0"/>
                      <w:divBdr>
                        <w:top w:val="none" w:sz="0" w:space="0" w:color="auto"/>
                        <w:left w:val="none" w:sz="0" w:space="0" w:color="auto"/>
                        <w:bottom w:val="none" w:sz="0" w:space="0" w:color="auto"/>
                        <w:right w:val="none" w:sz="0" w:space="0" w:color="auto"/>
                      </w:divBdr>
                    </w:div>
                  </w:divsChild>
                </w:div>
                <w:div w:id="1286043630">
                  <w:marLeft w:val="0"/>
                  <w:marRight w:val="0"/>
                  <w:marTop w:val="0"/>
                  <w:marBottom w:val="0"/>
                  <w:divBdr>
                    <w:top w:val="none" w:sz="0" w:space="0" w:color="auto"/>
                    <w:left w:val="none" w:sz="0" w:space="0" w:color="auto"/>
                    <w:bottom w:val="none" w:sz="0" w:space="0" w:color="auto"/>
                    <w:right w:val="none" w:sz="0" w:space="0" w:color="auto"/>
                  </w:divBdr>
                  <w:divsChild>
                    <w:div w:id="724835959">
                      <w:marLeft w:val="0"/>
                      <w:marRight w:val="0"/>
                      <w:marTop w:val="0"/>
                      <w:marBottom w:val="0"/>
                      <w:divBdr>
                        <w:top w:val="none" w:sz="0" w:space="0" w:color="auto"/>
                        <w:left w:val="none" w:sz="0" w:space="0" w:color="auto"/>
                        <w:bottom w:val="none" w:sz="0" w:space="0" w:color="auto"/>
                        <w:right w:val="none" w:sz="0" w:space="0" w:color="auto"/>
                      </w:divBdr>
                    </w:div>
                  </w:divsChild>
                </w:div>
                <w:div w:id="1310477849">
                  <w:marLeft w:val="0"/>
                  <w:marRight w:val="0"/>
                  <w:marTop w:val="0"/>
                  <w:marBottom w:val="0"/>
                  <w:divBdr>
                    <w:top w:val="none" w:sz="0" w:space="0" w:color="auto"/>
                    <w:left w:val="none" w:sz="0" w:space="0" w:color="auto"/>
                    <w:bottom w:val="none" w:sz="0" w:space="0" w:color="auto"/>
                    <w:right w:val="none" w:sz="0" w:space="0" w:color="auto"/>
                  </w:divBdr>
                  <w:divsChild>
                    <w:div w:id="1512452422">
                      <w:marLeft w:val="0"/>
                      <w:marRight w:val="0"/>
                      <w:marTop w:val="0"/>
                      <w:marBottom w:val="0"/>
                      <w:divBdr>
                        <w:top w:val="none" w:sz="0" w:space="0" w:color="auto"/>
                        <w:left w:val="none" w:sz="0" w:space="0" w:color="auto"/>
                        <w:bottom w:val="none" w:sz="0" w:space="0" w:color="auto"/>
                        <w:right w:val="none" w:sz="0" w:space="0" w:color="auto"/>
                      </w:divBdr>
                    </w:div>
                  </w:divsChild>
                </w:div>
                <w:div w:id="1384599230">
                  <w:marLeft w:val="0"/>
                  <w:marRight w:val="0"/>
                  <w:marTop w:val="0"/>
                  <w:marBottom w:val="0"/>
                  <w:divBdr>
                    <w:top w:val="none" w:sz="0" w:space="0" w:color="auto"/>
                    <w:left w:val="none" w:sz="0" w:space="0" w:color="auto"/>
                    <w:bottom w:val="none" w:sz="0" w:space="0" w:color="auto"/>
                    <w:right w:val="none" w:sz="0" w:space="0" w:color="auto"/>
                  </w:divBdr>
                  <w:divsChild>
                    <w:div w:id="2092504131">
                      <w:marLeft w:val="0"/>
                      <w:marRight w:val="0"/>
                      <w:marTop w:val="0"/>
                      <w:marBottom w:val="0"/>
                      <w:divBdr>
                        <w:top w:val="none" w:sz="0" w:space="0" w:color="auto"/>
                        <w:left w:val="none" w:sz="0" w:space="0" w:color="auto"/>
                        <w:bottom w:val="none" w:sz="0" w:space="0" w:color="auto"/>
                        <w:right w:val="none" w:sz="0" w:space="0" w:color="auto"/>
                      </w:divBdr>
                    </w:div>
                  </w:divsChild>
                </w:div>
                <w:div w:id="1428232676">
                  <w:marLeft w:val="0"/>
                  <w:marRight w:val="0"/>
                  <w:marTop w:val="0"/>
                  <w:marBottom w:val="0"/>
                  <w:divBdr>
                    <w:top w:val="none" w:sz="0" w:space="0" w:color="auto"/>
                    <w:left w:val="none" w:sz="0" w:space="0" w:color="auto"/>
                    <w:bottom w:val="none" w:sz="0" w:space="0" w:color="auto"/>
                    <w:right w:val="none" w:sz="0" w:space="0" w:color="auto"/>
                  </w:divBdr>
                  <w:divsChild>
                    <w:div w:id="2136409994">
                      <w:marLeft w:val="0"/>
                      <w:marRight w:val="0"/>
                      <w:marTop w:val="0"/>
                      <w:marBottom w:val="0"/>
                      <w:divBdr>
                        <w:top w:val="none" w:sz="0" w:space="0" w:color="auto"/>
                        <w:left w:val="none" w:sz="0" w:space="0" w:color="auto"/>
                        <w:bottom w:val="none" w:sz="0" w:space="0" w:color="auto"/>
                        <w:right w:val="none" w:sz="0" w:space="0" w:color="auto"/>
                      </w:divBdr>
                    </w:div>
                  </w:divsChild>
                </w:div>
                <w:div w:id="1479954055">
                  <w:marLeft w:val="0"/>
                  <w:marRight w:val="0"/>
                  <w:marTop w:val="0"/>
                  <w:marBottom w:val="0"/>
                  <w:divBdr>
                    <w:top w:val="none" w:sz="0" w:space="0" w:color="auto"/>
                    <w:left w:val="none" w:sz="0" w:space="0" w:color="auto"/>
                    <w:bottom w:val="none" w:sz="0" w:space="0" w:color="auto"/>
                    <w:right w:val="none" w:sz="0" w:space="0" w:color="auto"/>
                  </w:divBdr>
                  <w:divsChild>
                    <w:div w:id="1789010508">
                      <w:marLeft w:val="0"/>
                      <w:marRight w:val="0"/>
                      <w:marTop w:val="0"/>
                      <w:marBottom w:val="0"/>
                      <w:divBdr>
                        <w:top w:val="none" w:sz="0" w:space="0" w:color="auto"/>
                        <w:left w:val="none" w:sz="0" w:space="0" w:color="auto"/>
                        <w:bottom w:val="none" w:sz="0" w:space="0" w:color="auto"/>
                        <w:right w:val="none" w:sz="0" w:space="0" w:color="auto"/>
                      </w:divBdr>
                    </w:div>
                  </w:divsChild>
                </w:div>
                <w:div w:id="1924533583">
                  <w:marLeft w:val="0"/>
                  <w:marRight w:val="0"/>
                  <w:marTop w:val="0"/>
                  <w:marBottom w:val="0"/>
                  <w:divBdr>
                    <w:top w:val="none" w:sz="0" w:space="0" w:color="auto"/>
                    <w:left w:val="none" w:sz="0" w:space="0" w:color="auto"/>
                    <w:bottom w:val="none" w:sz="0" w:space="0" w:color="auto"/>
                    <w:right w:val="none" w:sz="0" w:space="0" w:color="auto"/>
                  </w:divBdr>
                  <w:divsChild>
                    <w:div w:id="659383242">
                      <w:marLeft w:val="0"/>
                      <w:marRight w:val="0"/>
                      <w:marTop w:val="0"/>
                      <w:marBottom w:val="0"/>
                      <w:divBdr>
                        <w:top w:val="none" w:sz="0" w:space="0" w:color="auto"/>
                        <w:left w:val="none" w:sz="0" w:space="0" w:color="auto"/>
                        <w:bottom w:val="none" w:sz="0" w:space="0" w:color="auto"/>
                        <w:right w:val="none" w:sz="0" w:space="0" w:color="auto"/>
                      </w:divBdr>
                    </w:div>
                  </w:divsChild>
                </w:div>
                <w:div w:id="1931236953">
                  <w:marLeft w:val="0"/>
                  <w:marRight w:val="0"/>
                  <w:marTop w:val="0"/>
                  <w:marBottom w:val="0"/>
                  <w:divBdr>
                    <w:top w:val="none" w:sz="0" w:space="0" w:color="auto"/>
                    <w:left w:val="none" w:sz="0" w:space="0" w:color="auto"/>
                    <w:bottom w:val="none" w:sz="0" w:space="0" w:color="auto"/>
                    <w:right w:val="none" w:sz="0" w:space="0" w:color="auto"/>
                  </w:divBdr>
                  <w:divsChild>
                    <w:div w:id="893929810">
                      <w:marLeft w:val="0"/>
                      <w:marRight w:val="0"/>
                      <w:marTop w:val="0"/>
                      <w:marBottom w:val="0"/>
                      <w:divBdr>
                        <w:top w:val="none" w:sz="0" w:space="0" w:color="auto"/>
                        <w:left w:val="none" w:sz="0" w:space="0" w:color="auto"/>
                        <w:bottom w:val="none" w:sz="0" w:space="0" w:color="auto"/>
                        <w:right w:val="none" w:sz="0" w:space="0" w:color="auto"/>
                      </w:divBdr>
                    </w:div>
                  </w:divsChild>
                </w:div>
                <w:div w:id="2060125262">
                  <w:marLeft w:val="0"/>
                  <w:marRight w:val="0"/>
                  <w:marTop w:val="0"/>
                  <w:marBottom w:val="0"/>
                  <w:divBdr>
                    <w:top w:val="none" w:sz="0" w:space="0" w:color="auto"/>
                    <w:left w:val="none" w:sz="0" w:space="0" w:color="auto"/>
                    <w:bottom w:val="none" w:sz="0" w:space="0" w:color="auto"/>
                    <w:right w:val="none" w:sz="0" w:space="0" w:color="auto"/>
                  </w:divBdr>
                  <w:divsChild>
                    <w:div w:id="1456481499">
                      <w:marLeft w:val="0"/>
                      <w:marRight w:val="0"/>
                      <w:marTop w:val="0"/>
                      <w:marBottom w:val="0"/>
                      <w:divBdr>
                        <w:top w:val="none" w:sz="0" w:space="0" w:color="auto"/>
                        <w:left w:val="none" w:sz="0" w:space="0" w:color="auto"/>
                        <w:bottom w:val="none" w:sz="0" w:space="0" w:color="auto"/>
                        <w:right w:val="none" w:sz="0" w:space="0" w:color="auto"/>
                      </w:divBdr>
                    </w:div>
                  </w:divsChild>
                </w:div>
                <w:div w:id="2139378026">
                  <w:marLeft w:val="0"/>
                  <w:marRight w:val="0"/>
                  <w:marTop w:val="0"/>
                  <w:marBottom w:val="0"/>
                  <w:divBdr>
                    <w:top w:val="none" w:sz="0" w:space="0" w:color="auto"/>
                    <w:left w:val="none" w:sz="0" w:space="0" w:color="auto"/>
                    <w:bottom w:val="none" w:sz="0" w:space="0" w:color="auto"/>
                    <w:right w:val="none" w:sz="0" w:space="0" w:color="auto"/>
                  </w:divBdr>
                  <w:divsChild>
                    <w:div w:id="1317027761">
                      <w:marLeft w:val="0"/>
                      <w:marRight w:val="0"/>
                      <w:marTop w:val="0"/>
                      <w:marBottom w:val="0"/>
                      <w:divBdr>
                        <w:top w:val="none" w:sz="0" w:space="0" w:color="auto"/>
                        <w:left w:val="none" w:sz="0" w:space="0" w:color="auto"/>
                        <w:bottom w:val="none" w:sz="0" w:space="0" w:color="auto"/>
                        <w:right w:val="none" w:sz="0" w:space="0" w:color="auto"/>
                      </w:divBdr>
                    </w:div>
                    <w:div w:id="146381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0093">
          <w:marLeft w:val="0"/>
          <w:marRight w:val="0"/>
          <w:marTop w:val="0"/>
          <w:marBottom w:val="0"/>
          <w:divBdr>
            <w:top w:val="none" w:sz="0" w:space="0" w:color="auto"/>
            <w:left w:val="none" w:sz="0" w:space="0" w:color="auto"/>
            <w:bottom w:val="none" w:sz="0" w:space="0" w:color="auto"/>
            <w:right w:val="none" w:sz="0" w:space="0" w:color="auto"/>
          </w:divBdr>
        </w:div>
        <w:div w:id="1365061458">
          <w:marLeft w:val="0"/>
          <w:marRight w:val="0"/>
          <w:marTop w:val="0"/>
          <w:marBottom w:val="0"/>
          <w:divBdr>
            <w:top w:val="none" w:sz="0" w:space="0" w:color="auto"/>
            <w:left w:val="none" w:sz="0" w:space="0" w:color="auto"/>
            <w:bottom w:val="none" w:sz="0" w:space="0" w:color="auto"/>
            <w:right w:val="none" w:sz="0" w:space="0" w:color="auto"/>
          </w:divBdr>
        </w:div>
        <w:div w:id="1447654383">
          <w:marLeft w:val="0"/>
          <w:marRight w:val="0"/>
          <w:marTop w:val="0"/>
          <w:marBottom w:val="0"/>
          <w:divBdr>
            <w:top w:val="none" w:sz="0" w:space="0" w:color="auto"/>
            <w:left w:val="none" w:sz="0" w:space="0" w:color="auto"/>
            <w:bottom w:val="none" w:sz="0" w:space="0" w:color="auto"/>
            <w:right w:val="none" w:sz="0" w:space="0" w:color="auto"/>
          </w:divBdr>
        </w:div>
        <w:div w:id="2100591930">
          <w:marLeft w:val="0"/>
          <w:marRight w:val="0"/>
          <w:marTop w:val="0"/>
          <w:marBottom w:val="0"/>
          <w:divBdr>
            <w:top w:val="none" w:sz="0" w:space="0" w:color="auto"/>
            <w:left w:val="none" w:sz="0" w:space="0" w:color="auto"/>
            <w:bottom w:val="none" w:sz="0" w:space="0" w:color="auto"/>
            <w:right w:val="none" w:sz="0" w:space="0" w:color="auto"/>
          </w:divBdr>
        </w:div>
      </w:divsChild>
    </w:div>
    <w:div w:id="1060326900">
      <w:bodyDiv w:val="1"/>
      <w:marLeft w:val="0"/>
      <w:marRight w:val="0"/>
      <w:marTop w:val="0"/>
      <w:marBottom w:val="0"/>
      <w:divBdr>
        <w:top w:val="none" w:sz="0" w:space="0" w:color="auto"/>
        <w:left w:val="none" w:sz="0" w:space="0" w:color="auto"/>
        <w:bottom w:val="none" w:sz="0" w:space="0" w:color="auto"/>
        <w:right w:val="none" w:sz="0" w:space="0" w:color="auto"/>
      </w:divBdr>
      <w:divsChild>
        <w:div w:id="144901189">
          <w:marLeft w:val="0"/>
          <w:marRight w:val="0"/>
          <w:marTop w:val="0"/>
          <w:marBottom w:val="0"/>
          <w:divBdr>
            <w:top w:val="none" w:sz="0" w:space="0" w:color="auto"/>
            <w:left w:val="none" w:sz="0" w:space="0" w:color="auto"/>
            <w:bottom w:val="none" w:sz="0" w:space="0" w:color="auto"/>
            <w:right w:val="none" w:sz="0" w:space="0" w:color="auto"/>
          </w:divBdr>
        </w:div>
        <w:div w:id="364596995">
          <w:marLeft w:val="0"/>
          <w:marRight w:val="0"/>
          <w:marTop w:val="0"/>
          <w:marBottom w:val="0"/>
          <w:divBdr>
            <w:top w:val="none" w:sz="0" w:space="0" w:color="auto"/>
            <w:left w:val="none" w:sz="0" w:space="0" w:color="auto"/>
            <w:bottom w:val="none" w:sz="0" w:space="0" w:color="auto"/>
            <w:right w:val="none" w:sz="0" w:space="0" w:color="auto"/>
          </w:divBdr>
        </w:div>
        <w:div w:id="396439099">
          <w:marLeft w:val="0"/>
          <w:marRight w:val="0"/>
          <w:marTop w:val="0"/>
          <w:marBottom w:val="0"/>
          <w:divBdr>
            <w:top w:val="none" w:sz="0" w:space="0" w:color="auto"/>
            <w:left w:val="none" w:sz="0" w:space="0" w:color="auto"/>
            <w:bottom w:val="none" w:sz="0" w:space="0" w:color="auto"/>
            <w:right w:val="none" w:sz="0" w:space="0" w:color="auto"/>
          </w:divBdr>
        </w:div>
        <w:div w:id="397022081">
          <w:marLeft w:val="0"/>
          <w:marRight w:val="0"/>
          <w:marTop w:val="0"/>
          <w:marBottom w:val="0"/>
          <w:divBdr>
            <w:top w:val="none" w:sz="0" w:space="0" w:color="auto"/>
            <w:left w:val="none" w:sz="0" w:space="0" w:color="auto"/>
            <w:bottom w:val="none" w:sz="0" w:space="0" w:color="auto"/>
            <w:right w:val="none" w:sz="0" w:space="0" w:color="auto"/>
          </w:divBdr>
        </w:div>
        <w:div w:id="421414559">
          <w:marLeft w:val="0"/>
          <w:marRight w:val="0"/>
          <w:marTop w:val="0"/>
          <w:marBottom w:val="0"/>
          <w:divBdr>
            <w:top w:val="none" w:sz="0" w:space="0" w:color="auto"/>
            <w:left w:val="none" w:sz="0" w:space="0" w:color="auto"/>
            <w:bottom w:val="none" w:sz="0" w:space="0" w:color="auto"/>
            <w:right w:val="none" w:sz="0" w:space="0" w:color="auto"/>
          </w:divBdr>
        </w:div>
        <w:div w:id="657806773">
          <w:marLeft w:val="0"/>
          <w:marRight w:val="0"/>
          <w:marTop w:val="0"/>
          <w:marBottom w:val="0"/>
          <w:divBdr>
            <w:top w:val="none" w:sz="0" w:space="0" w:color="auto"/>
            <w:left w:val="none" w:sz="0" w:space="0" w:color="auto"/>
            <w:bottom w:val="none" w:sz="0" w:space="0" w:color="auto"/>
            <w:right w:val="none" w:sz="0" w:space="0" w:color="auto"/>
          </w:divBdr>
        </w:div>
        <w:div w:id="817192850">
          <w:marLeft w:val="0"/>
          <w:marRight w:val="0"/>
          <w:marTop w:val="0"/>
          <w:marBottom w:val="0"/>
          <w:divBdr>
            <w:top w:val="none" w:sz="0" w:space="0" w:color="auto"/>
            <w:left w:val="none" w:sz="0" w:space="0" w:color="auto"/>
            <w:bottom w:val="none" w:sz="0" w:space="0" w:color="auto"/>
            <w:right w:val="none" w:sz="0" w:space="0" w:color="auto"/>
          </w:divBdr>
        </w:div>
        <w:div w:id="1109197276">
          <w:marLeft w:val="0"/>
          <w:marRight w:val="0"/>
          <w:marTop w:val="0"/>
          <w:marBottom w:val="0"/>
          <w:divBdr>
            <w:top w:val="none" w:sz="0" w:space="0" w:color="auto"/>
            <w:left w:val="none" w:sz="0" w:space="0" w:color="auto"/>
            <w:bottom w:val="none" w:sz="0" w:space="0" w:color="auto"/>
            <w:right w:val="none" w:sz="0" w:space="0" w:color="auto"/>
          </w:divBdr>
        </w:div>
        <w:div w:id="1159004458">
          <w:marLeft w:val="0"/>
          <w:marRight w:val="0"/>
          <w:marTop w:val="0"/>
          <w:marBottom w:val="0"/>
          <w:divBdr>
            <w:top w:val="none" w:sz="0" w:space="0" w:color="auto"/>
            <w:left w:val="none" w:sz="0" w:space="0" w:color="auto"/>
            <w:bottom w:val="none" w:sz="0" w:space="0" w:color="auto"/>
            <w:right w:val="none" w:sz="0" w:space="0" w:color="auto"/>
          </w:divBdr>
        </w:div>
        <w:div w:id="1269892560">
          <w:marLeft w:val="0"/>
          <w:marRight w:val="0"/>
          <w:marTop w:val="0"/>
          <w:marBottom w:val="0"/>
          <w:divBdr>
            <w:top w:val="none" w:sz="0" w:space="0" w:color="auto"/>
            <w:left w:val="none" w:sz="0" w:space="0" w:color="auto"/>
            <w:bottom w:val="none" w:sz="0" w:space="0" w:color="auto"/>
            <w:right w:val="none" w:sz="0" w:space="0" w:color="auto"/>
          </w:divBdr>
        </w:div>
        <w:div w:id="1308365106">
          <w:marLeft w:val="0"/>
          <w:marRight w:val="0"/>
          <w:marTop w:val="0"/>
          <w:marBottom w:val="0"/>
          <w:divBdr>
            <w:top w:val="none" w:sz="0" w:space="0" w:color="auto"/>
            <w:left w:val="none" w:sz="0" w:space="0" w:color="auto"/>
            <w:bottom w:val="none" w:sz="0" w:space="0" w:color="auto"/>
            <w:right w:val="none" w:sz="0" w:space="0" w:color="auto"/>
          </w:divBdr>
        </w:div>
        <w:div w:id="1783573611">
          <w:marLeft w:val="0"/>
          <w:marRight w:val="0"/>
          <w:marTop w:val="0"/>
          <w:marBottom w:val="0"/>
          <w:divBdr>
            <w:top w:val="none" w:sz="0" w:space="0" w:color="auto"/>
            <w:left w:val="none" w:sz="0" w:space="0" w:color="auto"/>
            <w:bottom w:val="none" w:sz="0" w:space="0" w:color="auto"/>
            <w:right w:val="none" w:sz="0" w:space="0" w:color="auto"/>
          </w:divBdr>
          <w:divsChild>
            <w:div w:id="1487430352">
              <w:marLeft w:val="-75"/>
              <w:marRight w:val="0"/>
              <w:marTop w:val="30"/>
              <w:marBottom w:val="30"/>
              <w:divBdr>
                <w:top w:val="none" w:sz="0" w:space="0" w:color="auto"/>
                <w:left w:val="none" w:sz="0" w:space="0" w:color="auto"/>
                <w:bottom w:val="none" w:sz="0" w:space="0" w:color="auto"/>
                <w:right w:val="none" w:sz="0" w:space="0" w:color="auto"/>
              </w:divBdr>
              <w:divsChild>
                <w:div w:id="104858585">
                  <w:marLeft w:val="0"/>
                  <w:marRight w:val="0"/>
                  <w:marTop w:val="0"/>
                  <w:marBottom w:val="0"/>
                  <w:divBdr>
                    <w:top w:val="none" w:sz="0" w:space="0" w:color="auto"/>
                    <w:left w:val="none" w:sz="0" w:space="0" w:color="auto"/>
                    <w:bottom w:val="none" w:sz="0" w:space="0" w:color="auto"/>
                    <w:right w:val="none" w:sz="0" w:space="0" w:color="auto"/>
                  </w:divBdr>
                  <w:divsChild>
                    <w:div w:id="1958217852">
                      <w:marLeft w:val="0"/>
                      <w:marRight w:val="0"/>
                      <w:marTop w:val="0"/>
                      <w:marBottom w:val="0"/>
                      <w:divBdr>
                        <w:top w:val="none" w:sz="0" w:space="0" w:color="auto"/>
                        <w:left w:val="none" w:sz="0" w:space="0" w:color="auto"/>
                        <w:bottom w:val="none" w:sz="0" w:space="0" w:color="auto"/>
                        <w:right w:val="none" w:sz="0" w:space="0" w:color="auto"/>
                      </w:divBdr>
                    </w:div>
                  </w:divsChild>
                </w:div>
                <w:div w:id="241138517">
                  <w:marLeft w:val="0"/>
                  <w:marRight w:val="0"/>
                  <w:marTop w:val="0"/>
                  <w:marBottom w:val="0"/>
                  <w:divBdr>
                    <w:top w:val="none" w:sz="0" w:space="0" w:color="auto"/>
                    <w:left w:val="none" w:sz="0" w:space="0" w:color="auto"/>
                    <w:bottom w:val="none" w:sz="0" w:space="0" w:color="auto"/>
                    <w:right w:val="none" w:sz="0" w:space="0" w:color="auto"/>
                  </w:divBdr>
                  <w:divsChild>
                    <w:div w:id="1176962199">
                      <w:marLeft w:val="0"/>
                      <w:marRight w:val="0"/>
                      <w:marTop w:val="0"/>
                      <w:marBottom w:val="0"/>
                      <w:divBdr>
                        <w:top w:val="none" w:sz="0" w:space="0" w:color="auto"/>
                        <w:left w:val="none" w:sz="0" w:space="0" w:color="auto"/>
                        <w:bottom w:val="none" w:sz="0" w:space="0" w:color="auto"/>
                        <w:right w:val="none" w:sz="0" w:space="0" w:color="auto"/>
                      </w:divBdr>
                    </w:div>
                  </w:divsChild>
                </w:div>
                <w:div w:id="303194912">
                  <w:marLeft w:val="0"/>
                  <w:marRight w:val="0"/>
                  <w:marTop w:val="0"/>
                  <w:marBottom w:val="0"/>
                  <w:divBdr>
                    <w:top w:val="none" w:sz="0" w:space="0" w:color="auto"/>
                    <w:left w:val="none" w:sz="0" w:space="0" w:color="auto"/>
                    <w:bottom w:val="none" w:sz="0" w:space="0" w:color="auto"/>
                    <w:right w:val="none" w:sz="0" w:space="0" w:color="auto"/>
                  </w:divBdr>
                  <w:divsChild>
                    <w:div w:id="654456089">
                      <w:marLeft w:val="0"/>
                      <w:marRight w:val="0"/>
                      <w:marTop w:val="0"/>
                      <w:marBottom w:val="0"/>
                      <w:divBdr>
                        <w:top w:val="none" w:sz="0" w:space="0" w:color="auto"/>
                        <w:left w:val="none" w:sz="0" w:space="0" w:color="auto"/>
                        <w:bottom w:val="none" w:sz="0" w:space="0" w:color="auto"/>
                        <w:right w:val="none" w:sz="0" w:space="0" w:color="auto"/>
                      </w:divBdr>
                    </w:div>
                  </w:divsChild>
                </w:div>
                <w:div w:id="382679422">
                  <w:marLeft w:val="0"/>
                  <w:marRight w:val="0"/>
                  <w:marTop w:val="0"/>
                  <w:marBottom w:val="0"/>
                  <w:divBdr>
                    <w:top w:val="none" w:sz="0" w:space="0" w:color="auto"/>
                    <w:left w:val="none" w:sz="0" w:space="0" w:color="auto"/>
                    <w:bottom w:val="none" w:sz="0" w:space="0" w:color="auto"/>
                    <w:right w:val="none" w:sz="0" w:space="0" w:color="auto"/>
                  </w:divBdr>
                  <w:divsChild>
                    <w:div w:id="1104770630">
                      <w:marLeft w:val="0"/>
                      <w:marRight w:val="0"/>
                      <w:marTop w:val="0"/>
                      <w:marBottom w:val="0"/>
                      <w:divBdr>
                        <w:top w:val="none" w:sz="0" w:space="0" w:color="auto"/>
                        <w:left w:val="none" w:sz="0" w:space="0" w:color="auto"/>
                        <w:bottom w:val="none" w:sz="0" w:space="0" w:color="auto"/>
                        <w:right w:val="none" w:sz="0" w:space="0" w:color="auto"/>
                      </w:divBdr>
                    </w:div>
                  </w:divsChild>
                </w:div>
                <w:div w:id="476264252">
                  <w:marLeft w:val="0"/>
                  <w:marRight w:val="0"/>
                  <w:marTop w:val="0"/>
                  <w:marBottom w:val="0"/>
                  <w:divBdr>
                    <w:top w:val="none" w:sz="0" w:space="0" w:color="auto"/>
                    <w:left w:val="none" w:sz="0" w:space="0" w:color="auto"/>
                    <w:bottom w:val="none" w:sz="0" w:space="0" w:color="auto"/>
                    <w:right w:val="none" w:sz="0" w:space="0" w:color="auto"/>
                  </w:divBdr>
                  <w:divsChild>
                    <w:div w:id="77797071">
                      <w:marLeft w:val="0"/>
                      <w:marRight w:val="0"/>
                      <w:marTop w:val="0"/>
                      <w:marBottom w:val="0"/>
                      <w:divBdr>
                        <w:top w:val="none" w:sz="0" w:space="0" w:color="auto"/>
                        <w:left w:val="none" w:sz="0" w:space="0" w:color="auto"/>
                        <w:bottom w:val="none" w:sz="0" w:space="0" w:color="auto"/>
                        <w:right w:val="none" w:sz="0" w:space="0" w:color="auto"/>
                      </w:divBdr>
                    </w:div>
                  </w:divsChild>
                </w:div>
                <w:div w:id="509442909">
                  <w:marLeft w:val="0"/>
                  <w:marRight w:val="0"/>
                  <w:marTop w:val="0"/>
                  <w:marBottom w:val="0"/>
                  <w:divBdr>
                    <w:top w:val="none" w:sz="0" w:space="0" w:color="auto"/>
                    <w:left w:val="none" w:sz="0" w:space="0" w:color="auto"/>
                    <w:bottom w:val="none" w:sz="0" w:space="0" w:color="auto"/>
                    <w:right w:val="none" w:sz="0" w:space="0" w:color="auto"/>
                  </w:divBdr>
                  <w:divsChild>
                    <w:div w:id="285282229">
                      <w:marLeft w:val="0"/>
                      <w:marRight w:val="0"/>
                      <w:marTop w:val="0"/>
                      <w:marBottom w:val="0"/>
                      <w:divBdr>
                        <w:top w:val="none" w:sz="0" w:space="0" w:color="auto"/>
                        <w:left w:val="none" w:sz="0" w:space="0" w:color="auto"/>
                        <w:bottom w:val="none" w:sz="0" w:space="0" w:color="auto"/>
                        <w:right w:val="none" w:sz="0" w:space="0" w:color="auto"/>
                      </w:divBdr>
                    </w:div>
                    <w:div w:id="1331131433">
                      <w:marLeft w:val="0"/>
                      <w:marRight w:val="0"/>
                      <w:marTop w:val="0"/>
                      <w:marBottom w:val="0"/>
                      <w:divBdr>
                        <w:top w:val="none" w:sz="0" w:space="0" w:color="auto"/>
                        <w:left w:val="none" w:sz="0" w:space="0" w:color="auto"/>
                        <w:bottom w:val="none" w:sz="0" w:space="0" w:color="auto"/>
                        <w:right w:val="none" w:sz="0" w:space="0" w:color="auto"/>
                      </w:divBdr>
                    </w:div>
                    <w:div w:id="1808937581">
                      <w:marLeft w:val="0"/>
                      <w:marRight w:val="0"/>
                      <w:marTop w:val="0"/>
                      <w:marBottom w:val="0"/>
                      <w:divBdr>
                        <w:top w:val="none" w:sz="0" w:space="0" w:color="auto"/>
                        <w:left w:val="none" w:sz="0" w:space="0" w:color="auto"/>
                        <w:bottom w:val="none" w:sz="0" w:space="0" w:color="auto"/>
                        <w:right w:val="none" w:sz="0" w:space="0" w:color="auto"/>
                      </w:divBdr>
                    </w:div>
                  </w:divsChild>
                </w:div>
                <w:div w:id="540441124">
                  <w:marLeft w:val="0"/>
                  <w:marRight w:val="0"/>
                  <w:marTop w:val="0"/>
                  <w:marBottom w:val="0"/>
                  <w:divBdr>
                    <w:top w:val="none" w:sz="0" w:space="0" w:color="auto"/>
                    <w:left w:val="none" w:sz="0" w:space="0" w:color="auto"/>
                    <w:bottom w:val="none" w:sz="0" w:space="0" w:color="auto"/>
                    <w:right w:val="none" w:sz="0" w:space="0" w:color="auto"/>
                  </w:divBdr>
                  <w:divsChild>
                    <w:div w:id="1018265486">
                      <w:marLeft w:val="0"/>
                      <w:marRight w:val="0"/>
                      <w:marTop w:val="0"/>
                      <w:marBottom w:val="0"/>
                      <w:divBdr>
                        <w:top w:val="none" w:sz="0" w:space="0" w:color="auto"/>
                        <w:left w:val="none" w:sz="0" w:space="0" w:color="auto"/>
                        <w:bottom w:val="none" w:sz="0" w:space="0" w:color="auto"/>
                        <w:right w:val="none" w:sz="0" w:space="0" w:color="auto"/>
                      </w:divBdr>
                    </w:div>
                  </w:divsChild>
                </w:div>
                <w:div w:id="572201426">
                  <w:marLeft w:val="0"/>
                  <w:marRight w:val="0"/>
                  <w:marTop w:val="0"/>
                  <w:marBottom w:val="0"/>
                  <w:divBdr>
                    <w:top w:val="none" w:sz="0" w:space="0" w:color="auto"/>
                    <w:left w:val="none" w:sz="0" w:space="0" w:color="auto"/>
                    <w:bottom w:val="none" w:sz="0" w:space="0" w:color="auto"/>
                    <w:right w:val="none" w:sz="0" w:space="0" w:color="auto"/>
                  </w:divBdr>
                  <w:divsChild>
                    <w:div w:id="1438212559">
                      <w:marLeft w:val="0"/>
                      <w:marRight w:val="0"/>
                      <w:marTop w:val="0"/>
                      <w:marBottom w:val="0"/>
                      <w:divBdr>
                        <w:top w:val="none" w:sz="0" w:space="0" w:color="auto"/>
                        <w:left w:val="none" w:sz="0" w:space="0" w:color="auto"/>
                        <w:bottom w:val="none" w:sz="0" w:space="0" w:color="auto"/>
                        <w:right w:val="none" w:sz="0" w:space="0" w:color="auto"/>
                      </w:divBdr>
                    </w:div>
                    <w:div w:id="1523474556">
                      <w:marLeft w:val="0"/>
                      <w:marRight w:val="0"/>
                      <w:marTop w:val="0"/>
                      <w:marBottom w:val="0"/>
                      <w:divBdr>
                        <w:top w:val="none" w:sz="0" w:space="0" w:color="auto"/>
                        <w:left w:val="none" w:sz="0" w:space="0" w:color="auto"/>
                        <w:bottom w:val="none" w:sz="0" w:space="0" w:color="auto"/>
                        <w:right w:val="none" w:sz="0" w:space="0" w:color="auto"/>
                      </w:divBdr>
                    </w:div>
                    <w:div w:id="1969161532">
                      <w:marLeft w:val="0"/>
                      <w:marRight w:val="0"/>
                      <w:marTop w:val="0"/>
                      <w:marBottom w:val="0"/>
                      <w:divBdr>
                        <w:top w:val="none" w:sz="0" w:space="0" w:color="auto"/>
                        <w:left w:val="none" w:sz="0" w:space="0" w:color="auto"/>
                        <w:bottom w:val="none" w:sz="0" w:space="0" w:color="auto"/>
                        <w:right w:val="none" w:sz="0" w:space="0" w:color="auto"/>
                      </w:divBdr>
                    </w:div>
                  </w:divsChild>
                </w:div>
                <w:div w:id="823591265">
                  <w:marLeft w:val="0"/>
                  <w:marRight w:val="0"/>
                  <w:marTop w:val="0"/>
                  <w:marBottom w:val="0"/>
                  <w:divBdr>
                    <w:top w:val="none" w:sz="0" w:space="0" w:color="auto"/>
                    <w:left w:val="none" w:sz="0" w:space="0" w:color="auto"/>
                    <w:bottom w:val="none" w:sz="0" w:space="0" w:color="auto"/>
                    <w:right w:val="none" w:sz="0" w:space="0" w:color="auto"/>
                  </w:divBdr>
                  <w:divsChild>
                    <w:div w:id="794372183">
                      <w:marLeft w:val="0"/>
                      <w:marRight w:val="0"/>
                      <w:marTop w:val="0"/>
                      <w:marBottom w:val="0"/>
                      <w:divBdr>
                        <w:top w:val="none" w:sz="0" w:space="0" w:color="auto"/>
                        <w:left w:val="none" w:sz="0" w:space="0" w:color="auto"/>
                        <w:bottom w:val="none" w:sz="0" w:space="0" w:color="auto"/>
                        <w:right w:val="none" w:sz="0" w:space="0" w:color="auto"/>
                      </w:divBdr>
                    </w:div>
                    <w:div w:id="819232288">
                      <w:marLeft w:val="0"/>
                      <w:marRight w:val="0"/>
                      <w:marTop w:val="0"/>
                      <w:marBottom w:val="0"/>
                      <w:divBdr>
                        <w:top w:val="none" w:sz="0" w:space="0" w:color="auto"/>
                        <w:left w:val="none" w:sz="0" w:space="0" w:color="auto"/>
                        <w:bottom w:val="none" w:sz="0" w:space="0" w:color="auto"/>
                        <w:right w:val="none" w:sz="0" w:space="0" w:color="auto"/>
                      </w:divBdr>
                    </w:div>
                  </w:divsChild>
                </w:div>
                <w:div w:id="920718612">
                  <w:marLeft w:val="0"/>
                  <w:marRight w:val="0"/>
                  <w:marTop w:val="0"/>
                  <w:marBottom w:val="0"/>
                  <w:divBdr>
                    <w:top w:val="none" w:sz="0" w:space="0" w:color="auto"/>
                    <w:left w:val="none" w:sz="0" w:space="0" w:color="auto"/>
                    <w:bottom w:val="none" w:sz="0" w:space="0" w:color="auto"/>
                    <w:right w:val="none" w:sz="0" w:space="0" w:color="auto"/>
                  </w:divBdr>
                  <w:divsChild>
                    <w:div w:id="322050211">
                      <w:marLeft w:val="0"/>
                      <w:marRight w:val="0"/>
                      <w:marTop w:val="0"/>
                      <w:marBottom w:val="0"/>
                      <w:divBdr>
                        <w:top w:val="none" w:sz="0" w:space="0" w:color="auto"/>
                        <w:left w:val="none" w:sz="0" w:space="0" w:color="auto"/>
                        <w:bottom w:val="none" w:sz="0" w:space="0" w:color="auto"/>
                        <w:right w:val="none" w:sz="0" w:space="0" w:color="auto"/>
                      </w:divBdr>
                    </w:div>
                  </w:divsChild>
                </w:div>
                <w:div w:id="1053967837">
                  <w:marLeft w:val="0"/>
                  <w:marRight w:val="0"/>
                  <w:marTop w:val="0"/>
                  <w:marBottom w:val="0"/>
                  <w:divBdr>
                    <w:top w:val="none" w:sz="0" w:space="0" w:color="auto"/>
                    <w:left w:val="none" w:sz="0" w:space="0" w:color="auto"/>
                    <w:bottom w:val="none" w:sz="0" w:space="0" w:color="auto"/>
                    <w:right w:val="none" w:sz="0" w:space="0" w:color="auto"/>
                  </w:divBdr>
                  <w:divsChild>
                    <w:div w:id="703868559">
                      <w:marLeft w:val="0"/>
                      <w:marRight w:val="0"/>
                      <w:marTop w:val="0"/>
                      <w:marBottom w:val="0"/>
                      <w:divBdr>
                        <w:top w:val="none" w:sz="0" w:space="0" w:color="auto"/>
                        <w:left w:val="none" w:sz="0" w:space="0" w:color="auto"/>
                        <w:bottom w:val="none" w:sz="0" w:space="0" w:color="auto"/>
                        <w:right w:val="none" w:sz="0" w:space="0" w:color="auto"/>
                      </w:divBdr>
                    </w:div>
                  </w:divsChild>
                </w:div>
                <w:div w:id="1113554044">
                  <w:marLeft w:val="0"/>
                  <w:marRight w:val="0"/>
                  <w:marTop w:val="0"/>
                  <w:marBottom w:val="0"/>
                  <w:divBdr>
                    <w:top w:val="none" w:sz="0" w:space="0" w:color="auto"/>
                    <w:left w:val="none" w:sz="0" w:space="0" w:color="auto"/>
                    <w:bottom w:val="none" w:sz="0" w:space="0" w:color="auto"/>
                    <w:right w:val="none" w:sz="0" w:space="0" w:color="auto"/>
                  </w:divBdr>
                  <w:divsChild>
                    <w:div w:id="1830905451">
                      <w:marLeft w:val="0"/>
                      <w:marRight w:val="0"/>
                      <w:marTop w:val="0"/>
                      <w:marBottom w:val="0"/>
                      <w:divBdr>
                        <w:top w:val="none" w:sz="0" w:space="0" w:color="auto"/>
                        <w:left w:val="none" w:sz="0" w:space="0" w:color="auto"/>
                        <w:bottom w:val="none" w:sz="0" w:space="0" w:color="auto"/>
                        <w:right w:val="none" w:sz="0" w:space="0" w:color="auto"/>
                      </w:divBdr>
                    </w:div>
                  </w:divsChild>
                </w:div>
                <w:div w:id="1872375728">
                  <w:marLeft w:val="0"/>
                  <w:marRight w:val="0"/>
                  <w:marTop w:val="0"/>
                  <w:marBottom w:val="0"/>
                  <w:divBdr>
                    <w:top w:val="none" w:sz="0" w:space="0" w:color="auto"/>
                    <w:left w:val="none" w:sz="0" w:space="0" w:color="auto"/>
                    <w:bottom w:val="none" w:sz="0" w:space="0" w:color="auto"/>
                    <w:right w:val="none" w:sz="0" w:space="0" w:color="auto"/>
                  </w:divBdr>
                  <w:divsChild>
                    <w:div w:id="774246634">
                      <w:marLeft w:val="0"/>
                      <w:marRight w:val="0"/>
                      <w:marTop w:val="0"/>
                      <w:marBottom w:val="0"/>
                      <w:divBdr>
                        <w:top w:val="none" w:sz="0" w:space="0" w:color="auto"/>
                        <w:left w:val="none" w:sz="0" w:space="0" w:color="auto"/>
                        <w:bottom w:val="none" w:sz="0" w:space="0" w:color="auto"/>
                        <w:right w:val="none" w:sz="0" w:space="0" w:color="auto"/>
                      </w:divBdr>
                    </w:div>
                  </w:divsChild>
                </w:div>
                <w:div w:id="1970478949">
                  <w:marLeft w:val="0"/>
                  <w:marRight w:val="0"/>
                  <w:marTop w:val="0"/>
                  <w:marBottom w:val="0"/>
                  <w:divBdr>
                    <w:top w:val="none" w:sz="0" w:space="0" w:color="auto"/>
                    <w:left w:val="none" w:sz="0" w:space="0" w:color="auto"/>
                    <w:bottom w:val="none" w:sz="0" w:space="0" w:color="auto"/>
                    <w:right w:val="none" w:sz="0" w:space="0" w:color="auto"/>
                  </w:divBdr>
                  <w:divsChild>
                    <w:div w:id="868223914">
                      <w:marLeft w:val="0"/>
                      <w:marRight w:val="0"/>
                      <w:marTop w:val="0"/>
                      <w:marBottom w:val="0"/>
                      <w:divBdr>
                        <w:top w:val="none" w:sz="0" w:space="0" w:color="auto"/>
                        <w:left w:val="none" w:sz="0" w:space="0" w:color="auto"/>
                        <w:bottom w:val="none" w:sz="0" w:space="0" w:color="auto"/>
                        <w:right w:val="none" w:sz="0" w:space="0" w:color="auto"/>
                      </w:divBdr>
                    </w:div>
                  </w:divsChild>
                </w:div>
                <w:div w:id="2044860719">
                  <w:marLeft w:val="0"/>
                  <w:marRight w:val="0"/>
                  <w:marTop w:val="0"/>
                  <w:marBottom w:val="0"/>
                  <w:divBdr>
                    <w:top w:val="none" w:sz="0" w:space="0" w:color="auto"/>
                    <w:left w:val="none" w:sz="0" w:space="0" w:color="auto"/>
                    <w:bottom w:val="none" w:sz="0" w:space="0" w:color="auto"/>
                    <w:right w:val="none" w:sz="0" w:space="0" w:color="auto"/>
                  </w:divBdr>
                  <w:divsChild>
                    <w:div w:id="154888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410">
          <w:marLeft w:val="0"/>
          <w:marRight w:val="0"/>
          <w:marTop w:val="0"/>
          <w:marBottom w:val="0"/>
          <w:divBdr>
            <w:top w:val="none" w:sz="0" w:space="0" w:color="auto"/>
            <w:left w:val="none" w:sz="0" w:space="0" w:color="auto"/>
            <w:bottom w:val="none" w:sz="0" w:space="0" w:color="auto"/>
            <w:right w:val="none" w:sz="0" w:space="0" w:color="auto"/>
          </w:divBdr>
        </w:div>
        <w:div w:id="2038387598">
          <w:marLeft w:val="0"/>
          <w:marRight w:val="0"/>
          <w:marTop w:val="0"/>
          <w:marBottom w:val="0"/>
          <w:divBdr>
            <w:top w:val="none" w:sz="0" w:space="0" w:color="auto"/>
            <w:left w:val="none" w:sz="0" w:space="0" w:color="auto"/>
            <w:bottom w:val="none" w:sz="0" w:space="0" w:color="auto"/>
            <w:right w:val="none" w:sz="0" w:space="0" w:color="auto"/>
          </w:divBdr>
        </w:div>
      </w:divsChild>
    </w:div>
    <w:div w:id="1094983789">
      <w:bodyDiv w:val="1"/>
      <w:marLeft w:val="0"/>
      <w:marRight w:val="0"/>
      <w:marTop w:val="0"/>
      <w:marBottom w:val="0"/>
      <w:divBdr>
        <w:top w:val="none" w:sz="0" w:space="0" w:color="auto"/>
        <w:left w:val="none" w:sz="0" w:space="0" w:color="auto"/>
        <w:bottom w:val="none" w:sz="0" w:space="0" w:color="auto"/>
        <w:right w:val="none" w:sz="0" w:space="0" w:color="auto"/>
      </w:divBdr>
    </w:div>
    <w:div w:id="1095176279">
      <w:bodyDiv w:val="1"/>
      <w:marLeft w:val="0"/>
      <w:marRight w:val="0"/>
      <w:marTop w:val="0"/>
      <w:marBottom w:val="0"/>
      <w:divBdr>
        <w:top w:val="none" w:sz="0" w:space="0" w:color="auto"/>
        <w:left w:val="none" w:sz="0" w:space="0" w:color="auto"/>
        <w:bottom w:val="none" w:sz="0" w:space="0" w:color="auto"/>
        <w:right w:val="none" w:sz="0" w:space="0" w:color="auto"/>
      </w:divBdr>
    </w:div>
    <w:div w:id="1137181834">
      <w:bodyDiv w:val="1"/>
      <w:marLeft w:val="0"/>
      <w:marRight w:val="0"/>
      <w:marTop w:val="0"/>
      <w:marBottom w:val="0"/>
      <w:divBdr>
        <w:top w:val="none" w:sz="0" w:space="0" w:color="auto"/>
        <w:left w:val="none" w:sz="0" w:space="0" w:color="auto"/>
        <w:bottom w:val="none" w:sz="0" w:space="0" w:color="auto"/>
        <w:right w:val="none" w:sz="0" w:space="0" w:color="auto"/>
      </w:divBdr>
    </w:div>
    <w:div w:id="1151604406">
      <w:bodyDiv w:val="1"/>
      <w:marLeft w:val="0"/>
      <w:marRight w:val="0"/>
      <w:marTop w:val="0"/>
      <w:marBottom w:val="0"/>
      <w:divBdr>
        <w:top w:val="none" w:sz="0" w:space="0" w:color="auto"/>
        <w:left w:val="none" w:sz="0" w:space="0" w:color="auto"/>
        <w:bottom w:val="none" w:sz="0" w:space="0" w:color="auto"/>
        <w:right w:val="none" w:sz="0" w:space="0" w:color="auto"/>
      </w:divBdr>
    </w:div>
    <w:div w:id="1152605047">
      <w:bodyDiv w:val="1"/>
      <w:marLeft w:val="0"/>
      <w:marRight w:val="0"/>
      <w:marTop w:val="0"/>
      <w:marBottom w:val="0"/>
      <w:divBdr>
        <w:top w:val="none" w:sz="0" w:space="0" w:color="auto"/>
        <w:left w:val="none" w:sz="0" w:space="0" w:color="auto"/>
        <w:bottom w:val="none" w:sz="0" w:space="0" w:color="auto"/>
        <w:right w:val="none" w:sz="0" w:space="0" w:color="auto"/>
      </w:divBdr>
    </w:div>
    <w:div w:id="1159469311">
      <w:bodyDiv w:val="1"/>
      <w:marLeft w:val="0"/>
      <w:marRight w:val="0"/>
      <w:marTop w:val="0"/>
      <w:marBottom w:val="0"/>
      <w:divBdr>
        <w:top w:val="none" w:sz="0" w:space="0" w:color="auto"/>
        <w:left w:val="none" w:sz="0" w:space="0" w:color="auto"/>
        <w:bottom w:val="none" w:sz="0" w:space="0" w:color="auto"/>
        <w:right w:val="none" w:sz="0" w:space="0" w:color="auto"/>
      </w:divBdr>
      <w:divsChild>
        <w:div w:id="92628788">
          <w:marLeft w:val="0"/>
          <w:marRight w:val="0"/>
          <w:marTop w:val="0"/>
          <w:marBottom w:val="0"/>
          <w:divBdr>
            <w:top w:val="none" w:sz="0" w:space="0" w:color="auto"/>
            <w:left w:val="none" w:sz="0" w:space="0" w:color="auto"/>
            <w:bottom w:val="none" w:sz="0" w:space="0" w:color="auto"/>
            <w:right w:val="none" w:sz="0" w:space="0" w:color="auto"/>
          </w:divBdr>
          <w:divsChild>
            <w:div w:id="184903520">
              <w:marLeft w:val="-75"/>
              <w:marRight w:val="0"/>
              <w:marTop w:val="30"/>
              <w:marBottom w:val="30"/>
              <w:divBdr>
                <w:top w:val="none" w:sz="0" w:space="0" w:color="auto"/>
                <w:left w:val="none" w:sz="0" w:space="0" w:color="auto"/>
                <w:bottom w:val="none" w:sz="0" w:space="0" w:color="auto"/>
                <w:right w:val="none" w:sz="0" w:space="0" w:color="auto"/>
              </w:divBdr>
              <w:divsChild>
                <w:div w:id="159082784">
                  <w:marLeft w:val="0"/>
                  <w:marRight w:val="0"/>
                  <w:marTop w:val="0"/>
                  <w:marBottom w:val="0"/>
                  <w:divBdr>
                    <w:top w:val="none" w:sz="0" w:space="0" w:color="auto"/>
                    <w:left w:val="none" w:sz="0" w:space="0" w:color="auto"/>
                    <w:bottom w:val="none" w:sz="0" w:space="0" w:color="auto"/>
                    <w:right w:val="none" w:sz="0" w:space="0" w:color="auto"/>
                  </w:divBdr>
                  <w:divsChild>
                    <w:div w:id="2046057031">
                      <w:marLeft w:val="0"/>
                      <w:marRight w:val="0"/>
                      <w:marTop w:val="0"/>
                      <w:marBottom w:val="0"/>
                      <w:divBdr>
                        <w:top w:val="none" w:sz="0" w:space="0" w:color="auto"/>
                        <w:left w:val="none" w:sz="0" w:space="0" w:color="auto"/>
                        <w:bottom w:val="none" w:sz="0" w:space="0" w:color="auto"/>
                        <w:right w:val="none" w:sz="0" w:space="0" w:color="auto"/>
                      </w:divBdr>
                    </w:div>
                  </w:divsChild>
                </w:div>
                <w:div w:id="324403283">
                  <w:marLeft w:val="0"/>
                  <w:marRight w:val="0"/>
                  <w:marTop w:val="0"/>
                  <w:marBottom w:val="0"/>
                  <w:divBdr>
                    <w:top w:val="none" w:sz="0" w:space="0" w:color="auto"/>
                    <w:left w:val="none" w:sz="0" w:space="0" w:color="auto"/>
                    <w:bottom w:val="none" w:sz="0" w:space="0" w:color="auto"/>
                    <w:right w:val="none" w:sz="0" w:space="0" w:color="auto"/>
                  </w:divBdr>
                  <w:divsChild>
                    <w:div w:id="1945989168">
                      <w:marLeft w:val="0"/>
                      <w:marRight w:val="0"/>
                      <w:marTop w:val="0"/>
                      <w:marBottom w:val="0"/>
                      <w:divBdr>
                        <w:top w:val="none" w:sz="0" w:space="0" w:color="auto"/>
                        <w:left w:val="none" w:sz="0" w:space="0" w:color="auto"/>
                        <w:bottom w:val="none" w:sz="0" w:space="0" w:color="auto"/>
                        <w:right w:val="none" w:sz="0" w:space="0" w:color="auto"/>
                      </w:divBdr>
                    </w:div>
                  </w:divsChild>
                </w:div>
                <w:div w:id="362824173">
                  <w:marLeft w:val="0"/>
                  <w:marRight w:val="0"/>
                  <w:marTop w:val="0"/>
                  <w:marBottom w:val="0"/>
                  <w:divBdr>
                    <w:top w:val="none" w:sz="0" w:space="0" w:color="auto"/>
                    <w:left w:val="none" w:sz="0" w:space="0" w:color="auto"/>
                    <w:bottom w:val="none" w:sz="0" w:space="0" w:color="auto"/>
                    <w:right w:val="none" w:sz="0" w:space="0" w:color="auto"/>
                  </w:divBdr>
                  <w:divsChild>
                    <w:div w:id="525288817">
                      <w:marLeft w:val="0"/>
                      <w:marRight w:val="0"/>
                      <w:marTop w:val="0"/>
                      <w:marBottom w:val="0"/>
                      <w:divBdr>
                        <w:top w:val="none" w:sz="0" w:space="0" w:color="auto"/>
                        <w:left w:val="none" w:sz="0" w:space="0" w:color="auto"/>
                        <w:bottom w:val="none" w:sz="0" w:space="0" w:color="auto"/>
                        <w:right w:val="none" w:sz="0" w:space="0" w:color="auto"/>
                      </w:divBdr>
                    </w:div>
                  </w:divsChild>
                </w:div>
                <w:div w:id="406346978">
                  <w:marLeft w:val="0"/>
                  <w:marRight w:val="0"/>
                  <w:marTop w:val="0"/>
                  <w:marBottom w:val="0"/>
                  <w:divBdr>
                    <w:top w:val="none" w:sz="0" w:space="0" w:color="auto"/>
                    <w:left w:val="none" w:sz="0" w:space="0" w:color="auto"/>
                    <w:bottom w:val="none" w:sz="0" w:space="0" w:color="auto"/>
                    <w:right w:val="none" w:sz="0" w:space="0" w:color="auto"/>
                  </w:divBdr>
                  <w:divsChild>
                    <w:div w:id="1125612086">
                      <w:marLeft w:val="0"/>
                      <w:marRight w:val="0"/>
                      <w:marTop w:val="0"/>
                      <w:marBottom w:val="0"/>
                      <w:divBdr>
                        <w:top w:val="none" w:sz="0" w:space="0" w:color="auto"/>
                        <w:left w:val="none" w:sz="0" w:space="0" w:color="auto"/>
                        <w:bottom w:val="none" w:sz="0" w:space="0" w:color="auto"/>
                        <w:right w:val="none" w:sz="0" w:space="0" w:color="auto"/>
                      </w:divBdr>
                    </w:div>
                  </w:divsChild>
                </w:div>
                <w:div w:id="473985517">
                  <w:marLeft w:val="0"/>
                  <w:marRight w:val="0"/>
                  <w:marTop w:val="0"/>
                  <w:marBottom w:val="0"/>
                  <w:divBdr>
                    <w:top w:val="none" w:sz="0" w:space="0" w:color="auto"/>
                    <w:left w:val="none" w:sz="0" w:space="0" w:color="auto"/>
                    <w:bottom w:val="none" w:sz="0" w:space="0" w:color="auto"/>
                    <w:right w:val="none" w:sz="0" w:space="0" w:color="auto"/>
                  </w:divBdr>
                  <w:divsChild>
                    <w:div w:id="1403600444">
                      <w:marLeft w:val="0"/>
                      <w:marRight w:val="0"/>
                      <w:marTop w:val="0"/>
                      <w:marBottom w:val="0"/>
                      <w:divBdr>
                        <w:top w:val="none" w:sz="0" w:space="0" w:color="auto"/>
                        <w:left w:val="none" w:sz="0" w:space="0" w:color="auto"/>
                        <w:bottom w:val="none" w:sz="0" w:space="0" w:color="auto"/>
                        <w:right w:val="none" w:sz="0" w:space="0" w:color="auto"/>
                      </w:divBdr>
                    </w:div>
                  </w:divsChild>
                </w:div>
                <w:div w:id="538586254">
                  <w:marLeft w:val="0"/>
                  <w:marRight w:val="0"/>
                  <w:marTop w:val="0"/>
                  <w:marBottom w:val="0"/>
                  <w:divBdr>
                    <w:top w:val="none" w:sz="0" w:space="0" w:color="auto"/>
                    <w:left w:val="none" w:sz="0" w:space="0" w:color="auto"/>
                    <w:bottom w:val="none" w:sz="0" w:space="0" w:color="auto"/>
                    <w:right w:val="none" w:sz="0" w:space="0" w:color="auto"/>
                  </w:divBdr>
                  <w:divsChild>
                    <w:div w:id="2144036035">
                      <w:marLeft w:val="0"/>
                      <w:marRight w:val="0"/>
                      <w:marTop w:val="0"/>
                      <w:marBottom w:val="0"/>
                      <w:divBdr>
                        <w:top w:val="none" w:sz="0" w:space="0" w:color="auto"/>
                        <w:left w:val="none" w:sz="0" w:space="0" w:color="auto"/>
                        <w:bottom w:val="none" w:sz="0" w:space="0" w:color="auto"/>
                        <w:right w:val="none" w:sz="0" w:space="0" w:color="auto"/>
                      </w:divBdr>
                    </w:div>
                  </w:divsChild>
                </w:div>
                <w:div w:id="962074582">
                  <w:marLeft w:val="0"/>
                  <w:marRight w:val="0"/>
                  <w:marTop w:val="0"/>
                  <w:marBottom w:val="0"/>
                  <w:divBdr>
                    <w:top w:val="none" w:sz="0" w:space="0" w:color="auto"/>
                    <w:left w:val="none" w:sz="0" w:space="0" w:color="auto"/>
                    <w:bottom w:val="none" w:sz="0" w:space="0" w:color="auto"/>
                    <w:right w:val="none" w:sz="0" w:space="0" w:color="auto"/>
                  </w:divBdr>
                  <w:divsChild>
                    <w:div w:id="809444170">
                      <w:marLeft w:val="0"/>
                      <w:marRight w:val="0"/>
                      <w:marTop w:val="0"/>
                      <w:marBottom w:val="0"/>
                      <w:divBdr>
                        <w:top w:val="none" w:sz="0" w:space="0" w:color="auto"/>
                        <w:left w:val="none" w:sz="0" w:space="0" w:color="auto"/>
                        <w:bottom w:val="none" w:sz="0" w:space="0" w:color="auto"/>
                        <w:right w:val="none" w:sz="0" w:space="0" w:color="auto"/>
                      </w:divBdr>
                    </w:div>
                    <w:div w:id="1340084687">
                      <w:marLeft w:val="0"/>
                      <w:marRight w:val="0"/>
                      <w:marTop w:val="0"/>
                      <w:marBottom w:val="0"/>
                      <w:divBdr>
                        <w:top w:val="none" w:sz="0" w:space="0" w:color="auto"/>
                        <w:left w:val="none" w:sz="0" w:space="0" w:color="auto"/>
                        <w:bottom w:val="none" w:sz="0" w:space="0" w:color="auto"/>
                        <w:right w:val="none" w:sz="0" w:space="0" w:color="auto"/>
                      </w:divBdr>
                    </w:div>
                  </w:divsChild>
                </w:div>
                <w:div w:id="1032918000">
                  <w:marLeft w:val="0"/>
                  <w:marRight w:val="0"/>
                  <w:marTop w:val="0"/>
                  <w:marBottom w:val="0"/>
                  <w:divBdr>
                    <w:top w:val="none" w:sz="0" w:space="0" w:color="auto"/>
                    <w:left w:val="none" w:sz="0" w:space="0" w:color="auto"/>
                    <w:bottom w:val="none" w:sz="0" w:space="0" w:color="auto"/>
                    <w:right w:val="none" w:sz="0" w:space="0" w:color="auto"/>
                  </w:divBdr>
                  <w:divsChild>
                    <w:div w:id="1642883478">
                      <w:marLeft w:val="0"/>
                      <w:marRight w:val="0"/>
                      <w:marTop w:val="0"/>
                      <w:marBottom w:val="0"/>
                      <w:divBdr>
                        <w:top w:val="none" w:sz="0" w:space="0" w:color="auto"/>
                        <w:left w:val="none" w:sz="0" w:space="0" w:color="auto"/>
                        <w:bottom w:val="none" w:sz="0" w:space="0" w:color="auto"/>
                        <w:right w:val="none" w:sz="0" w:space="0" w:color="auto"/>
                      </w:divBdr>
                    </w:div>
                  </w:divsChild>
                </w:div>
                <w:div w:id="1082676733">
                  <w:marLeft w:val="0"/>
                  <w:marRight w:val="0"/>
                  <w:marTop w:val="0"/>
                  <w:marBottom w:val="0"/>
                  <w:divBdr>
                    <w:top w:val="none" w:sz="0" w:space="0" w:color="auto"/>
                    <w:left w:val="none" w:sz="0" w:space="0" w:color="auto"/>
                    <w:bottom w:val="none" w:sz="0" w:space="0" w:color="auto"/>
                    <w:right w:val="none" w:sz="0" w:space="0" w:color="auto"/>
                  </w:divBdr>
                  <w:divsChild>
                    <w:div w:id="912354693">
                      <w:marLeft w:val="0"/>
                      <w:marRight w:val="0"/>
                      <w:marTop w:val="0"/>
                      <w:marBottom w:val="0"/>
                      <w:divBdr>
                        <w:top w:val="none" w:sz="0" w:space="0" w:color="auto"/>
                        <w:left w:val="none" w:sz="0" w:space="0" w:color="auto"/>
                        <w:bottom w:val="none" w:sz="0" w:space="0" w:color="auto"/>
                        <w:right w:val="none" w:sz="0" w:space="0" w:color="auto"/>
                      </w:divBdr>
                    </w:div>
                  </w:divsChild>
                </w:div>
                <w:div w:id="1170409154">
                  <w:marLeft w:val="0"/>
                  <w:marRight w:val="0"/>
                  <w:marTop w:val="0"/>
                  <w:marBottom w:val="0"/>
                  <w:divBdr>
                    <w:top w:val="none" w:sz="0" w:space="0" w:color="auto"/>
                    <w:left w:val="none" w:sz="0" w:space="0" w:color="auto"/>
                    <w:bottom w:val="none" w:sz="0" w:space="0" w:color="auto"/>
                    <w:right w:val="none" w:sz="0" w:space="0" w:color="auto"/>
                  </w:divBdr>
                  <w:divsChild>
                    <w:div w:id="26832679">
                      <w:marLeft w:val="0"/>
                      <w:marRight w:val="0"/>
                      <w:marTop w:val="0"/>
                      <w:marBottom w:val="0"/>
                      <w:divBdr>
                        <w:top w:val="none" w:sz="0" w:space="0" w:color="auto"/>
                        <w:left w:val="none" w:sz="0" w:space="0" w:color="auto"/>
                        <w:bottom w:val="none" w:sz="0" w:space="0" w:color="auto"/>
                        <w:right w:val="none" w:sz="0" w:space="0" w:color="auto"/>
                      </w:divBdr>
                    </w:div>
                  </w:divsChild>
                </w:div>
                <w:div w:id="1175917028">
                  <w:marLeft w:val="0"/>
                  <w:marRight w:val="0"/>
                  <w:marTop w:val="0"/>
                  <w:marBottom w:val="0"/>
                  <w:divBdr>
                    <w:top w:val="none" w:sz="0" w:space="0" w:color="auto"/>
                    <w:left w:val="none" w:sz="0" w:space="0" w:color="auto"/>
                    <w:bottom w:val="none" w:sz="0" w:space="0" w:color="auto"/>
                    <w:right w:val="none" w:sz="0" w:space="0" w:color="auto"/>
                  </w:divBdr>
                  <w:divsChild>
                    <w:div w:id="82000047">
                      <w:marLeft w:val="0"/>
                      <w:marRight w:val="0"/>
                      <w:marTop w:val="0"/>
                      <w:marBottom w:val="0"/>
                      <w:divBdr>
                        <w:top w:val="none" w:sz="0" w:space="0" w:color="auto"/>
                        <w:left w:val="none" w:sz="0" w:space="0" w:color="auto"/>
                        <w:bottom w:val="none" w:sz="0" w:space="0" w:color="auto"/>
                        <w:right w:val="none" w:sz="0" w:space="0" w:color="auto"/>
                      </w:divBdr>
                    </w:div>
                    <w:div w:id="568809351">
                      <w:marLeft w:val="0"/>
                      <w:marRight w:val="0"/>
                      <w:marTop w:val="0"/>
                      <w:marBottom w:val="0"/>
                      <w:divBdr>
                        <w:top w:val="none" w:sz="0" w:space="0" w:color="auto"/>
                        <w:left w:val="none" w:sz="0" w:space="0" w:color="auto"/>
                        <w:bottom w:val="none" w:sz="0" w:space="0" w:color="auto"/>
                        <w:right w:val="none" w:sz="0" w:space="0" w:color="auto"/>
                      </w:divBdr>
                    </w:div>
                    <w:div w:id="1710838938">
                      <w:marLeft w:val="0"/>
                      <w:marRight w:val="0"/>
                      <w:marTop w:val="0"/>
                      <w:marBottom w:val="0"/>
                      <w:divBdr>
                        <w:top w:val="none" w:sz="0" w:space="0" w:color="auto"/>
                        <w:left w:val="none" w:sz="0" w:space="0" w:color="auto"/>
                        <w:bottom w:val="none" w:sz="0" w:space="0" w:color="auto"/>
                        <w:right w:val="none" w:sz="0" w:space="0" w:color="auto"/>
                      </w:divBdr>
                    </w:div>
                  </w:divsChild>
                </w:div>
                <w:div w:id="1633057179">
                  <w:marLeft w:val="0"/>
                  <w:marRight w:val="0"/>
                  <w:marTop w:val="0"/>
                  <w:marBottom w:val="0"/>
                  <w:divBdr>
                    <w:top w:val="none" w:sz="0" w:space="0" w:color="auto"/>
                    <w:left w:val="none" w:sz="0" w:space="0" w:color="auto"/>
                    <w:bottom w:val="none" w:sz="0" w:space="0" w:color="auto"/>
                    <w:right w:val="none" w:sz="0" w:space="0" w:color="auto"/>
                  </w:divBdr>
                  <w:divsChild>
                    <w:div w:id="802964127">
                      <w:marLeft w:val="0"/>
                      <w:marRight w:val="0"/>
                      <w:marTop w:val="0"/>
                      <w:marBottom w:val="0"/>
                      <w:divBdr>
                        <w:top w:val="none" w:sz="0" w:space="0" w:color="auto"/>
                        <w:left w:val="none" w:sz="0" w:space="0" w:color="auto"/>
                        <w:bottom w:val="none" w:sz="0" w:space="0" w:color="auto"/>
                        <w:right w:val="none" w:sz="0" w:space="0" w:color="auto"/>
                      </w:divBdr>
                    </w:div>
                  </w:divsChild>
                </w:div>
                <w:div w:id="1647663302">
                  <w:marLeft w:val="0"/>
                  <w:marRight w:val="0"/>
                  <w:marTop w:val="0"/>
                  <w:marBottom w:val="0"/>
                  <w:divBdr>
                    <w:top w:val="none" w:sz="0" w:space="0" w:color="auto"/>
                    <w:left w:val="none" w:sz="0" w:space="0" w:color="auto"/>
                    <w:bottom w:val="none" w:sz="0" w:space="0" w:color="auto"/>
                    <w:right w:val="none" w:sz="0" w:space="0" w:color="auto"/>
                  </w:divBdr>
                  <w:divsChild>
                    <w:div w:id="1680961676">
                      <w:marLeft w:val="0"/>
                      <w:marRight w:val="0"/>
                      <w:marTop w:val="0"/>
                      <w:marBottom w:val="0"/>
                      <w:divBdr>
                        <w:top w:val="none" w:sz="0" w:space="0" w:color="auto"/>
                        <w:left w:val="none" w:sz="0" w:space="0" w:color="auto"/>
                        <w:bottom w:val="none" w:sz="0" w:space="0" w:color="auto"/>
                        <w:right w:val="none" w:sz="0" w:space="0" w:color="auto"/>
                      </w:divBdr>
                    </w:div>
                  </w:divsChild>
                </w:div>
                <w:div w:id="1821996696">
                  <w:marLeft w:val="0"/>
                  <w:marRight w:val="0"/>
                  <w:marTop w:val="0"/>
                  <w:marBottom w:val="0"/>
                  <w:divBdr>
                    <w:top w:val="none" w:sz="0" w:space="0" w:color="auto"/>
                    <w:left w:val="none" w:sz="0" w:space="0" w:color="auto"/>
                    <w:bottom w:val="none" w:sz="0" w:space="0" w:color="auto"/>
                    <w:right w:val="none" w:sz="0" w:space="0" w:color="auto"/>
                  </w:divBdr>
                  <w:divsChild>
                    <w:div w:id="1068264348">
                      <w:marLeft w:val="0"/>
                      <w:marRight w:val="0"/>
                      <w:marTop w:val="0"/>
                      <w:marBottom w:val="0"/>
                      <w:divBdr>
                        <w:top w:val="none" w:sz="0" w:space="0" w:color="auto"/>
                        <w:left w:val="none" w:sz="0" w:space="0" w:color="auto"/>
                        <w:bottom w:val="none" w:sz="0" w:space="0" w:color="auto"/>
                        <w:right w:val="none" w:sz="0" w:space="0" w:color="auto"/>
                      </w:divBdr>
                    </w:div>
                    <w:div w:id="1237009392">
                      <w:marLeft w:val="0"/>
                      <w:marRight w:val="0"/>
                      <w:marTop w:val="0"/>
                      <w:marBottom w:val="0"/>
                      <w:divBdr>
                        <w:top w:val="none" w:sz="0" w:space="0" w:color="auto"/>
                        <w:left w:val="none" w:sz="0" w:space="0" w:color="auto"/>
                        <w:bottom w:val="none" w:sz="0" w:space="0" w:color="auto"/>
                        <w:right w:val="none" w:sz="0" w:space="0" w:color="auto"/>
                      </w:divBdr>
                    </w:div>
                    <w:div w:id="1953587208">
                      <w:marLeft w:val="0"/>
                      <w:marRight w:val="0"/>
                      <w:marTop w:val="0"/>
                      <w:marBottom w:val="0"/>
                      <w:divBdr>
                        <w:top w:val="none" w:sz="0" w:space="0" w:color="auto"/>
                        <w:left w:val="none" w:sz="0" w:space="0" w:color="auto"/>
                        <w:bottom w:val="none" w:sz="0" w:space="0" w:color="auto"/>
                        <w:right w:val="none" w:sz="0" w:space="0" w:color="auto"/>
                      </w:divBdr>
                    </w:div>
                  </w:divsChild>
                </w:div>
                <w:div w:id="1998995127">
                  <w:marLeft w:val="0"/>
                  <w:marRight w:val="0"/>
                  <w:marTop w:val="0"/>
                  <w:marBottom w:val="0"/>
                  <w:divBdr>
                    <w:top w:val="none" w:sz="0" w:space="0" w:color="auto"/>
                    <w:left w:val="none" w:sz="0" w:space="0" w:color="auto"/>
                    <w:bottom w:val="none" w:sz="0" w:space="0" w:color="auto"/>
                    <w:right w:val="none" w:sz="0" w:space="0" w:color="auto"/>
                  </w:divBdr>
                  <w:divsChild>
                    <w:div w:id="102119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42536">
          <w:marLeft w:val="0"/>
          <w:marRight w:val="0"/>
          <w:marTop w:val="0"/>
          <w:marBottom w:val="0"/>
          <w:divBdr>
            <w:top w:val="none" w:sz="0" w:space="0" w:color="auto"/>
            <w:left w:val="none" w:sz="0" w:space="0" w:color="auto"/>
            <w:bottom w:val="none" w:sz="0" w:space="0" w:color="auto"/>
            <w:right w:val="none" w:sz="0" w:space="0" w:color="auto"/>
          </w:divBdr>
        </w:div>
        <w:div w:id="267735083">
          <w:marLeft w:val="0"/>
          <w:marRight w:val="0"/>
          <w:marTop w:val="0"/>
          <w:marBottom w:val="0"/>
          <w:divBdr>
            <w:top w:val="none" w:sz="0" w:space="0" w:color="auto"/>
            <w:left w:val="none" w:sz="0" w:space="0" w:color="auto"/>
            <w:bottom w:val="none" w:sz="0" w:space="0" w:color="auto"/>
            <w:right w:val="none" w:sz="0" w:space="0" w:color="auto"/>
          </w:divBdr>
        </w:div>
        <w:div w:id="445274310">
          <w:marLeft w:val="0"/>
          <w:marRight w:val="0"/>
          <w:marTop w:val="0"/>
          <w:marBottom w:val="0"/>
          <w:divBdr>
            <w:top w:val="none" w:sz="0" w:space="0" w:color="auto"/>
            <w:left w:val="none" w:sz="0" w:space="0" w:color="auto"/>
            <w:bottom w:val="none" w:sz="0" w:space="0" w:color="auto"/>
            <w:right w:val="none" w:sz="0" w:space="0" w:color="auto"/>
          </w:divBdr>
        </w:div>
        <w:div w:id="490675791">
          <w:marLeft w:val="0"/>
          <w:marRight w:val="0"/>
          <w:marTop w:val="0"/>
          <w:marBottom w:val="0"/>
          <w:divBdr>
            <w:top w:val="none" w:sz="0" w:space="0" w:color="auto"/>
            <w:left w:val="none" w:sz="0" w:space="0" w:color="auto"/>
            <w:bottom w:val="none" w:sz="0" w:space="0" w:color="auto"/>
            <w:right w:val="none" w:sz="0" w:space="0" w:color="auto"/>
          </w:divBdr>
        </w:div>
        <w:div w:id="500045344">
          <w:marLeft w:val="0"/>
          <w:marRight w:val="0"/>
          <w:marTop w:val="0"/>
          <w:marBottom w:val="0"/>
          <w:divBdr>
            <w:top w:val="none" w:sz="0" w:space="0" w:color="auto"/>
            <w:left w:val="none" w:sz="0" w:space="0" w:color="auto"/>
            <w:bottom w:val="none" w:sz="0" w:space="0" w:color="auto"/>
            <w:right w:val="none" w:sz="0" w:space="0" w:color="auto"/>
          </w:divBdr>
        </w:div>
        <w:div w:id="620918461">
          <w:marLeft w:val="0"/>
          <w:marRight w:val="0"/>
          <w:marTop w:val="0"/>
          <w:marBottom w:val="0"/>
          <w:divBdr>
            <w:top w:val="none" w:sz="0" w:space="0" w:color="auto"/>
            <w:left w:val="none" w:sz="0" w:space="0" w:color="auto"/>
            <w:bottom w:val="none" w:sz="0" w:space="0" w:color="auto"/>
            <w:right w:val="none" w:sz="0" w:space="0" w:color="auto"/>
          </w:divBdr>
        </w:div>
        <w:div w:id="1104883067">
          <w:marLeft w:val="0"/>
          <w:marRight w:val="0"/>
          <w:marTop w:val="0"/>
          <w:marBottom w:val="0"/>
          <w:divBdr>
            <w:top w:val="none" w:sz="0" w:space="0" w:color="auto"/>
            <w:left w:val="none" w:sz="0" w:space="0" w:color="auto"/>
            <w:bottom w:val="none" w:sz="0" w:space="0" w:color="auto"/>
            <w:right w:val="none" w:sz="0" w:space="0" w:color="auto"/>
          </w:divBdr>
        </w:div>
        <w:div w:id="1156259982">
          <w:marLeft w:val="0"/>
          <w:marRight w:val="0"/>
          <w:marTop w:val="0"/>
          <w:marBottom w:val="0"/>
          <w:divBdr>
            <w:top w:val="none" w:sz="0" w:space="0" w:color="auto"/>
            <w:left w:val="none" w:sz="0" w:space="0" w:color="auto"/>
            <w:bottom w:val="none" w:sz="0" w:space="0" w:color="auto"/>
            <w:right w:val="none" w:sz="0" w:space="0" w:color="auto"/>
          </w:divBdr>
        </w:div>
        <w:div w:id="1277255934">
          <w:marLeft w:val="0"/>
          <w:marRight w:val="0"/>
          <w:marTop w:val="0"/>
          <w:marBottom w:val="0"/>
          <w:divBdr>
            <w:top w:val="none" w:sz="0" w:space="0" w:color="auto"/>
            <w:left w:val="none" w:sz="0" w:space="0" w:color="auto"/>
            <w:bottom w:val="none" w:sz="0" w:space="0" w:color="auto"/>
            <w:right w:val="none" w:sz="0" w:space="0" w:color="auto"/>
          </w:divBdr>
        </w:div>
        <w:div w:id="1316374925">
          <w:marLeft w:val="0"/>
          <w:marRight w:val="0"/>
          <w:marTop w:val="0"/>
          <w:marBottom w:val="0"/>
          <w:divBdr>
            <w:top w:val="none" w:sz="0" w:space="0" w:color="auto"/>
            <w:left w:val="none" w:sz="0" w:space="0" w:color="auto"/>
            <w:bottom w:val="none" w:sz="0" w:space="0" w:color="auto"/>
            <w:right w:val="none" w:sz="0" w:space="0" w:color="auto"/>
          </w:divBdr>
        </w:div>
        <w:div w:id="1545630489">
          <w:marLeft w:val="0"/>
          <w:marRight w:val="0"/>
          <w:marTop w:val="0"/>
          <w:marBottom w:val="0"/>
          <w:divBdr>
            <w:top w:val="none" w:sz="0" w:space="0" w:color="auto"/>
            <w:left w:val="none" w:sz="0" w:space="0" w:color="auto"/>
            <w:bottom w:val="none" w:sz="0" w:space="0" w:color="auto"/>
            <w:right w:val="none" w:sz="0" w:space="0" w:color="auto"/>
          </w:divBdr>
        </w:div>
        <w:div w:id="1666544145">
          <w:marLeft w:val="0"/>
          <w:marRight w:val="0"/>
          <w:marTop w:val="0"/>
          <w:marBottom w:val="0"/>
          <w:divBdr>
            <w:top w:val="none" w:sz="0" w:space="0" w:color="auto"/>
            <w:left w:val="none" w:sz="0" w:space="0" w:color="auto"/>
            <w:bottom w:val="none" w:sz="0" w:space="0" w:color="auto"/>
            <w:right w:val="none" w:sz="0" w:space="0" w:color="auto"/>
          </w:divBdr>
        </w:div>
        <w:div w:id="1740712036">
          <w:marLeft w:val="0"/>
          <w:marRight w:val="0"/>
          <w:marTop w:val="0"/>
          <w:marBottom w:val="0"/>
          <w:divBdr>
            <w:top w:val="none" w:sz="0" w:space="0" w:color="auto"/>
            <w:left w:val="none" w:sz="0" w:space="0" w:color="auto"/>
            <w:bottom w:val="none" w:sz="0" w:space="0" w:color="auto"/>
            <w:right w:val="none" w:sz="0" w:space="0" w:color="auto"/>
          </w:divBdr>
        </w:div>
      </w:divsChild>
    </w:div>
    <w:div w:id="1166362527">
      <w:bodyDiv w:val="1"/>
      <w:marLeft w:val="0"/>
      <w:marRight w:val="0"/>
      <w:marTop w:val="0"/>
      <w:marBottom w:val="0"/>
      <w:divBdr>
        <w:top w:val="none" w:sz="0" w:space="0" w:color="auto"/>
        <w:left w:val="none" w:sz="0" w:space="0" w:color="auto"/>
        <w:bottom w:val="none" w:sz="0" w:space="0" w:color="auto"/>
        <w:right w:val="none" w:sz="0" w:space="0" w:color="auto"/>
      </w:divBdr>
      <w:divsChild>
        <w:div w:id="472479783">
          <w:marLeft w:val="0"/>
          <w:marRight w:val="0"/>
          <w:marTop w:val="0"/>
          <w:marBottom w:val="0"/>
          <w:divBdr>
            <w:top w:val="none" w:sz="0" w:space="0" w:color="auto"/>
            <w:left w:val="none" w:sz="0" w:space="0" w:color="auto"/>
            <w:bottom w:val="none" w:sz="0" w:space="0" w:color="auto"/>
            <w:right w:val="none" w:sz="0" w:space="0" w:color="auto"/>
          </w:divBdr>
        </w:div>
        <w:div w:id="560794621">
          <w:marLeft w:val="0"/>
          <w:marRight w:val="0"/>
          <w:marTop w:val="0"/>
          <w:marBottom w:val="0"/>
          <w:divBdr>
            <w:top w:val="none" w:sz="0" w:space="0" w:color="auto"/>
            <w:left w:val="none" w:sz="0" w:space="0" w:color="auto"/>
            <w:bottom w:val="none" w:sz="0" w:space="0" w:color="auto"/>
            <w:right w:val="none" w:sz="0" w:space="0" w:color="auto"/>
          </w:divBdr>
        </w:div>
        <w:div w:id="592863501">
          <w:marLeft w:val="0"/>
          <w:marRight w:val="0"/>
          <w:marTop w:val="0"/>
          <w:marBottom w:val="0"/>
          <w:divBdr>
            <w:top w:val="none" w:sz="0" w:space="0" w:color="auto"/>
            <w:left w:val="none" w:sz="0" w:space="0" w:color="auto"/>
            <w:bottom w:val="none" w:sz="0" w:space="0" w:color="auto"/>
            <w:right w:val="none" w:sz="0" w:space="0" w:color="auto"/>
          </w:divBdr>
          <w:divsChild>
            <w:div w:id="1661498247">
              <w:marLeft w:val="-75"/>
              <w:marRight w:val="0"/>
              <w:marTop w:val="30"/>
              <w:marBottom w:val="30"/>
              <w:divBdr>
                <w:top w:val="none" w:sz="0" w:space="0" w:color="auto"/>
                <w:left w:val="none" w:sz="0" w:space="0" w:color="auto"/>
                <w:bottom w:val="none" w:sz="0" w:space="0" w:color="auto"/>
                <w:right w:val="none" w:sz="0" w:space="0" w:color="auto"/>
              </w:divBdr>
              <w:divsChild>
                <w:div w:id="955481172">
                  <w:marLeft w:val="0"/>
                  <w:marRight w:val="0"/>
                  <w:marTop w:val="0"/>
                  <w:marBottom w:val="0"/>
                  <w:divBdr>
                    <w:top w:val="none" w:sz="0" w:space="0" w:color="auto"/>
                    <w:left w:val="none" w:sz="0" w:space="0" w:color="auto"/>
                    <w:bottom w:val="none" w:sz="0" w:space="0" w:color="auto"/>
                    <w:right w:val="none" w:sz="0" w:space="0" w:color="auto"/>
                  </w:divBdr>
                  <w:divsChild>
                    <w:div w:id="1383095617">
                      <w:marLeft w:val="0"/>
                      <w:marRight w:val="0"/>
                      <w:marTop w:val="0"/>
                      <w:marBottom w:val="0"/>
                      <w:divBdr>
                        <w:top w:val="none" w:sz="0" w:space="0" w:color="auto"/>
                        <w:left w:val="none" w:sz="0" w:space="0" w:color="auto"/>
                        <w:bottom w:val="none" w:sz="0" w:space="0" w:color="auto"/>
                        <w:right w:val="none" w:sz="0" w:space="0" w:color="auto"/>
                      </w:divBdr>
                    </w:div>
                  </w:divsChild>
                </w:div>
                <w:div w:id="1581986253">
                  <w:marLeft w:val="0"/>
                  <w:marRight w:val="0"/>
                  <w:marTop w:val="0"/>
                  <w:marBottom w:val="0"/>
                  <w:divBdr>
                    <w:top w:val="none" w:sz="0" w:space="0" w:color="auto"/>
                    <w:left w:val="none" w:sz="0" w:space="0" w:color="auto"/>
                    <w:bottom w:val="none" w:sz="0" w:space="0" w:color="auto"/>
                    <w:right w:val="none" w:sz="0" w:space="0" w:color="auto"/>
                  </w:divBdr>
                  <w:divsChild>
                    <w:div w:id="1312832665">
                      <w:marLeft w:val="0"/>
                      <w:marRight w:val="0"/>
                      <w:marTop w:val="0"/>
                      <w:marBottom w:val="0"/>
                      <w:divBdr>
                        <w:top w:val="none" w:sz="0" w:space="0" w:color="auto"/>
                        <w:left w:val="none" w:sz="0" w:space="0" w:color="auto"/>
                        <w:bottom w:val="none" w:sz="0" w:space="0" w:color="auto"/>
                        <w:right w:val="none" w:sz="0" w:space="0" w:color="auto"/>
                      </w:divBdr>
                    </w:div>
                    <w:div w:id="152254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4832">
          <w:marLeft w:val="0"/>
          <w:marRight w:val="0"/>
          <w:marTop w:val="0"/>
          <w:marBottom w:val="0"/>
          <w:divBdr>
            <w:top w:val="none" w:sz="0" w:space="0" w:color="auto"/>
            <w:left w:val="none" w:sz="0" w:space="0" w:color="auto"/>
            <w:bottom w:val="none" w:sz="0" w:space="0" w:color="auto"/>
            <w:right w:val="none" w:sz="0" w:space="0" w:color="auto"/>
          </w:divBdr>
        </w:div>
        <w:div w:id="630864344">
          <w:marLeft w:val="0"/>
          <w:marRight w:val="0"/>
          <w:marTop w:val="0"/>
          <w:marBottom w:val="0"/>
          <w:divBdr>
            <w:top w:val="none" w:sz="0" w:space="0" w:color="auto"/>
            <w:left w:val="none" w:sz="0" w:space="0" w:color="auto"/>
            <w:bottom w:val="none" w:sz="0" w:space="0" w:color="auto"/>
            <w:right w:val="none" w:sz="0" w:space="0" w:color="auto"/>
          </w:divBdr>
          <w:divsChild>
            <w:div w:id="1612854944">
              <w:marLeft w:val="-75"/>
              <w:marRight w:val="0"/>
              <w:marTop w:val="30"/>
              <w:marBottom w:val="30"/>
              <w:divBdr>
                <w:top w:val="none" w:sz="0" w:space="0" w:color="auto"/>
                <w:left w:val="none" w:sz="0" w:space="0" w:color="auto"/>
                <w:bottom w:val="none" w:sz="0" w:space="0" w:color="auto"/>
                <w:right w:val="none" w:sz="0" w:space="0" w:color="auto"/>
              </w:divBdr>
              <w:divsChild>
                <w:div w:id="299116676">
                  <w:marLeft w:val="0"/>
                  <w:marRight w:val="0"/>
                  <w:marTop w:val="0"/>
                  <w:marBottom w:val="0"/>
                  <w:divBdr>
                    <w:top w:val="none" w:sz="0" w:space="0" w:color="auto"/>
                    <w:left w:val="none" w:sz="0" w:space="0" w:color="auto"/>
                    <w:bottom w:val="none" w:sz="0" w:space="0" w:color="auto"/>
                    <w:right w:val="none" w:sz="0" w:space="0" w:color="auto"/>
                  </w:divBdr>
                  <w:divsChild>
                    <w:div w:id="624626706">
                      <w:marLeft w:val="0"/>
                      <w:marRight w:val="0"/>
                      <w:marTop w:val="0"/>
                      <w:marBottom w:val="0"/>
                      <w:divBdr>
                        <w:top w:val="none" w:sz="0" w:space="0" w:color="auto"/>
                        <w:left w:val="none" w:sz="0" w:space="0" w:color="auto"/>
                        <w:bottom w:val="none" w:sz="0" w:space="0" w:color="auto"/>
                        <w:right w:val="none" w:sz="0" w:space="0" w:color="auto"/>
                      </w:divBdr>
                    </w:div>
                  </w:divsChild>
                </w:div>
                <w:div w:id="648750172">
                  <w:marLeft w:val="0"/>
                  <w:marRight w:val="0"/>
                  <w:marTop w:val="0"/>
                  <w:marBottom w:val="0"/>
                  <w:divBdr>
                    <w:top w:val="none" w:sz="0" w:space="0" w:color="auto"/>
                    <w:left w:val="none" w:sz="0" w:space="0" w:color="auto"/>
                    <w:bottom w:val="none" w:sz="0" w:space="0" w:color="auto"/>
                    <w:right w:val="none" w:sz="0" w:space="0" w:color="auto"/>
                  </w:divBdr>
                  <w:divsChild>
                    <w:div w:id="14313048">
                      <w:marLeft w:val="0"/>
                      <w:marRight w:val="0"/>
                      <w:marTop w:val="0"/>
                      <w:marBottom w:val="0"/>
                      <w:divBdr>
                        <w:top w:val="none" w:sz="0" w:space="0" w:color="auto"/>
                        <w:left w:val="none" w:sz="0" w:space="0" w:color="auto"/>
                        <w:bottom w:val="none" w:sz="0" w:space="0" w:color="auto"/>
                        <w:right w:val="none" w:sz="0" w:space="0" w:color="auto"/>
                      </w:divBdr>
                    </w:div>
                    <w:div w:id="927688786">
                      <w:marLeft w:val="0"/>
                      <w:marRight w:val="0"/>
                      <w:marTop w:val="0"/>
                      <w:marBottom w:val="0"/>
                      <w:divBdr>
                        <w:top w:val="none" w:sz="0" w:space="0" w:color="auto"/>
                        <w:left w:val="none" w:sz="0" w:space="0" w:color="auto"/>
                        <w:bottom w:val="none" w:sz="0" w:space="0" w:color="auto"/>
                        <w:right w:val="none" w:sz="0" w:space="0" w:color="auto"/>
                      </w:divBdr>
                    </w:div>
                    <w:div w:id="1978223643">
                      <w:marLeft w:val="0"/>
                      <w:marRight w:val="0"/>
                      <w:marTop w:val="0"/>
                      <w:marBottom w:val="0"/>
                      <w:divBdr>
                        <w:top w:val="none" w:sz="0" w:space="0" w:color="auto"/>
                        <w:left w:val="none" w:sz="0" w:space="0" w:color="auto"/>
                        <w:bottom w:val="none" w:sz="0" w:space="0" w:color="auto"/>
                        <w:right w:val="none" w:sz="0" w:space="0" w:color="auto"/>
                      </w:divBdr>
                    </w:div>
                  </w:divsChild>
                </w:div>
                <w:div w:id="671178237">
                  <w:marLeft w:val="0"/>
                  <w:marRight w:val="0"/>
                  <w:marTop w:val="0"/>
                  <w:marBottom w:val="0"/>
                  <w:divBdr>
                    <w:top w:val="none" w:sz="0" w:space="0" w:color="auto"/>
                    <w:left w:val="none" w:sz="0" w:space="0" w:color="auto"/>
                    <w:bottom w:val="none" w:sz="0" w:space="0" w:color="auto"/>
                    <w:right w:val="none" w:sz="0" w:space="0" w:color="auto"/>
                  </w:divBdr>
                  <w:divsChild>
                    <w:div w:id="1611934297">
                      <w:marLeft w:val="0"/>
                      <w:marRight w:val="0"/>
                      <w:marTop w:val="0"/>
                      <w:marBottom w:val="0"/>
                      <w:divBdr>
                        <w:top w:val="none" w:sz="0" w:space="0" w:color="auto"/>
                        <w:left w:val="none" w:sz="0" w:space="0" w:color="auto"/>
                        <w:bottom w:val="none" w:sz="0" w:space="0" w:color="auto"/>
                        <w:right w:val="none" w:sz="0" w:space="0" w:color="auto"/>
                      </w:divBdr>
                    </w:div>
                  </w:divsChild>
                </w:div>
                <w:div w:id="991061395">
                  <w:marLeft w:val="0"/>
                  <w:marRight w:val="0"/>
                  <w:marTop w:val="0"/>
                  <w:marBottom w:val="0"/>
                  <w:divBdr>
                    <w:top w:val="none" w:sz="0" w:space="0" w:color="auto"/>
                    <w:left w:val="none" w:sz="0" w:space="0" w:color="auto"/>
                    <w:bottom w:val="none" w:sz="0" w:space="0" w:color="auto"/>
                    <w:right w:val="none" w:sz="0" w:space="0" w:color="auto"/>
                  </w:divBdr>
                  <w:divsChild>
                    <w:div w:id="1110079071">
                      <w:marLeft w:val="0"/>
                      <w:marRight w:val="0"/>
                      <w:marTop w:val="0"/>
                      <w:marBottom w:val="0"/>
                      <w:divBdr>
                        <w:top w:val="none" w:sz="0" w:space="0" w:color="auto"/>
                        <w:left w:val="none" w:sz="0" w:space="0" w:color="auto"/>
                        <w:bottom w:val="none" w:sz="0" w:space="0" w:color="auto"/>
                        <w:right w:val="none" w:sz="0" w:space="0" w:color="auto"/>
                      </w:divBdr>
                    </w:div>
                  </w:divsChild>
                </w:div>
                <w:div w:id="1268348731">
                  <w:marLeft w:val="0"/>
                  <w:marRight w:val="0"/>
                  <w:marTop w:val="0"/>
                  <w:marBottom w:val="0"/>
                  <w:divBdr>
                    <w:top w:val="none" w:sz="0" w:space="0" w:color="auto"/>
                    <w:left w:val="none" w:sz="0" w:space="0" w:color="auto"/>
                    <w:bottom w:val="none" w:sz="0" w:space="0" w:color="auto"/>
                    <w:right w:val="none" w:sz="0" w:space="0" w:color="auto"/>
                  </w:divBdr>
                  <w:divsChild>
                    <w:div w:id="279801452">
                      <w:marLeft w:val="0"/>
                      <w:marRight w:val="0"/>
                      <w:marTop w:val="0"/>
                      <w:marBottom w:val="0"/>
                      <w:divBdr>
                        <w:top w:val="none" w:sz="0" w:space="0" w:color="auto"/>
                        <w:left w:val="none" w:sz="0" w:space="0" w:color="auto"/>
                        <w:bottom w:val="none" w:sz="0" w:space="0" w:color="auto"/>
                        <w:right w:val="none" w:sz="0" w:space="0" w:color="auto"/>
                      </w:divBdr>
                    </w:div>
                    <w:div w:id="342589092">
                      <w:marLeft w:val="0"/>
                      <w:marRight w:val="0"/>
                      <w:marTop w:val="0"/>
                      <w:marBottom w:val="0"/>
                      <w:divBdr>
                        <w:top w:val="none" w:sz="0" w:space="0" w:color="auto"/>
                        <w:left w:val="none" w:sz="0" w:space="0" w:color="auto"/>
                        <w:bottom w:val="none" w:sz="0" w:space="0" w:color="auto"/>
                        <w:right w:val="none" w:sz="0" w:space="0" w:color="auto"/>
                      </w:divBdr>
                    </w:div>
                    <w:div w:id="1531146300">
                      <w:marLeft w:val="0"/>
                      <w:marRight w:val="0"/>
                      <w:marTop w:val="0"/>
                      <w:marBottom w:val="0"/>
                      <w:divBdr>
                        <w:top w:val="none" w:sz="0" w:space="0" w:color="auto"/>
                        <w:left w:val="none" w:sz="0" w:space="0" w:color="auto"/>
                        <w:bottom w:val="none" w:sz="0" w:space="0" w:color="auto"/>
                        <w:right w:val="none" w:sz="0" w:space="0" w:color="auto"/>
                      </w:divBdr>
                    </w:div>
                  </w:divsChild>
                </w:div>
                <w:div w:id="1288582238">
                  <w:marLeft w:val="0"/>
                  <w:marRight w:val="0"/>
                  <w:marTop w:val="0"/>
                  <w:marBottom w:val="0"/>
                  <w:divBdr>
                    <w:top w:val="none" w:sz="0" w:space="0" w:color="auto"/>
                    <w:left w:val="none" w:sz="0" w:space="0" w:color="auto"/>
                    <w:bottom w:val="none" w:sz="0" w:space="0" w:color="auto"/>
                    <w:right w:val="none" w:sz="0" w:space="0" w:color="auto"/>
                  </w:divBdr>
                  <w:divsChild>
                    <w:div w:id="1635451823">
                      <w:marLeft w:val="0"/>
                      <w:marRight w:val="0"/>
                      <w:marTop w:val="0"/>
                      <w:marBottom w:val="0"/>
                      <w:divBdr>
                        <w:top w:val="none" w:sz="0" w:space="0" w:color="auto"/>
                        <w:left w:val="none" w:sz="0" w:space="0" w:color="auto"/>
                        <w:bottom w:val="none" w:sz="0" w:space="0" w:color="auto"/>
                        <w:right w:val="none" w:sz="0" w:space="0" w:color="auto"/>
                      </w:divBdr>
                    </w:div>
                  </w:divsChild>
                </w:div>
                <w:div w:id="1305549072">
                  <w:marLeft w:val="0"/>
                  <w:marRight w:val="0"/>
                  <w:marTop w:val="0"/>
                  <w:marBottom w:val="0"/>
                  <w:divBdr>
                    <w:top w:val="none" w:sz="0" w:space="0" w:color="auto"/>
                    <w:left w:val="none" w:sz="0" w:space="0" w:color="auto"/>
                    <w:bottom w:val="none" w:sz="0" w:space="0" w:color="auto"/>
                    <w:right w:val="none" w:sz="0" w:space="0" w:color="auto"/>
                  </w:divBdr>
                  <w:divsChild>
                    <w:div w:id="1703434789">
                      <w:marLeft w:val="0"/>
                      <w:marRight w:val="0"/>
                      <w:marTop w:val="0"/>
                      <w:marBottom w:val="0"/>
                      <w:divBdr>
                        <w:top w:val="none" w:sz="0" w:space="0" w:color="auto"/>
                        <w:left w:val="none" w:sz="0" w:space="0" w:color="auto"/>
                        <w:bottom w:val="none" w:sz="0" w:space="0" w:color="auto"/>
                        <w:right w:val="none" w:sz="0" w:space="0" w:color="auto"/>
                      </w:divBdr>
                    </w:div>
                  </w:divsChild>
                </w:div>
                <w:div w:id="1343816251">
                  <w:marLeft w:val="0"/>
                  <w:marRight w:val="0"/>
                  <w:marTop w:val="0"/>
                  <w:marBottom w:val="0"/>
                  <w:divBdr>
                    <w:top w:val="none" w:sz="0" w:space="0" w:color="auto"/>
                    <w:left w:val="none" w:sz="0" w:space="0" w:color="auto"/>
                    <w:bottom w:val="none" w:sz="0" w:space="0" w:color="auto"/>
                    <w:right w:val="none" w:sz="0" w:space="0" w:color="auto"/>
                  </w:divBdr>
                  <w:divsChild>
                    <w:div w:id="1836023532">
                      <w:marLeft w:val="0"/>
                      <w:marRight w:val="0"/>
                      <w:marTop w:val="0"/>
                      <w:marBottom w:val="0"/>
                      <w:divBdr>
                        <w:top w:val="none" w:sz="0" w:space="0" w:color="auto"/>
                        <w:left w:val="none" w:sz="0" w:space="0" w:color="auto"/>
                        <w:bottom w:val="none" w:sz="0" w:space="0" w:color="auto"/>
                        <w:right w:val="none" w:sz="0" w:space="0" w:color="auto"/>
                      </w:divBdr>
                    </w:div>
                  </w:divsChild>
                </w:div>
                <w:div w:id="1546723170">
                  <w:marLeft w:val="0"/>
                  <w:marRight w:val="0"/>
                  <w:marTop w:val="0"/>
                  <w:marBottom w:val="0"/>
                  <w:divBdr>
                    <w:top w:val="none" w:sz="0" w:space="0" w:color="auto"/>
                    <w:left w:val="none" w:sz="0" w:space="0" w:color="auto"/>
                    <w:bottom w:val="none" w:sz="0" w:space="0" w:color="auto"/>
                    <w:right w:val="none" w:sz="0" w:space="0" w:color="auto"/>
                  </w:divBdr>
                  <w:divsChild>
                    <w:div w:id="2005626630">
                      <w:marLeft w:val="0"/>
                      <w:marRight w:val="0"/>
                      <w:marTop w:val="0"/>
                      <w:marBottom w:val="0"/>
                      <w:divBdr>
                        <w:top w:val="none" w:sz="0" w:space="0" w:color="auto"/>
                        <w:left w:val="none" w:sz="0" w:space="0" w:color="auto"/>
                        <w:bottom w:val="none" w:sz="0" w:space="0" w:color="auto"/>
                        <w:right w:val="none" w:sz="0" w:space="0" w:color="auto"/>
                      </w:divBdr>
                    </w:div>
                  </w:divsChild>
                </w:div>
                <w:div w:id="1608930726">
                  <w:marLeft w:val="0"/>
                  <w:marRight w:val="0"/>
                  <w:marTop w:val="0"/>
                  <w:marBottom w:val="0"/>
                  <w:divBdr>
                    <w:top w:val="none" w:sz="0" w:space="0" w:color="auto"/>
                    <w:left w:val="none" w:sz="0" w:space="0" w:color="auto"/>
                    <w:bottom w:val="none" w:sz="0" w:space="0" w:color="auto"/>
                    <w:right w:val="none" w:sz="0" w:space="0" w:color="auto"/>
                  </w:divBdr>
                  <w:divsChild>
                    <w:div w:id="313605213">
                      <w:marLeft w:val="0"/>
                      <w:marRight w:val="0"/>
                      <w:marTop w:val="0"/>
                      <w:marBottom w:val="0"/>
                      <w:divBdr>
                        <w:top w:val="none" w:sz="0" w:space="0" w:color="auto"/>
                        <w:left w:val="none" w:sz="0" w:space="0" w:color="auto"/>
                        <w:bottom w:val="none" w:sz="0" w:space="0" w:color="auto"/>
                        <w:right w:val="none" w:sz="0" w:space="0" w:color="auto"/>
                      </w:divBdr>
                    </w:div>
                    <w:div w:id="1166824303">
                      <w:marLeft w:val="0"/>
                      <w:marRight w:val="0"/>
                      <w:marTop w:val="0"/>
                      <w:marBottom w:val="0"/>
                      <w:divBdr>
                        <w:top w:val="none" w:sz="0" w:space="0" w:color="auto"/>
                        <w:left w:val="none" w:sz="0" w:space="0" w:color="auto"/>
                        <w:bottom w:val="none" w:sz="0" w:space="0" w:color="auto"/>
                        <w:right w:val="none" w:sz="0" w:space="0" w:color="auto"/>
                      </w:divBdr>
                    </w:div>
                    <w:div w:id="1739014731">
                      <w:marLeft w:val="0"/>
                      <w:marRight w:val="0"/>
                      <w:marTop w:val="0"/>
                      <w:marBottom w:val="0"/>
                      <w:divBdr>
                        <w:top w:val="none" w:sz="0" w:space="0" w:color="auto"/>
                        <w:left w:val="none" w:sz="0" w:space="0" w:color="auto"/>
                        <w:bottom w:val="none" w:sz="0" w:space="0" w:color="auto"/>
                        <w:right w:val="none" w:sz="0" w:space="0" w:color="auto"/>
                      </w:divBdr>
                    </w:div>
                  </w:divsChild>
                </w:div>
                <w:div w:id="1859149465">
                  <w:marLeft w:val="0"/>
                  <w:marRight w:val="0"/>
                  <w:marTop w:val="0"/>
                  <w:marBottom w:val="0"/>
                  <w:divBdr>
                    <w:top w:val="none" w:sz="0" w:space="0" w:color="auto"/>
                    <w:left w:val="none" w:sz="0" w:space="0" w:color="auto"/>
                    <w:bottom w:val="none" w:sz="0" w:space="0" w:color="auto"/>
                    <w:right w:val="none" w:sz="0" w:space="0" w:color="auto"/>
                  </w:divBdr>
                  <w:divsChild>
                    <w:div w:id="1309480364">
                      <w:marLeft w:val="0"/>
                      <w:marRight w:val="0"/>
                      <w:marTop w:val="0"/>
                      <w:marBottom w:val="0"/>
                      <w:divBdr>
                        <w:top w:val="none" w:sz="0" w:space="0" w:color="auto"/>
                        <w:left w:val="none" w:sz="0" w:space="0" w:color="auto"/>
                        <w:bottom w:val="none" w:sz="0" w:space="0" w:color="auto"/>
                        <w:right w:val="none" w:sz="0" w:space="0" w:color="auto"/>
                      </w:divBdr>
                    </w:div>
                    <w:div w:id="1455640827">
                      <w:marLeft w:val="0"/>
                      <w:marRight w:val="0"/>
                      <w:marTop w:val="0"/>
                      <w:marBottom w:val="0"/>
                      <w:divBdr>
                        <w:top w:val="none" w:sz="0" w:space="0" w:color="auto"/>
                        <w:left w:val="none" w:sz="0" w:space="0" w:color="auto"/>
                        <w:bottom w:val="none" w:sz="0" w:space="0" w:color="auto"/>
                        <w:right w:val="none" w:sz="0" w:space="0" w:color="auto"/>
                      </w:divBdr>
                    </w:div>
                    <w:div w:id="1556697436">
                      <w:marLeft w:val="0"/>
                      <w:marRight w:val="0"/>
                      <w:marTop w:val="0"/>
                      <w:marBottom w:val="0"/>
                      <w:divBdr>
                        <w:top w:val="none" w:sz="0" w:space="0" w:color="auto"/>
                        <w:left w:val="none" w:sz="0" w:space="0" w:color="auto"/>
                        <w:bottom w:val="none" w:sz="0" w:space="0" w:color="auto"/>
                        <w:right w:val="none" w:sz="0" w:space="0" w:color="auto"/>
                      </w:divBdr>
                    </w:div>
                  </w:divsChild>
                </w:div>
                <w:div w:id="1906985221">
                  <w:marLeft w:val="0"/>
                  <w:marRight w:val="0"/>
                  <w:marTop w:val="0"/>
                  <w:marBottom w:val="0"/>
                  <w:divBdr>
                    <w:top w:val="none" w:sz="0" w:space="0" w:color="auto"/>
                    <w:left w:val="none" w:sz="0" w:space="0" w:color="auto"/>
                    <w:bottom w:val="none" w:sz="0" w:space="0" w:color="auto"/>
                    <w:right w:val="none" w:sz="0" w:space="0" w:color="auto"/>
                  </w:divBdr>
                  <w:divsChild>
                    <w:div w:id="221259168">
                      <w:marLeft w:val="0"/>
                      <w:marRight w:val="0"/>
                      <w:marTop w:val="0"/>
                      <w:marBottom w:val="0"/>
                      <w:divBdr>
                        <w:top w:val="none" w:sz="0" w:space="0" w:color="auto"/>
                        <w:left w:val="none" w:sz="0" w:space="0" w:color="auto"/>
                        <w:bottom w:val="none" w:sz="0" w:space="0" w:color="auto"/>
                        <w:right w:val="none" w:sz="0" w:space="0" w:color="auto"/>
                      </w:divBdr>
                    </w:div>
                    <w:div w:id="371617637">
                      <w:marLeft w:val="0"/>
                      <w:marRight w:val="0"/>
                      <w:marTop w:val="0"/>
                      <w:marBottom w:val="0"/>
                      <w:divBdr>
                        <w:top w:val="none" w:sz="0" w:space="0" w:color="auto"/>
                        <w:left w:val="none" w:sz="0" w:space="0" w:color="auto"/>
                        <w:bottom w:val="none" w:sz="0" w:space="0" w:color="auto"/>
                        <w:right w:val="none" w:sz="0" w:space="0" w:color="auto"/>
                      </w:divBdr>
                    </w:div>
                    <w:div w:id="818306895">
                      <w:marLeft w:val="0"/>
                      <w:marRight w:val="0"/>
                      <w:marTop w:val="0"/>
                      <w:marBottom w:val="0"/>
                      <w:divBdr>
                        <w:top w:val="none" w:sz="0" w:space="0" w:color="auto"/>
                        <w:left w:val="none" w:sz="0" w:space="0" w:color="auto"/>
                        <w:bottom w:val="none" w:sz="0" w:space="0" w:color="auto"/>
                        <w:right w:val="none" w:sz="0" w:space="0" w:color="auto"/>
                      </w:divBdr>
                    </w:div>
                  </w:divsChild>
                </w:div>
                <w:div w:id="1987397307">
                  <w:marLeft w:val="0"/>
                  <w:marRight w:val="0"/>
                  <w:marTop w:val="0"/>
                  <w:marBottom w:val="0"/>
                  <w:divBdr>
                    <w:top w:val="none" w:sz="0" w:space="0" w:color="auto"/>
                    <w:left w:val="none" w:sz="0" w:space="0" w:color="auto"/>
                    <w:bottom w:val="none" w:sz="0" w:space="0" w:color="auto"/>
                    <w:right w:val="none" w:sz="0" w:space="0" w:color="auto"/>
                  </w:divBdr>
                  <w:divsChild>
                    <w:div w:id="1560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90269">
          <w:marLeft w:val="0"/>
          <w:marRight w:val="0"/>
          <w:marTop w:val="0"/>
          <w:marBottom w:val="0"/>
          <w:divBdr>
            <w:top w:val="none" w:sz="0" w:space="0" w:color="auto"/>
            <w:left w:val="none" w:sz="0" w:space="0" w:color="auto"/>
            <w:bottom w:val="none" w:sz="0" w:space="0" w:color="auto"/>
            <w:right w:val="none" w:sz="0" w:space="0" w:color="auto"/>
          </w:divBdr>
          <w:divsChild>
            <w:div w:id="13113240">
              <w:marLeft w:val="-75"/>
              <w:marRight w:val="0"/>
              <w:marTop w:val="30"/>
              <w:marBottom w:val="30"/>
              <w:divBdr>
                <w:top w:val="none" w:sz="0" w:space="0" w:color="auto"/>
                <w:left w:val="none" w:sz="0" w:space="0" w:color="auto"/>
                <w:bottom w:val="none" w:sz="0" w:space="0" w:color="auto"/>
                <w:right w:val="none" w:sz="0" w:space="0" w:color="auto"/>
              </w:divBdr>
              <w:divsChild>
                <w:div w:id="91974765">
                  <w:marLeft w:val="0"/>
                  <w:marRight w:val="0"/>
                  <w:marTop w:val="0"/>
                  <w:marBottom w:val="0"/>
                  <w:divBdr>
                    <w:top w:val="none" w:sz="0" w:space="0" w:color="auto"/>
                    <w:left w:val="none" w:sz="0" w:space="0" w:color="auto"/>
                    <w:bottom w:val="none" w:sz="0" w:space="0" w:color="auto"/>
                    <w:right w:val="none" w:sz="0" w:space="0" w:color="auto"/>
                  </w:divBdr>
                  <w:divsChild>
                    <w:div w:id="136530731">
                      <w:marLeft w:val="0"/>
                      <w:marRight w:val="0"/>
                      <w:marTop w:val="0"/>
                      <w:marBottom w:val="0"/>
                      <w:divBdr>
                        <w:top w:val="none" w:sz="0" w:space="0" w:color="auto"/>
                        <w:left w:val="none" w:sz="0" w:space="0" w:color="auto"/>
                        <w:bottom w:val="none" w:sz="0" w:space="0" w:color="auto"/>
                        <w:right w:val="none" w:sz="0" w:space="0" w:color="auto"/>
                      </w:divBdr>
                    </w:div>
                    <w:div w:id="919144786">
                      <w:marLeft w:val="0"/>
                      <w:marRight w:val="0"/>
                      <w:marTop w:val="0"/>
                      <w:marBottom w:val="0"/>
                      <w:divBdr>
                        <w:top w:val="none" w:sz="0" w:space="0" w:color="auto"/>
                        <w:left w:val="none" w:sz="0" w:space="0" w:color="auto"/>
                        <w:bottom w:val="none" w:sz="0" w:space="0" w:color="auto"/>
                        <w:right w:val="none" w:sz="0" w:space="0" w:color="auto"/>
                      </w:divBdr>
                    </w:div>
                    <w:div w:id="1399786594">
                      <w:marLeft w:val="0"/>
                      <w:marRight w:val="0"/>
                      <w:marTop w:val="0"/>
                      <w:marBottom w:val="0"/>
                      <w:divBdr>
                        <w:top w:val="none" w:sz="0" w:space="0" w:color="auto"/>
                        <w:left w:val="none" w:sz="0" w:space="0" w:color="auto"/>
                        <w:bottom w:val="none" w:sz="0" w:space="0" w:color="auto"/>
                        <w:right w:val="none" w:sz="0" w:space="0" w:color="auto"/>
                      </w:divBdr>
                    </w:div>
                  </w:divsChild>
                </w:div>
                <w:div w:id="94176197">
                  <w:marLeft w:val="0"/>
                  <w:marRight w:val="0"/>
                  <w:marTop w:val="0"/>
                  <w:marBottom w:val="0"/>
                  <w:divBdr>
                    <w:top w:val="none" w:sz="0" w:space="0" w:color="auto"/>
                    <w:left w:val="none" w:sz="0" w:space="0" w:color="auto"/>
                    <w:bottom w:val="none" w:sz="0" w:space="0" w:color="auto"/>
                    <w:right w:val="none" w:sz="0" w:space="0" w:color="auto"/>
                  </w:divBdr>
                  <w:divsChild>
                    <w:div w:id="575357844">
                      <w:marLeft w:val="0"/>
                      <w:marRight w:val="0"/>
                      <w:marTop w:val="0"/>
                      <w:marBottom w:val="0"/>
                      <w:divBdr>
                        <w:top w:val="none" w:sz="0" w:space="0" w:color="auto"/>
                        <w:left w:val="none" w:sz="0" w:space="0" w:color="auto"/>
                        <w:bottom w:val="none" w:sz="0" w:space="0" w:color="auto"/>
                        <w:right w:val="none" w:sz="0" w:space="0" w:color="auto"/>
                      </w:divBdr>
                    </w:div>
                    <w:div w:id="608122713">
                      <w:marLeft w:val="0"/>
                      <w:marRight w:val="0"/>
                      <w:marTop w:val="0"/>
                      <w:marBottom w:val="0"/>
                      <w:divBdr>
                        <w:top w:val="none" w:sz="0" w:space="0" w:color="auto"/>
                        <w:left w:val="none" w:sz="0" w:space="0" w:color="auto"/>
                        <w:bottom w:val="none" w:sz="0" w:space="0" w:color="auto"/>
                        <w:right w:val="none" w:sz="0" w:space="0" w:color="auto"/>
                      </w:divBdr>
                    </w:div>
                    <w:div w:id="933827756">
                      <w:marLeft w:val="0"/>
                      <w:marRight w:val="0"/>
                      <w:marTop w:val="0"/>
                      <w:marBottom w:val="0"/>
                      <w:divBdr>
                        <w:top w:val="none" w:sz="0" w:space="0" w:color="auto"/>
                        <w:left w:val="none" w:sz="0" w:space="0" w:color="auto"/>
                        <w:bottom w:val="none" w:sz="0" w:space="0" w:color="auto"/>
                        <w:right w:val="none" w:sz="0" w:space="0" w:color="auto"/>
                      </w:divBdr>
                    </w:div>
                    <w:div w:id="1436100934">
                      <w:marLeft w:val="0"/>
                      <w:marRight w:val="0"/>
                      <w:marTop w:val="0"/>
                      <w:marBottom w:val="0"/>
                      <w:divBdr>
                        <w:top w:val="none" w:sz="0" w:space="0" w:color="auto"/>
                        <w:left w:val="none" w:sz="0" w:space="0" w:color="auto"/>
                        <w:bottom w:val="none" w:sz="0" w:space="0" w:color="auto"/>
                        <w:right w:val="none" w:sz="0" w:space="0" w:color="auto"/>
                      </w:divBdr>
                    </w:div>
                    <w:div w:id="1757751130">
                      <w:marLeft w:val="0"/>
                      <w:marRight w:val="0"/>
                      <w:marTop w:val="0"/>
                      <w:marBottom w:val="0"/>
                      <w:divBdr>
                        <w:top w:val="none" w:sz="0" w:space="0" w:color="auto"/>
                        <w:left w:val="none" w:sz="0" w:space="0" w:color="auto"/>
                        <w:bottom w:val="none" w:sz="0" w:space="0" w:color="auto"/>
                        <w:right w:val="none" w:sz="0" w:space="0" w:color="auto"/>
                      </w:divBdr>
                    </w:div>
                    <w:div w:id="1816144347">
                      <w:marLeft w:val="0"/>
                      <w:marRight w:val="0"/>
                      <w:marTop w:val="0"/>
                      <w:marBottom w:val="0"/>
                      <w:divBdr>
                        <w:top w:val="none" w:sz="0" w:space="0" w:color="auto"/>
                        <w:left w:val="none" w:sz="0" w:space="0" w:color="auto"/>
                        <w:bottom w:val="none" w:sz="0" w:space="0" w:color="auto"/>
                        <w:right w:val="none" w:sz="0" w:space="0" w:color="auto"/>
                      </w:divBdr>
                    </w:div>
                    <w:div w:id="1949727900">
                      <w:marLeft w:val="0"/>
                      <w:marRight w:val="0"/>
                      <w:marTop w:val="0"/>
                      <w:marBottom w:val="0"/>
                      <w:divBdr>
                        <w:top w:val="none" w:sz="0" w:space="0" w:color="auto"/>
                        <w:left w:val="none" w:sz="0" w:space="0" w:color="auto"/>
                        <w:bottom w:val="none" w:sz="0" w:space="0" w:color="auto"/>
                        <w:right w:val="none" w:sz="0" w:space="0" w:color="auto"/>
                      </w:divBdr>
                    </w:div>
                  </w:divsChild>
                </w:div>
                <w:div w:id="437607497">
                  <w:marLeft w:val="0"/>
                  <w:marRight w:val="0"/>
                  <w:marTop w:val="0"/>
                  <w:marBottom w:val="0"/>
                  <w:divBdr>
                    <w:top w:val="none" w:sz="0" w:space="0" w:color="auto"/>
                    <w:left w:val="none" w:sz="0" w:space="0" w:color="auto"/>
                    <w:bottom w:val="none" w:sz="0" w:space="0" w:color="auto"/>
                    <w:right w:val="none" w:sz="0" w:space="0" w:color="auto"/>
                  </w:divBdr>
                  <w:divsChild>
                    <w:div w:id="1701932224">
                      <w:marLeft w:val="0"/>
                      <w:marRight w:val="0"/>
                      <w:marTop w:val="0"/>
                      <w:marBottom w:val="0"/>
                      <w:divBdr>
                        <w:top w:val="none" w:sz="0" w:space="0" w:color="auto"/>
                        <w:left w:val="none" w:sz="0" w:space="0" w:color="auto"/>
                        <w:bottom w:val="none" w:sz="0" w:space="0" w:color="auto"/>
                        <w:right w:val="none" w:sz="0" w:space="0" w:color="auto"/>
                      </w:divBdr>
                    </w:div>
                  </w:divsChild>
                </w:div>
                <w:div w:id="536351771">
                  <w:marLeft w:val="0"/>
                  <w:marRight w:val="0"/>
                  <w:marTop w:val="0"/>
                  <w:marBottom w:val="0"/>
                  <w:divBdr>
                    <w:top w:val="none" w:sz="0" w:space="0" w:color="auto"/>
                    <w:left w:val="none" w:sz="0" w:space="0" w:color="auto"/>
                    <w:bottom w:val="none" w:sz="0" w:space="0" w:color="auto"/>
                    <w:right w:val="none" w:sz="0" w:space="0" w:color="auto"/>
                  </w:divBdr>
                  <w:divsChild>
                    <w:div w:id="121583317">
                      <w:marLeft w:val="0"/>
                      <w:marRight w:val="0"/>
                      <w:marTop w:val="0"/>
                      <w:marBottom w:val="0"/>
                      <w:divBdr>
                        <w:top w:val="none" w:sz="0" w:space="0" w:color="auto"/>
                        <w:left w:val="none" w:sz="0" w:space="0" w:color="auto"/>
                        <w:bottom w:val="none" w:sz="0" w:space="0" w:color="auto"/>
                        <w:right w:val="none" w:sz="0" w:space="0" w:color="auto"/>
                      </w:divBdr>
                    </w:div>
                  </w:divsChild>
                </w:div>
                <w:div w:id="1981154122">
                  <w:marLeft w:val="0"/>
                  <w:marRight w:val="0"/>
                  <w:marTop w:val="0"/>
                  <w:marBottom w:val="0"/>
                  <w:divBdr>
                    <w:top w:val="none" w:sz="0" w:space="0" w:color="auto"/>
                    <w:left w:val="none" w:sz="0" w:space="0" w:color="auto"/>
                    <w:bottom w:val="none" w:sz="0" w:space="0" w:color="auto"/>
                    <w:right w:val="none" w:sz="0" w:space="0" w:color="auto"/>
                  </w:divBdr>
                  <w:divsChild>
                    <w:div w:id="65699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799289">
          <w:marLeft w:val="0"/>
          <w:marRight w:val="0"/>
          <w:marTop w:val="0"/>
          <w:marBottom w:val="0"/>
          <w:divBdr>
            <w:top w:val="none" w:sz="0" w:space="0" w:color="auto"/>
            <w:left w:val="none" w:sz="0" w:space="0" w:color="auto"/>
            <w:bottom w:val="none" w:sz="0" w:space="0" w:color="auto"/>
            <w:right w:val="none" w:sz="0" w:space="0" w:color="auto"/>
          </w:divBdr>
        </w:div>
        <w:div w:id="1321427562">
          <w:marLeft w:val="0"/>
          <w:marRight w:val="0"/>
          <w:marTop w:val="0"/>
          <w:marBottom w:val="0"/>
          <w:divBdr>
            <w:top w:val="none" w:sz="0" w:space="0" w:color="auto"/>
            <w:left w:val="none" w:sz="0" w:space="0" w:color="auto"/>
            <w:bottom w:val="none" w:sz="0" w:space="0" w:color="auto"/>
            <w:right w:val="none" w:sz="0" w:space="0" w:color="auto"/>
          </w:divBdr>
          <w:divsChild>
            <w:div w:id="1634292297">
              <w:marLeft w:val="-75"/>
              <w:marRight w:val="0"/>
              <w:marTop w:val="30"/>
              <w:marBottom w:val="30"/>
              <w:divBdr>
                <w:top w:val="none" w:sz="0" w:space="0" w:color="auto"/>
                <w:left w:val="none" w:sz="0" w:space="0" w:color="auto"/>
                <w:bottom w:val="none" w:sz="0" w:space="0" w:color="auto"/>
                <w:right w:val="none" w:sz="0" w:space="0" w:color="auto"/>
              </w:divBdr>
              <w:divsChild>
                <w:div w:id="12344103">
                  <w:marLeft w:val="0"/>
                  <w:marRight w:val="0"/>
                  <w:marTop w:val="0"/>
                  <w:marBottom w:val="0"/>
                  <w:divBdr>
                    <w:top w:val="none" w:sz="0" w:space="0" w:color="auto"/>
                    <w:left w:val="none" w:sz="0" w:space="0" w:color="auto"/>
                    <w:bottom w:val="none" w:sz="0" w:space="0" w:color="auto"/>
                    <w:right w:val="none" w:sz="0" w:space="0" w:color="auto"/>
                  </w:divBdr>
                  <w:divsChild>
                    <w:div w:id="49768225">
                      <w:marLeft w:val="0"/>
                      <w:marRight w:val="0"/>
                      <w:marTop w:val="0"/>
                      <w:marBottom w:val="0"/>
                      <w:divBdr>
                        <w:top w:val="none" w:sz="0" w:space="0" w:color="auto"/>
                        <w:left w:val="none" w:sz="0" w:space="0" w:color="auto"/>
                        <w:bottom w:val="none" w:sz="0" w:space="0" w:color="auto"/>
                        <w:right w:val="none" w:sz="0" w:space="0" w:color="auto"/>
                      </w:divBdr>
                    </w:div>
                    <w:div w:id="328022964">
                      <w:marLeft w:val="0"/>
                      <w:marRight w:val="0"/>
                      <w:marTop w:val="0"/>
                      <w:marBottom w:val="0"/>
                      <w:divBdr>
                        <w:top w:val="none" w:sz="0" w:space="0" w:color="auto"/>
                        <w:left w:val="none" w:sz="0" w:space="0" w:color="auto"/>
                        <w:bottom w:val="none" w:sz="0" w:space="0" w:color="auto"/>
                        <w:right w:val="none" w:sz="0" w:space="0" w:color="auto"/>
                      </w:divBdr>
                    </w:div>
                    <w:div w:id="454062712">
                      <w:marLeft w:val="0"/>
                      <w:marRight w:val="0"/>
                      <w:marTop w:val="0"/>
                      <w:marBottom w:val="0"/>
                      <w:divBdr>
                        <w:top w:val="none" w:sz="0" w:space="0" w:color="auto"/>
                        <w:left w:val="none" w:sz="0" w:space="0" w:color="auto"/>
                        <w:bottom w:val="none" w:sz="0" w:space="0" w:color="auto"/>
                        <w:right w:val="none" w:sz="0" w:space="0" w:color="auto"/>
                      </w:divBdr>
                    </w:div>
                    <w:div w:id="589700946">
                      <w:marLeft w:val="0"/>
                      <w:marRight w:val="0"/>
                      <w:marTop w:val="0"/>
                      <w:marBottom w:val="0"/>
                      <w:divBdr>
                        <w:top w:val="none" w:sz="0" w:space="0" w:color="auto"/>
                        <w:left w:val="none" w:sz="0" w:space="0" w:color="auto"/>
                        <w:bottom w:val="none" w:sz="0" w:space="0" w:color="auto"/>
                        <w:right w:val="none" w:sz="0" w:space="0" w:color="auto"/>
                      </w:divBdr>
                    </w:div>
                    <w:div w:id="745998230">
                      <w:marLeft w:val="0"/>
                      <w:marRight w:val="0"/>
                      <w:marTop w:val="0"/>
                      <w:marBottom w:val="0"/>
                      <w:divBdr>
                        <w:top w:val="none" w:sz="0" w:space="0" w:color="auto"/>
                        <w:left w:val="none" w:sz="0" w:space="0" w:color="auto"/>
                        <w:bottom w:val="none" w:sz="0" w:space="0" w:color="auto"/>
                        <w:right w:val="none" w:sz="0" w:space="0" w:color="auto"/>
                      </w:divBdr>
                    </w:div>
                    <w:div w:id="1280644885">
                      <w:marLeft w:val="0"/>
                      <w:marRight w:val="0"/>
                      <w:marTop w:val="0"/>
                      <w:marBottom w:val="0"/>
                      <w:divBdr>
                        <w:top w:val="none" w:sz="0" w:space="0" w:color="auto"/>
                        <w:left w:val="none" w:sz="0" w:space="0" w:color="auto"/>
                        <w:bottom w:val="none" w:sz="0" w:space="0" w:color="auto"/>
                        <w:right w:val="none" w:sz="0" w:space="0" w:color="auto"/>
                      </w:divBdr>
                    </w:div>
                    <w:div w:id="1798716507">
                      <w:marLeft w:val="0"/>
                      <w:marRight w:val="0"/>
                      <w:marTop w:val="0"/>
                      <w:marBottom w:val="0"/>
                      <w:divBdr>
                        <w:top w:val="none" w:sz="0" w:space="0" w:color="auto"/>
                        <w:left w:val="none" w:sz="0" w:space="0" w:color="auto"/>
                        <w:bottom w:val="none" w:sz="0" w:space="0" w:color="auto"/>
                        <w:right w:val="none" w:sz="0" w:space="0" w:color="auto"/>
                      </w:divBdr>
                    </w:div>
                    <w:div w:id="1955747649">
                      <w:marLeft w:val="0"/>
                      <w:marRight w:val="0"/>
                      <w:marTop w:val="0"/>
                      <w:marBottom w:val="0"/>
                      <w:divBdr>
                        <w:top w:val="none" w:sz="0" w:space="0" w:color="auto"/>
                        <w:left w:val="none" w:sz="0" w:space="0" w:color="auto"/>
                        <w:bottom w:val="none" w:sz="0" w:space="0" w:color="auto"/>
                        <w:right w:val="none" w:sz="0" w:space="0" w:color="auto"/>
                      </w:divBdr>
                    </w:div>
                    <w:div w:id="1962491638">
                      <w:marLeft w:val="0"/>
                      <w:marRight w:val="0"/>
                      <w:marTop w:val="0"/>
                      <w:marBottom w:val="0"/>
                      <w:divBdr>
                        <w:top w:val="none" w:sz="0" w:space="0" w:color="auto"/>
                        <w:left w:val="none" w:sz="0" w:space="0" w:color="auto"/>
                        <w:bottom w:val="none" w:sz="0" w:space="0" w:color="auto"/>
                        <w:right w:val="none" w:sz="0" w:space="0" w:color="auto"/>
                      </w:divBdr>
                    </w:div>
                  </w:divsChild>
                </w:div>
                <w:div w:id="128985062">
                  <w:marLeft w:val="0"/>
                  <w:marRight w:val="0"/>
                  <w:marTop w:val="0"/>
                  <w:marBottom w:val="0"/>
                  <w:divBdr>
                    <w:top w:val="none" w:sz="0" w:space="0" w:color="auto"/>
                    <w:left w:val="none" w:sz="0" w:space="0" w:color="auto"/>
                    <w:bottom w:val="none" w:sz="0" w:space="0" w:color="auto"/>
                    <w:right w:val="none" w:sz="0" w:space="0" w:color="auto"/>
                  </w:divBdr>
                  <w:divsChild>
                    <w:div w:id="367879522">
                      <w:marLeft w:val="0"/>
                      <w:marRight w:val="0"/>
                      <w:marTop w:val="0"/>
                      <w:marBottom w:val="0"/>
                      <w:divBdr>
                        <w:top w:val="none" w:sz="0" w:space="0" w:color="auto"/>
                        <w:left w:val="none" w:sz="0" w:space="0" w:color="auto"/>
                        <w:bottom w:val="none" w:sz="0" w:space="0" w:color="auto"/>
                        <w:right w:val="none" w:sz="0" w:space="0" w:color="auto"/>
                      </w:divBdr>
                    </w:div>
                  </w:divsChild>
                </w:div>
                <w:div w:id="1668438666">
                  <w:marLeft w:val="0"/>
                  <w:marRight w:val="0"/>
                  <w:marTop w:val="0"/>
                  <w:marBottom w:val="0"/>
                  <w:divBdr>
                    <w:top w:val="none" w:sz="0" w:space="0" w:color="auto"/>
                    <w:left w:val="none" w:sz="0" w:space="0" w:color="auto"/>
                    <w:bottom w:val="none" w:sz="0" w:space="0" w:color="auto"/>
                    <w:right w:val="none" w:sz="0" w:space="0" w:color="auto"/>
                  </w:divBdr>
                  <w:divsChild>
                    <w:div w:id="1209609171">
                      <w:marLeft w:val="0"/>
                      <w:marRight w:val="0"/>
                      <w:marTop w:val="0"/>
                      <w:marBottom w:val="0"/>
                      <w:divBdr>
                        <w:top w:val="none" w:sz="0" w:space="0" w:color="auto"/>
                        <w:left w:val="none" w:sz="0" w:space="0" w:color="auto"/>
                        <w:bottom w:val="none" w:sz="0" w:space="0" w:color="auto"/>
                        <w:right w:val="none" w:sz="0" w:space="0" w:color="auto"/>
                      </w:divBdr>
                    </w:div>
                  </w:divsChild>
                </w:div>
                <w:div w:id="1754476322">
                  <w:marLeft w:val="0"/>
                  <w:marRight w:val="0"/>
                  <w:marTop w:val="0"/>
                  <w:marBottom w:val="0"/>
                  <w:divBdr>
                    <w:top w:val="none" w:sz="0" w:space="0" w:color="auto"/>
                    <w:left w:val="none" w:sz="0" w:space="0" w:color="auto"/>
                    <w:bottom w:val="none" w:sz="0" w:space="0" w:color="auto"/>
                    <w:right w:val="none" w:sz="0" w:space="0" w:color="auto"/>
                  </w:divBdr>
                  <w:divsChild>
                    <w:div w:id="985012298">
                      <w:marLeft w:val="0"/>
                      <w:marRight w:val="0"/>
                      <w:marTop w:val="0"/>
                      <w:marBottom w:val="0"/>
                      <w:divBdr>
                        <w:top w:val="none" w:sz="0" w:space="0" w:color="auto"/>
                        <w:left w:val="none" w:sz="0" w:space="0" w:color="auto"/>
                        <w:bottom w:val="none" w:sz="0" w:space="0" w:color="auto"/>
                        <w:right w:val="none" w:sz="0" w:space="0" w:color="auto"/>
                      </w:divBdr>
                    </w:div>
                  </w:divsChild>
                </w:div>
                <w:div w:id="1787849870">
                  <w:marLeft w:val="0"/>
                  <w:marRight w:val="0"/>
                  <w:marTop w:val="0"/>
                  <w:marBottom w:val="0"/>
                  <w:divBdr>
                    <w:top w:val="none" w:sz="0" w:space="0" w:color="auto"/>
                    <w:left w:val="none" w:sz="0" w:space="0" w:color="auto"/>
                    <w:bottom w:val="none" w:sz="0" w:space="0" w:color="auto"/>
                    <w:right w:val="none" w:sz="0" w:space="0" w:color="auto"/>
                  </w:divBdr>
                  <w:divsChild>
                    <w:div w:id="52237560">
                      <w:marLeft w:val="0"/>
                      <w:marRight w:val="0"/>
                      <w:marTop w:val="0"/>
                      <w:marBottom w:val="0"/>
                      <w:divBdr>
                        <w:top w:val="none" w:sz="0" w:space="0" w:color="auto"/>
                        <w:left w:val="none" w:sz="0" w:space="0" w:color="auto"/>
                        <w:bottom w:val="none" w:sz="0" w:space="0" w:color="auto"/>
                        <w:right w:val="none" w:sz="0" w:space="0" w:color="auto"/>
                      </w:divBdr>
                    </w:div>
                    <w:div w:id="9824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783979">
          <w:marLeft w:val="0"/>
          <w:marRight w:val="0"/>
          <w:marTop w:val="0"/>
          <w:marBottom w:val="0"/>
          <w:divBdr>
            <w:top w:val="none" w:sz="0" w:space="0" w:color="auto"/>
            <w:left w:val="none" w:sz="0" w:space="0" w:color="auto"/>
            <w:bottom w:val="none" w:sz="0" w:space="0" w:color="auto"/>
            <w:right w:val="none" w:sz="0" w:space="0" w:color="auto"/>
          </w:divBdr>
        </w:div>
        <w:div w:id="1627852369">
          <w:marLeft w:val="0"/>
          <w:marRight w:val="0"/>
          <w:marTop w:val="0"/>
          <w:marBottom w:val="0"/>
          <w:divBdr>
            <w:top w:val="none" w:sz="0" w:space="0" w:color="auto"/>
            <w:left w:val="none" w:sz="0" w:space="0" w:color="auto"/>
            <w:bottom w:val="none" w:sz="0" w:space="0" w:color="auto"/>
            <w:right w:val="none" w:sz="0" w:space="0" w:color="auto"/>
          </w:divBdr>
          <w:divsChild>
            <w:div w:id="69010415">
              <w:marLeft w:val="-75"/>
              <w:marRight w:val="0"/>
              <w:marTop w:val="30"/>
              <w:marBottom w:val="30"/>
              <w:divBdr>
                <w:top w:val="none" w:sz="0" w:space="0" w:color="auto"/>
                <w:left w:val="none" w:sz="0" w:space="0" w:color="auto"/>
                <w:bottom w:val="none" w:sz="0" w:space="0" w:color="auto"/>
                <w:right w:val="none" w:sz="0" w:space="0" w:color="auto"/>
              </w:divBdr>
              <w:divsChild>
                <w:div w:id="729770804">
                  <w:marLeft w:val="0"/>
                  <w:marRight w:val="0"/>
                  <w:marTop w:val="0"/>
                  <w:marBottom w:val="0"/>
                  <w:divBdr>
                    <w:top w:val="none" w:sz="0" w:space="0" w:color="auto"/>
                    <w:left w:val="none" w:sz="0" w:space="0" w:color="auto"/>
                    <w:bottom w:val="none" w:sz="0" w:space="0" w:color="auto"/>
                    <w:right w:val="none" w:sz="0" w:space="0" w:color="auto"/>
                  </w:divBdr>
                  <w:divsChild>
                    <w:div w:id="823474771">
                      <w:marLeft w:val="0"/>
                      <w:marRight w:val="0"/>
                      <w:marTop w:val="0"/>
                      <w:marBottom w:val="0"/>
                      <w:divBdr>
                        <w:top w:val="none" w:sz="0" w:space="0" w:color="auto"/>
                        <w:left w:val="none" w:sz="0" w:space="0" w:color="auto"/>
                        <w:bottom w:val="none" w:sz="0" w:space="0" w:color="auto"/>
                        <w:right w:val="none" w:sz="0" w:space="0" w:color="auto"/>
                      </w:divBdr>
                    </w:div>
                  </w:divsChild>
                </w:div>
                <w:div w:id="1056658975">
                  <w:marLeft w:val="0"/>
                  <w:marRight w:val="0"/>
                  <w:marTop w:val="0"/>
                  <w:marBottom w:val="0"/>
                  <w:divBdr>
                    <w:top w:val="none" w:sz="0" w:space="0" w:color="auto"/>
                    <w:left w:val="none" w:sz="0" w:space="0" w:color="auto"/>
                    <w:bottom w:val="none" w:sz="0" w:space="0" w:color="auto"/>
                    <w:right w:val="none" w:sz="0" w:space="0" w:color="auto"/>
                  </w:divBdr>
                  <w:divsChild>
                    <w:div w:id="666253508">
                      <w:marLeft w:val="0"/>
                      <w:marRight w:val="0"/>
                      <w:marTop w:val="0"/>
                      <w:marBottom w:val="0"/>
                      <w:divBdr>
                        <w:top w:val="none" w:sz="0" w:space="0" w:color="auto"/>
                        <w:left w:val="none" w:sz="0" w:space="0" w:color="auto"/>
                        <w:bottom w:val="none" w:sz="0" w:space="0" w:color="auto"/>
                        <w:right w:val="none" w:sz="0" w:space="0" w:color="auto"/>
                      </w:divBdr>
                    </w:div>
                    <w:div w:id="1571773773">
                      <w:marLeft w:val="0"/>
                      <w:marRight w:val="0"/>
                      <w:marTop w:val="0"/>
                      <w:marBottom w:val="0"/>
                      <w:divBdr>
                        <w:top w:val="none" w:sz="0" w:space="0" w:color="auto"/>
                        <w:left w:val="none" w:sz="0" w:space="0" w:color="auto"/>
                        <w:bottom w:val="none" w:sz="0" w:space="0" w:color="auto"/>
                        <w:right w:val="none" w:sz="0" w:space="0" w:color="auto"/>
                      </w:divBdr>
                    </w:div>
                    <w:div w:id="2077972151">
                      <w:marLeft w:val="0"/>
                      <w:marRight w:val="0"/>
                      <w:marTop w:val="0"/>
                      <w:marBottom w:val="0"/>
                      <w:divBdr>
                        <w:top w:val="none" w:sz="0" w:space="0" w:color="auto"/>
                        <w:left w:val="none" w:sz="0" w:space="0" w:color="auto"/>
                        <w:bottom w:val="none" w:sz="0" w:space="0" w:color="auto"/>
                        <w:right w:val="none" w:sz="0" w:space="0" w:color="auto"/>
                      </w:divBdr>
                    </w:div>
                  </w:divsChild>
                </w:div>
                <w:div w:id="1753431509">
                  <w:marLeft w:val="0"/>
                  <w:marRight w:val="0"/>
                  <w:marTop w:val="0"/>
                  <w:marBottom w:val="0"/>
                  <w:divBdr>
                    <w:top w:val="none" w:sz="0" w:space="0" w:color="auto"/>
                    <w:left w:val="none" w:sz="0" w:space="0" w:color="auto"/>
                    <w:bottom w:val="none" w:sz="0" w:space="0" w:color="auto"/>
                    <w:right w:val="none" w:sz="0" w:space="0" w:color="auto"/>
                  </w:divBdr>
                  <w:divsChild>
                    <w:div w:id="146272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7963">
          <w:marLeft w:val="0"/>
          <w:marRight w:val="0"/>
          <w:marTop w:val="0"/>
          <w:marBottom w:val="0"/>
          <w:divBdr>
            <w:top w:val="none" w:sz="0" w:space="0" w:color="auto"/>
            <w:left w:val="none" w:sz="0" w:space="0" w:color="auto"/>
            <w:bottom w:val="none" w:sz="0" w:space="0" w:color="auto"/>
            <w:right w:val="none" w:sz="0" w:space="0" w:color="auto"/>
          </w:divBdr>
          <w:divsChild>
            <w:div w:id="360085682">
              <w:marLeft w:val="-75"/>
              <w:marRight w:val="0"/>
              <w:marTop w:val="30"/>
              <w:marBottom w:val="30"/>
              <w:divBdr>
                <w:top w:val="none" w:sz="0" w:space="0" w:color="auto"/>
                <w:left w:val="none" w:sz="0" w:space="0" w:color="auto"/>
                <w:bottom w:val="none" w:sz="0" w:space="0" w:color="auto"/>
                <w:right w:val="none" w:sz="0" w:space="0" w:color="auto"/>
              </w:divBdr>
              <w:divsChild>
                <w:div w:id="91168114">
                  <w:marLeft w:val="0"/>
                  <w:marRight w:val="0"/>
                  <w:marTop w:val="0"/>
                  <w:marBottom w:val="0"/>
                  <w:divBdr>
                    <w:top w:val="none" w:sz="0" w:space="0" w:color="auto"/>
                    <w:left w:val="none" w:sz="0" w:space="0" w:color="auto"/>
                    <w:bottom w:val="none" w:sz="0" w:space="0" w:color="auto"/>
                    <w:right w:val="none" w:sz="0" w:space="0" w:color="auto"/>
                  </w:divBdr>
                  <w:divsChild>
                    <w:div w:id="367068310">
                      <w:marLeft w:val="0"/>
                      <w:marRight w:val="0"/>
                      <w:marTop w:val="0"/>
                      <w:marBottom w:val="0"/>
                      <w:divBdr>
                        <w:top w:val="none" w:sz="0" w:space="0" w:color="auto"/>
                        <w:left w:val="none" w:sz="0" w:space="0" w:color="auto"/>
                        <w:bottom w:val="none" w:sz="0" w:space="0" w:color="auto"/>
                        <w:right w:val="none" w:sz="0" w:space="0" w:color="auto"/>
                      </w:divBdr>
                    </w:div>
                  </w:divsChild>
                </w:div>
                <w:div w:id="312415657">
                  <w:marLeft w:val="0"/>
                  <w:marRight w:val="0"/>
                  <w:marTop w:val="0"/>
                  <w:marBottom w:val="0"/>
                  <w:divBdr>
                    <w:top w:val="none" w:sz="0" w:space="0" w:color="auto"/>
                    <w:left w:val="none" w:sz="0" w:space="0" w:color="auto"/>
                    <w:bottom w:val="none" w:sz="0" w:space="0" w:color="auto"/>
                    <w:right w:val="none" w:sz="0" w:space="0" w:color="auto"/>
                  </w:divBdr>
                  <w:divsChild>
                    <w:div w:id="256987868">
                      <w:marLeft w:val="0"/>
                      <w:marRight w:val="0"/>
                      <w:marTop w:val="0"/>
                      <w:marBottom w:val="0"/>
                      <w:divBdr>
                        <w:top w:val="none" w:sz="0" w:space="0" w:color="auto"/>
                        <w:left w:val="none" w:sz="0" w:space="0" w:color="auto"/>
                        <w:bottom w:val="none" w:sz="0" w:space="0" w:color="auto"/>
                        <w:right w:val="none" w:sz="0" w:space="0" w:color="auto"/>
                      </w:divBdr>
                    </w:div>
                    <w:div w:id="303707591">
                      <w:marLeft w:val="0"/>
                      <w:marRight w:val="0"/>
                      <w:marTop w:val="0"/>
                      <w:marBottom w:val="0"/>
                      <w:divBdr>
                        <w:top w:val="none" w:sz="0" w:space="0" w:color="auto"/>
                        <w:left w:val="none" w:sz="0" w:space="0" w:color="auto"/>
                        <w:bottom w:val="none" w:sz="0" w:space="0" w:color="auto"/>
                        <w:right w:val="none" w:sz="0" w:space="0" w:color="auto"/>
                      </w:divBdr>
                    </w:div>
                    <w:div w:id="832259671">
                      <w:marLeft w:val="0"/>
                      <w:marRight w:val="0"/>
                      <w:marTop w:val="0"/>
                      <w:marBottom w:val="0"/>
                      <w:divBdr>
                        <w:top w:val="none" w:sz="0" w:space="0" w:color="auto"/>
                        <w:left w:val="none" w:sz="0" w:space="0" w:color="auto"/>
                        <w:bottom w:val="none" w:sz="0" w:space="0" w:color="auto"/>
                        <w:right w:val="none" w:sz="0" w:space="0" w:color="auto"/>
                      </w:divBdr>
                    </w:div>
                    <w:div w:id="1374421686">
                      <w:marLeft w:val="0"/>
                      <w:marRight w:val="0"/>
                      <w:marTop w:val="0"/>
                      <w:marBottom w:val="0"/>
                      <w:divBdr>
                        <w:top w:val="none" w:sz="0" w:space="0" w:color="auto"/>
                        <w:left w:val="none" w:sz="0" w:space="0" w:color="auto"/>
                        <w:bottom w:val="none" w:sz="0" w:space="0" w:color="auto"/>
                        <w:right w:val="none" w:sz="0" w:space="0" w:color="auto"/>
                      </w:divBdr>
                    </w:div>
                  </w:divsChild>
                </w:div>
                <w:div w:id="860364631">
                  <w:marLeft w:val="0"/>
                  <w:marRight w:val="0"/>
                  <w:marTop w:val="0"/>
                  <w:marBottom w:val="0"/>
                  <w:divBdr>
                    <w:top w:val="none" w:sz="0" w:space="0" w:color="auto"/>
                    <w:left w:val="none" w:sz="0" w:space="0" w:color="auto"/>
                    <w:bottom w:val="none" w:sz="0" w:space="0" w:color="auto"/>
                    <w:right w:val="none" w:sz="0" w:space="0" w:color="auto"/>
                  </w:divBdr>
                  <w:divsChild>
                    <w:div w:id="174154627">
                      <w:marLeft w:val="0"/>
                      <w:marRight w:val="0"/>
                      <w:marTop w:val="0"/>
                      <w:marBottom w:val="0"/>
                      <w:divBdr>
                        <w:top w:val="none" w:sz="0" w:space="0" w:color="auto"/>
                        <w:left w:val="none" w:sz="0" w:space="0" w:color="auto"/>
                        <w:bottom w:val="none" w:sz="0" w:space="0" w:color="auto"/>
                        <w:right w:val="none" w:sz="0" w:space="0" w:color="auto"/>
                      </w:divBdr>
                    </w:div>
                  </w:divsChild>
                </w:div>
                <w:div w:id="1321424222">
                  <w:marLeft w:val="0"/>
                  <w:marRight w:val="0"/>
                  <w:marTop w:val="0"/>
                  <w:marBottom w:val="0"/>
                  <w:divBdr>
                    <w:top w:val="none" w:sz="0" w:space="0" w:color="auto"/>
                    <w:left w:val="none" w:sz="0" w:space="0" w:color="auto"/>
                    <w:bottom w:val="none" w:sz="0" w:space="0" w:color="auto"/>
                    <w:right w:val="none" w:sz="0" w:space="0" w:color="auto"/>
                  </w:divBdr>
                  <w:divsChild>
                    <w:div w:id="58135935">
                      <w:marLeft w:val="0"/>
                      <w:marRight w:val="0"/>
                      <w:marTop w:val="0"/>
                      <w:marBottom w:val="0"/>
                      <w:divBdr>
                        <w:top w:val="none" w:sz="0" w:space="0" w:color="auto"/>
                        <w:left w:val="none" w:sz="0" w:space="0" w:color="auto"/>
                        <w:bottom w:val="none" w:sz="0" w:space="0" w:color="auto"/>
                        <w:right w:val="none" w:sz="0" w:space="0" w:color="auto"/>
                      </w:divBdr>
                    </w:div>
                    <w:div w:id="262881266">
                      <w:marLeft w:val="0"/>
                      <w:marRight w:val="0"/>
                      <w:marTop w:val="0"/>
                      <w:marBottom w:val="0"/>
                      <w:divBdr>
                        <w:top w:val="none" w:sz="0" w:space="0" w:color="auto"/>
                        <w:left w:val="none" w:sz="0" w:space="0" w:color="auto"/>
                        <w:bottom w:val="none" w:sz="0" w:space="0" w:color="auto"/>
                        <w:right w:val="none" w:sz="0" w:space="0" w:color="auto"/>
                      </w:divBdr>
                    </w:div>
                    <w:div w:id="693308205">
                      <w:marLeft w:val="0"/>
                      <w:marRight w:val="0"/>
                      <w:marTop w:val="0"/>
                      <w:marBottom w:val="0"/>
                      <w:divBdr>
                        <w:top w:val="none" w:sz="0" w:space="0" w:color="auto"/>
                        <w:left w:val="none" w:sz="0" w:space="0" w:color="auto"/>
                        <w:bottom w:val="none" w:sz="0" w:space="0" w:color="auto"/>
                        <w:right w:val="none" w:sz="0" w:space="0" w:color="auto"/>
                      </w:divBdr>
                    </w:div>
                    <w:div w:id="741757425">
                      <w:marLeft w:val="0"/>
                      <w:marRight w:val="0"/>
                      <w:marTop w:val="0"/>
                      <w:marBottom w:val="0"/>
                      <w:divBdr>
                        <w:top w:val="none" w:sz="0" w:space="0" w:color="auto"/>
                        <w:left w:val="none" w:sz="0" w:space="0" w:color="auto"/>
                        <w:bottom w:val="none" w:sz="0" w:space="0" w:color="auto"/>
                        <w:right w:val="none" w:sz="0" w:space="0" w:color="auto"/>
                      </w:divBdr>
                    </w:div>
                    <w:div w:id="910849604">
                      <w:marLeft w:val="0"/>
                      <w:marRight w:val="0"/>
                      <w:marTop w:val="0"/>
                      <w:marBottom w:val="0"/>
                      <w:divBdr>
                        <w:top w:val="none" w:sz="0" w:space="0" w:color="auto"/>
                        <w:left w:val="none" w:sz="0" w:space="0" w:color="auto"/>
                        <w:bottom w:val="none" w:sz="0" w:space="0" w:color="auto"/>
                        <w:right w:val="none" w:sz="0" w:space="0" w:color="auto"/>
                      </w:divBdr>
                    </w:div>
                    <w:div w:id="981234610">
                      <w:marLeft w:val="0"/>
                      <w:marRight w:val="0"/>
                      <w:marTop w:val="0"/>
                      <w:marBottom w:val="0"/>
                      <w:divBdr>
                        <w:top w:val="none" w:sz="0" w:space="0" w:color="auto"/>
                        <w:left w:val="none" w:sz="0" w:space="0" w:color="auto"/>
                        <w:bottom w:val="none" w:sz="0" w:space="0" w:color="auto"/>
                        <w:right w:val="none" w:sz="0" w:space="0" w:color="auto"/>
                      </w:divBdr>
                    </w:div>
                    <w:div w:id="1125462656">
                      <w:marLeft w:val="0"/>
                      <w:marRight w:val="0"/>
                      <w:marTop w:val="0"/>
                      <w:marBottom w:val="0"/>
                      <w:divBdr>
                        <w:top w:val="none" w:sz="0" w:space="0" w:color="auto"/>
                        <w:left w:val="none" w:sz="0" w:space="0" w:color="auto"/>
                        <w:bottom w:val="none" w:sz="0" w:space="0" w:color="auto"/>
                        <w:right w:val="none" w:sz="0" w:space="0" w:color="auto"/>
                      </w:divBdr>
                    </w:div>
                    <w:div w:id="1350640931">
                      <w:marLeft w:val="0"/>
                      <w:marRight w:val="0"/>
                      <w:marTop w:val="0"/>
                      <w:marBottom w:val="0"/>
                      <w:divBdr>
                        <w:top w:val="none" w:sz="0" w:space="0" w:color="auto"/>
                        <w:left w:val="none" w:sz="0" w:space="0" w:color="auto"/>
                        <w:bottom w:val="none" w:sz="0" w:space="0" w:color="auto"/>
                        <w:right w:val="none" w:sz="0" w:space="0" w:color="auto"/>
                      </w:divBdr>
                    </w:div>
                    <w:div w:id="1818842709">
                      <w:marLeft w:val="0"/>
                      <w:marRight w:val="0"/>
                      <w:marTop w:val="0"/>
                      <w:marBottom w:val="0"/>
                      <w:divBdr>
                        <w:top w:val="none" w:sz="0" w:space="0" w:color="auto"/>
                        <w:left w:val="none" w:sz="0" w:space="0" w:color="auto"/>
                        <w:bottom w:val="none" w:sz="0" w:space="0" w:color="auto"/>
                        <w:right w:val="none" w:sz="0" w:space="0" w:color="auto"/>
                      </w:divBdr>
                    </w:div>
                    <w:div w:id="1972976964">
                      <w:marLeft w:val="0"/>
                      <w:marRight w:val="0"/>
                      <w:marTop w:val="0"/>
                      <w:marBottom w:val="0"/>
                      <w:divBdr>
                        <w:top w:val="none" w:sz="0" w:space="0" w:color="auto"/>
                        <w:left w:val="none" w:sz="0" w:space="0" w:color="auto"/>
                        <w:bottom w:val="none" w:sz="0" w:space="0" w:color="auto"/>
                        <w:right w:val="none" w:sz="0" w:space="0" w:color="auto"/>
                      </w:divBdr>
                    </w:div>
                  </w:divsChild>
                </w:div>
                <w:div w:id="1337221731">
                  <w:marLeft w:val="0"/>
                  <w:marRight w:val="0"/>
                  <w:marTop w:val="0"/>
                  <w:marBottom w:val="0"/>
                  <w:divBdr>
                    <w:top w:val="none" w:sz="0" w:space="0" w:color="auto"/>
                    <w:left w:val="none" w:sz="0" w:space="0" w:color="auto"/>
                    <w:bottom w:val="none" w:sz="0" w:space="0" w:color="auto"/>
                    <w:right w:val="none" w:sz="0" w:space="0" w:color="auto"/>
                  </w:divBdr>
                  <w:divsChild>
                    <w:div w:id="1414623922">
                      <w:marLeft w:val="0"/>
                      <w:marRight w:val="0"/>
                      <w:marTop w:val="0"/>
                      <w:marBottom w:val="0"/>
                      <w:divBdr>
                        <w:top w:val="none" w:sz="0" w:space="0" w:color="auto"/>
                        <w:left w:val="none" w:sz="0" w:space="0" w:color="auto"/>
                        <w:bottom w:val="none" w:sz="0" w:space="0" w:color="auto"/>
                        <w:right w:val="none" w:sz="0" w:space="0" w:color="auto"/>
                      </w:divBdr>
                    </w:div>
                  </w:divsChild>
                </w:div>
                <w:div w:id="1544630181">
                  <w:marLeft w:val="0"/>
                  <w:marRight w:val="0"/>
                  <w:marTop w:val="0"/>
                  <w:marBottom w:val="0"/>
                  <w:divBdr>
                    <w:top w:val="none" w:sz="0" w:space="0" w:color="auto"/>
                    <w:left w:val="none" w:sz="0" w:space="0" w:color="auto"/>
                    <w:bottom w:val="none" w:sz="0" w:space="0" w:color="auto"/>
                    <w:right w:val="none" w:sz="0" w:space="0" w:color="auto"/>
                  </w:divBdr>
                  <w:divsChild>
                    <w:div w:id="175661145">
                      <w:marLeft w:val="0"/>
                      <w:marRight w:val="0"/>
                      <w:marTop w:val="0"/>
                      <w:marBottom w:val="0"/>
                      <w:divBdr>
                        <w:top w:val="none" w:sz="0" w:space="0" w:color="auto"/>
                        <w:left w:val="none" w:sz="0" w:space="0" w:color="auto"/>
                        <w:bottom w:val="none" w:sz="0" w:space="0" w:color="auto"/>
                        <w:right w:val="none" w:sz="0" w:space="0" w:color="auto"/>
                      </w:divBdr>
                    </w:div>
                    <w:div w:id="566957326">
                      <w:marLeft w:val="0"/>
                      <w:marRight w:val="0"/>
                      <w:marTop w:val="0"/>
                      <w:marBottom w:val="0"/>
                      <w:divBdr>
                        <w:top w:val="none" w:sz="0" w:space="0" w:color="auto"/>
                        <w:left w:val="none" w:sz="0" w:space="0" w:color="auto"/>
                        <w:bottom w:val="none" w:sz="0" w:space="0" w:color="auto"/>
                        <w:right w:val="none" w:sz="0" w:space="0" w:color="auto"/>
                      </w:divBdr>
                    </w:div>
                    <w:div w:id="1014847524">
                      <w:marLeft w:val="0"/>
                      <w:marRight w:val="0"/>
                      <w:marTop w:val="0"/>
                      <w:marBottom w:val="0"/>
                      <w:divBdr>
                        <w:top w:val="none" w:sz="0" w:space="0" w:color="auto"/>
                        <w:left w:val="none" w:sz="0" w:space="0" w:color="auto"/>
                        <w:bottom w:val="none" w:sz="0" w:space="0" w:color="auto"/>
                        <w:right w:val="none" w:sz="0" w:space="0" w:color="auto"/>
                      </w:divBdr>
                    </w:div>
                    <w:div w:id="1805855628">
                      <w:marLeft w:val="0"/>
                      <w:marRight w:val="0"/>
                      <w:marTop w:val="0"/>
                      <w:marBottom w:val="0"/>
                      <w:divBdr>
                        <w:top w:val="none" w:sz="0" w:space="0" w:color="auto"/>
                        <w:left w:val="none" w:sz="0" w:space="0" w:color="auto"/>
                        <w:bottom w:val="none" w:sz="0" w:space="0" w:color="auto"/>
                        <w:right w:val="none" w:sz="0" w:space="0" w:color="auto"/>
                      </w:divBdr>
                    </w:div>
                  </w:divsChild>
                </w:div>
                <w:div w:id="1774937715">
                  <w:marLeft w:val="0"/>
                  <w:marRight w:val="0"/>
                  <w:marTop w:val="0"/>
                  <w:marBottom w:val="0"/>
                  <w:divBdr>
                    <w:top w:val="none" w:sz="0" w:space="0" w:color="auto"/>
                    <w:left w:val="none" w:sz="0" w:space="0" w:color="auto"/>
                    <w:bottom w:val="none" w:sz="0" w:space="0" w:color="auto"/>
                    <w:right w:val="none" w:sz="0" w:space="0" w:color="auto"/>
                  </w:divBdr>
                  <w:divsChild>
                    <w:div w:id="1065178231">
                      <w:marLeft w:val="0"/>
                      <w:marRight w:val="0"/>
                      <w:marTop w:val="0"/>
                      <w:marBottom w:val="0"/>
                      <w:divBdr>
                        <w:top w:val="none" w:sz="0" w:space="0" w:color="auto"/>
                        <w:left w:val="none" w:sz="0" w:space="0" w:color="auto"/>
                        <w:bottom w:val="none" w:sz="0" w:space="0" w:color="auto"/>
                        <w:right w:val="none" w:sz="0" w:space="0" w:color="auto"/>
                      </w:divBdr>
                    </w:div>
                  </w:divsChild>
                </w:div>
                <w:div w:id="1889754261">
                  <w:marLeft w:val="0"/>
                  <w:marRight w:val="0"/>
                  <w:marTop w:val="0"/>
                  <w:marBottom w:val="0"/>
                  <w:divBdr>
                    <w:top w:val="none" w:sz="0" w:space="0" w:color="auto"/>
                    <w:left w:val="none" w:sz="0" w:space="0" w:color="auto"/>
                    <w:bottom w:val="none" w:sz="0" w:space="0" w:color="auto"/>
                    <w:right w:val="none" w:sz="0" w:space="0" w:color="auto"/>
                  </w:divBdr>
                  <w:divsChild>
                    <w:div w:id="1785808690">
                      <w:marLeft w:val="0"/>
                      <w:marRight w:val="0"/>
                      <w:marTop w:val="0"/>
                      <w:marBottom w:val="0"/>
                      <w:divBdr>
                        <w:top w:val="none" w:sz="0" w:space="0" w:color="auto"/>
                        <w:left w:val="none" w:sz="0" w:space="0" w:color="auto"/>
                        <w:bottom w:val="none" w:sz="0" w:space="0" w:color="auto"/>
                        <w:right w:val="none" w:sz="0" w:space="0" w:color="auto"/>
                      </w:divBdr>
                    </w:div>
                  </w:divsChild>
                </w:div>
                <w:div w:id="2001230860">
                  <w:marLeft w:val="0"/>
                  <w:marRight w:val="0"/>
                  <w:marTop w:val="0"/>
                  <w:marBottom w:val="0"/>
                  <w:divBdr>
                    <w:top w:val="none" w:sz="0" w:space="0" w:color="auto"/>
                    <w:left w:val="none" w:sz="0" w:space="0" w:color="auto"/>
                    <w:bottom w:val="none" w:sz="0" w:space="0" w:color="auto"/>
                    <w:right w:val="none" w:sz="0" w:space="0" w:color="auto"/>
                  </w:divBdr>
                  <w:divsChild>
                    <w:div w:id="1081171606">
                      <w:marLeft w:val="0"/>
                      <w:marRight w:val="0"/>
                      <w:marTop w:val="0"/>
                      <w:marBottom w:val="0"/>
                      <w:divBdr>
                        <w:top w:val="none" w:sz="0" w:space="0" w:color="auto"/>
                        <w:left w:val="none" w:sz="0" w:space="0" w:color="auto"/>
                        <w:bottom w:val="none" w:sz="0" w:space="0" w:color="auto"/>
                        <w:right w:val="none" w:sz="0" w:space="0" w:color="auto"/>
                      </w:divBdr>
                    </w:div>
                    <w:div w:id="1103568444">
                      <w:marLeft w:val="0"/>
                      <w:marRight w:val="0"/>
                      <w:marTop w:val="0"/>
                      <w:marBottom w:val="0"/>
                      <w:divBdr>
                        <w:top w:val="none" w:sz="0" w:space="0" w:color="auto"/>
                        <w:left w:val="none" w:sz="0" w:space="0" w:color="auto"/>
                        <w:bottom w:val="none" w:sz="0" w:space="0" w:color="auto"/>
                        <w:right w:val="none" w:sz="0" w:space="0" w:color="auto"/>
                      </w:divBdr>
                    </w:div>
                    <w:div w:id="120077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95286">
          <w:marLeft w:val="0"/>
          <w:marRight w:val="0"/>
          <w:marTop w:val="0"/>
          <w:marBottom w:val="0"/>
          <w:divBdr>
            <w:top w:val="none" w:sz="0" w:space="0" w:color="auto"/>
            <w:left w:val="none" w:sz="0" w:space="0" w:color="auto"/>
            <w:bottom w:val="none" w:sz="0" w:space="0" w:color="auto"/>
            <w:right w:val="none" w:sz="0" w:space="0" w:color="auto"/>
          </w:divBdr>
        </w:div>
      </w:divsChild>
    </w:div>
    <w:div w:id="1210725358">
      <w:bodyDiv w:val="1"/>
      <w:marLeft w:val="0"/>
      <w:marRight w:val="0"/>
      <w:marTop w:val="0"/>
      <w:marBottom w:val="0"/>
      <w:divBdr>
        <w:top w:val="none" w:sz="0" w:space="0" w:color="auto"/>
        <w:left w:val="none" w:sz="0" w:space="0" w:color="auto"/>
        <w:bottom w:val="none" w:sz="0" w:space="0" w:color="auto"/>
        <w:right w:val="none" w:sz="0" w:space="0" w:color="auto"/>
      </w:divBdr>
      <w:divsChild>
        <w:div w:id="144788291">
          <w:marLeft w:val="0"/>
          <w:marRight w:val="0"/>
          <w:marTop w:val="0"/>
          <w:marBottom w:val="0"/>
          <w:divBdr>
            <w:top w:val="none" w:sz="0" w:space="0" w:color="auto"/>
            <w:left w:val="none" w:sz="0" w:space="0" w:color="auto"/>
            <w:bottom w:val="none" w:sz="0" w:space="0" w:color="auto"/>
            <w:right w:val="none" w:sz="0" w:space="0" w:color="auto"/>
          </w:divBdr>
          <w:divsChild>
            <w:div w:id="68045276">
              <w:marLeft w:val="-75"/>
              <w:marRight w:val="0"/>
              <w:marTop w:val="30"/>
              <w:marBottom w:val="30"/>
              <w:divBdr>
                <w:top w:val="none" w:sz="0" w:space="0" w:color="auto"/>
                <w:left w:val="none" w:sz="0" w:space="0" w:color="auto"/>
                <w:bottom w:val="none" w:sz="0" w:space="0" w:color="auto"/>
                <w:right w:val="none" w:sz="0" w:space="0" w:color="auto"/>
              </w:divBdr>
              <w:divsChild>
                <w:div w:id="168375109">
                  <w:marLeft w:val="0"/>
                  <w:marRight w:val="0"/>
                  <w:marTop w:val="0"/>
                  <w:marBottom w:val="0"/>
                  <w:divBdr>
                    <w:top w:val="none" w:sz="0" w:space="0" w:color="auto"/>
                    <w:left w:val="none" w:sz="0" w:space="0" w:color="auto"/>
                    <w:bottom w:val="none" w:sz="0" w:space="0" w:color="auto"/>
                    <w:right w:val="none" w:sz="0" w:space="0" w:color="auto"/>
                  </w:divBdr>
                  <w:divsChild>
                    <w:div w:id="1876582440">
                      <w:marLeft w:val="0"/>
                      <w:marRight w:val="0"/>
                      <w:marTop w:val="0"/>
                      <w:marBottom w:val="0"/>
                      <w:divBdr>
                        <w:top w:val="none" w:sz="0" w:space="0" w:color="auto"/>
                        <w:left w:val="none" w:sz="0" w:space="0" w:color="auto"/>
                        <w:bottom w:val="none" w:sz="0" w:space="0" w:color="auto"/>
                        <w:right w:val="none" w:sz="0" w:space="0" w:color="auto"/>
                      </w:divBdr>
                    </w:div>
                  </w:divsChild>
                </w:div>
                <w:div w:id="233702703">
                  <w:marLeft w:val="0"/>
                  <w:marRight w:val="0"/>
                  <w:marTop w:val="0"/>
                  <w:marBottom w:val="0"/>
                  <w:divBdr>
                    <w:top w:val="none" w:sz="0" w:space="0" w:color="auto"/>
                    <w:left w:val="none" w:sz="0" w:space="0" w:color="auto"/>
                    <w:bottom w:val="none" w:sz="0" w:space="0" w:color="auto"/>
                    <w:right w:val="none" w:sz="0" w:space="0" w:color="auto"/>
                  </w:divBdr>
                  <w:divsChild>
                    <w:div w:id="1462308592">
                      <w:marLeft w:val="0"/>
                      <w:marRight w:val="0"/>
                      <w:marTop w:val="0"/>
                      <w:marBottom w:val="0"/>
                      <w:divBdr>
                        <w:top w:val="none" w:sz="0" w:space="0" w:color="auto"/>
                        <w:left w:val="none" w:sz="0" w:space="0" w:color="auto"/>
                        <w:bottom w:val="none" w:sz="0" w:space="0" w:color="auto"/>
                        <w:right w:val="none" w:sz="0" w:space="0" w:color="auto"/>
                      </w:divBdr>
                    </w:div>
                  </w:divsChild>
                </w:div>
                <w:div w:id="250434541">
                  <w:marLeft w:val="0"/>
                  <w:marRight w:val="0"/>
                  <w:marTop w:val="0"/>
                  <w:marBottom w:val="0"/>
                  <w:divBdr>
                    <w:top w:val="none" w:sz="0" w:space="0" w:color="auto"/>
                    <w:left w:val="none" w:sz="0" w:space="0" w:color="auto"/>
                    <w:bottom w:val="none" w:sz="0" w:space="0" w:color="auto"/>
                    <w:right w:val="none" w:sz="0" w:space="0" w:color="auto"/>
                  </w:divBdr>
                  <w:divsChild>
                    <w:div w:id="1821729669">
                      <w:marLeft w:val="0"/>
                      <w:marRight w:val="0"/>
                      <w:marTop w:val="0"/>
                      <w:marBottom w:val="0"/>
                      <w:divBdr>
                        <w:top w:val="none" w:sz="0" w:space="0" w:color="auto"/>
                        <w:left w:val="none" w:sz="0" w:space="0" w:color="auto"/>
                        <w:bottom w:val="none" w:sz="0" w:space="0" w:color="auto"/>
                        <w:right w:val="none" w:sz="0" w:space="0" w:color="auto"/>
                      </w:divBdr>
                    </w:div>
                  </w:divsChild>
                </w:div>
                <w:div w:id="345181771">
                  <w:marLeft w:val="0"/>
                  <w:marRight w:val="0"/>
                  <w:marTop w:val="0"/>
                  <w:marBottom w:val="0"/>
                  <w:divBdr>
                    <w:top w:val="none" w:sz="0" w:space="0" w:color="auto"/>
                    <w:left w:val="none" w:sz="0" w:space="0" w:color="auto"/>
                    <w:bottom w:val="none" w:sz="0" w:space="0" w:color="auto"/>
                    <w:right w:val="none" w:sz="0" w:space="0" w:color="auto"/>
                  </w:divBdr>
                  <w:divsChild>
                    <w:div w:id="447745382">
                      <w:marLeft w:val="0"/>
                      <w:marRight w:val="0"/>
                      <w:marTop w:val="0"/>
                      <w:marBottom w:val="0"/>
                      <w:divBdr>
                        <w:top w:val="none" w:sz="0" w:space="0" w:color="auto"/>
                        <w:left w:val="none" w:sz="0" w:space="0" w:color="auto"/>
                        <w:bottom w:val="none" w:sz="0" w:space="0" w:color="auto"/>
                        <w:right w:val="none" w:sz="0" w:space="0" w:color="auto"/>
                      </w:divBdr>
                    </w:div>
                    <w:div w:id="1977636647">
                      <w:marLeft w:val="0"/>
                      <w:marRight w:val="0"/>
                      <w:marTop w:val="0"/>
                      <w:marBottom w:val="0"/>
                      <w:divBdr>
                        <w:top w:val="none" w:sz="0" w:space="0" w:color="auto"/>
                        <w:left w:val="none" w:sz="0" w:space="0" w:color="auto"/>
                        <w:bottom w:val="none" w:sz="0" w:space="0" w:color="auto"/>
                        <w:right w:val="none" w:sz="0" w:space="0" w:color="auto"/>
                      </w:divBdr>
                    </w:div>
                  </w:divsChild>
                </w:div>
                <w:div w:id="400443140">
                  <w:marLeft w:val="0"/>
                  <w:marRight w:val="0"/>
                  <w:marTop w:val="0"/>
                  <w:marBottom w:val="0"/>
                  <w:divBdr>
                    <w:top w:val="none" w:sz="0" w:space="0" w:color="auto"/>
                    <w:left w:val="none" w:sz="0" w:space="0" w:color="auto"/>
                    <w:bottom w:val="none" w:sz="0" w:space="0" w:color="auto"/>
                    <w:right w:val="none" w:sz="0" w:space="0" w:color="auto"/>
                  </w:divBdr>
                  <w:divsChild>
                    <w:div w:id="91249305">
                      <w:marLeft w:val="0"/>
                      <w:marRight w:val="0"/>
                      <w:marTop w:val="0"/>
                      <w:marBottom w:val="0"/>
                      <w:divBdr>
                        <w:top w:val="none" w:sz="0" w:space="0" w:color="auto"/>
                        <w:left w:val="none" w:sz="0" w:space="0" w:color="auto"/>
                        <w:bottom w:val="none" w:sz="0" w:space="0" w:color="auto"/>
                        <w:right w:val="none" w:sz="0" w:space="0" w:color="auto"/>
                      </w:divBdr>
                    </w:div>
                    <w:div w:id="892277432">
                      <w:marLeft w:val="0"/>
                      <w:marRight w:val="0"/>
                      <w:marTop w:val="0"/>
                      <w:marBottom w:val="0"/>
                      <w:divBdr>
                        <w:top w:val="none" w:sz="0" w:space="0" w:color="auto"/>
                        <w:left w:val="none" w:sz="0" w:space="0" w:color="auto"/>
                        <w:bottom w:val="none" w:sz="0" w:space="0" w:color="auto"/>
                        <w:right w:val="none" w:sz="0" w:space="0" w:color="auto"/>
                      </w:divBdr>
                    </w:div>
                    <w:div w:id="1606762974">
                      <w:marLeft w:val="0"/>
                      <w:marRight w:val="0"/>
                      <w:marTop w:val="0"/>
                      <w:marBottom w:val="0"/>
                      <w:divBdr>
                        <w:top w:val="none" w:sz="0" w:space="0" w:color="auto"/>
                        <w:left w:val="none" w:sz="0" w:space="0" w:color="auto"/>
                        <w:bottom w:val="none" w:sz="0" w:space="0" w:color="auto"/>
                        <w:right w:val="none" w:sz="0" w:space="0" w:color="auto"/>
                      </w:divBdr>
                    </w:div>
                  </w:divsChild>
                </w:div>
                <w:div w:id="402459851">
                  <w:marLeft w:val="0"/>
                  <w:marRight w:val="0"/>
                  <w:marTop w:val="0"/>
                  <w:marBottom w:val="0"/>
                  <w:divBdr>
                    <w:top w:val="none" w:sz="0" w:space="0" w:color="auto"/>
                    <w:left w:val="none" w:sz="0" w:space="0" w:color="auto"/>
                    <w:bottom w:val="none" w:sz="0" w:space="0" w:color="auto"/>
                    <w:right w:val="none" w:sz="0" w:space="0" w:color="auto"/>
                  </w:divBdr>
                  <w:divsChild>
                    <w:div w:id="1008219615">
                      <w:marLeft w:val="0"/>
                      <w:marRight w:val="0"/>
                      <w:marTop w:val="0"/>
                      <w:marBottom w:val="0"/>
                      <w:divBdr>
                        <w:top w:val="none" w:sz="0" w:space="0" w:color="auto"/>
                        <w:left w:val="none" w:sz="0" w:space="0" w:color="auto"/>
                        <w:bottom w:val="none" w:sz="0" w:space="0" w:color="auto"/>
                        <w:right w:val="none" w:sz="0" w:space="0" w:color="auto"/>
                      </w:divBdr>
                    </w:div>
                    <w:div w:id="1020930981">
                      <w:marLeft w:val="0"/>
                      <w:marRight w:val="0"/>
                      <w:marTop w:val="0"/>
                      <w:marBottom w:val="0"/>
                      <w:divBdr>
                        <w:top w:val="none" w:sz="0" w:space="0" w:color="auto"/>
                        <w:left w:val="none" w:sz="0" w:space="0" w:color="auto"/>
                        <w:bottom w:val="none" w:sz="0" w:space="0" w:color="auto"/>
                        <w:right w:val="none" w:sz="0" w:space="0" w:color="auto"/>
                      </w:divBdr>
                    </w:div>
                    <w:div w:id="1927884197">
                      <w:marLeft w:val="0"/>
                      <w:marRight w:val="0"/>
                      <w:marTop w:val="0"/>
                      <w:marBottom w:val="0"/>
                      <w:divBdr>
                        <w:top w:val="none" w:sz="0" w:space="0" w:color="auto"/>
                        <w:left w:val="none" w:sz="0" w:space="0" w:color="auto"/>
                        <w:bottom w:val="none" w:sz="0" w:space="0" w:color="auto"/>
                        <w:right w:val="none" w:sz="0" w:space="0" w:color="auto"/>
                      </w:divBdr>
                    </w:div>
                  </w:divsChild>
                </w:div>
                <w:div w:id="456029743">
                  <w:marLeft w:val="0"/>
                  <w:marRight w:val="0"/>
                  <w:marTop w:val="0"/>
                  <w:marBottom w:val="0"/>
                  <w:divBdr>
                    <w:top w:val="none" w:sz="0" w:space="0" w:color="auto"/>
                    <w:left w:val="none" w:sz="0" w:space="0" w:color="auto"/>
                    <w:bottom w:val="none" w:sz="0" w:space="0" w:color="auto"/>
                    <w:right w:val="none" w:sz="0" w:space="0" w:color="auto"/>
                  </w:divBdr>
                  <w:divsChild>
                    <w:div w:id="1299724156">
                      <w:marLeft w:val="0"/>
                      <w:marRight w:val="0"/>
                      <w:marTop w:val="0"/>
                      <w:marBottom w:val="0"/>
                      <w:divBdr>
                        <w:top w:val="none" w:sz="0" w:space="0" w:color="auto"/>
                        <w:left w:val="none" w:sz="0" w:space="0" w:color="auto"/>
                        <w:bottom w:val="none" w:sz="0" w:space="0" w:color="auto"/>
                        <w:right w:val="none" w:sz="0" w:space="0" w:color="auto"/>
                      </w:divBdr>
                    </w:div>
                  </w:divsChild>
                </w:div>
                <w:div w:id="483472744">
                  <w:marLeft w:val="0"/>
                  <w:marRight w:val="0"/>
                  <w:marTop w:val="0"/>
                  <w:marBottom w:val="0"/>
                  <w:divBdr>
                    <w:top w:val="none" w:sz="0" w:space="0" w:color="auto"/>
                    <w:left w:val="none" w:sz="0" w:space="0" w:color="auto"/>
                    <w:bottom w:val="none" w:sz="0" w:space="0" w:color="auto"/>
                    <w:right w:val="none" w:sz="0" w:space="0" w:color="auto"/>
                  </w:divBdr>
                  <w:divsChild>
                    <w:div w:id="2077044466">
                      <w:marLeft w:val="0"/>
                      <w:marRight w:val="0"/>
                      <w:marTop w:val="0"/>
                      <w:marBottom w:val="0"/>
                      <w:divBdr>
                        <w:top w:val="none" w:sz="0" w:space="0" w:color="auto"/>
                        <w:left w:val="none" w:sz="0" w:space="0" w:color="auto"/>
                        <w:bottom w:val="none" w:sz="0" w:space="0" w:color="auto"/>
                        <w:right w:val="none" w:sz="0" w:space="0" w:color="auto"/>
                      </w:divBdr>
                    </w:div>
                  </w:divsChild>
                </w:div>
                <w:div w:id="537469062">
                  <w:marLeft w:val="0"/>
                  <w:marRight w:val="0"/>
                  <w:marTop w:val="0"/>
                  <w:marBottom w:val="0"/>
                  <w:divBdr>
                    <w:top w:val="none" w:sz="0" w:space="0" w:color="auto"/>
                    <w:left w:val="none" w:sz="0" w:space="0" w:color="auto"/>
                    <w:bottom w:val="none" w:sz="0" w:space="0" w:color="auto"/>
                    <w:right w:val="none" w:sz="0" w:space="0" w:color="auto"/>
                  </w:divBdr>
                  <w:divsChild>
                    <w:div w:id="403917923">
                      <w:marLeft w:val="0"/>
                      <w:marRight w:val="0"/>
                      <w:marTop w:val="0"/>
                      <w:marBottom w:val="0"/>
                      <w:divBdr>
                        <w:top w:val="none" w:sz="0" w:space="0" w:color="auto"/>
                        <w:left w:val="none" w:sz="0" w:space="0" w:color="auto"/>
                        <w:bottom w:val="none" w:sz="0" w:space="0" w:color="auto"/>
                        <w:right w:val="none" w:sz="0" w:space="0" w:color="auto"/>
                      </w:divBdr>
                    </w:div>
                  </w:divsChild>
                </w:div>
                <w:div w:id="580797391">
                  <w:marLeft w:val="0"/>
                  <w:marRight w:val="0"/>
                  <w:marTop w:val="0"/>
                  <w:marBottom w:val="0"/>
                  <w:divBdr>
                    <w:top w:val="none" w:sz="0" w:space="0" w:color="auto"/>
                    <w:left w:val="none" w:sz="0" w:space="0" w:color="auto"/>
                    <w:bottom w:val="none" w:sz="0" w:space="0" w:color="auto"/>
                    <w:right w:val="none" w:sz="0" w:space="0" w:color="auto"/>
                  </w:divBdr>
                  <w:divsChild>
                    <w:div w:id="898517809">
                      <w:marLeft w:val="0"/>
                      <w:marRight w:val="0"/>
                      <w:marTop w:val="0"/>
                      <w:marBottom w:val="0"/>
                      <w:divBdr>
                        <w:top w:val="none" w:sz="0" w:space="0" w:color="auto"/>
                        <w:left w:val="none" w:sz="0" w:space="0" w:color="auto"/>
                        <w:bottom w:val="none" w:sz="0" w:space="0" w:color="auto"/>
                        <w:right w:val="none" w:sz="0" w:space="0" w:color="auto"/>
                      </w:divBdr>
                    </w:div>
                  </w:divsChild>
                </w:div>
                <w:div w:id="774053338">
                  <w:marLeft w:val="0"/>
                  <w:marRight w:val="0"/>
                  <w:marTop w:val="0"/>
                  <w:marBottom w:val="0"/>
                  <w:divBdr>
                    <w:top w:val="none" w:sz="0" w:space="0" w:color="auto"/>
                    <w:left w:val="none" w:sz="0" w:space="0" w:color="auto"/>
                    <w:bottom w:val="none" w:sz="0" w:space="0" w:color="auto"/>
                    <w:right w:val="none" w:sz="0" w:space="0" w:color="auto"/>
                  </w:divBdr>
                  <w:divsChild>
                    <w:div w:id="156120199">
                      <w:marLeft w:val="0"/>
                      <w:marRight w:val="0"/>
                      <w:marTop w:val="0"/>
                      <w:marBottom w:val="0"/>
                      <w:divBdr>
                        <w:top w:val="none" w:sz="0" w:space="0" w:color="auto"/>
                        <w:left w:val="none" w:sz="0" w:space="0" w:color="auto"/>
                        <w:bottom w:val="none" w:sz="0" w:space="0" w:color="auto"/>
                        <w:right w:val="none" w:sz="0" w:space="0" w:color="auto"/>
                      </w:divBdr>
                    </w:div>
                  </w:divsChild>
                </w:div>
                <w:div w:id="852039194">
                  <w:marLeft w:val="0"/>
                  <w:marRight w:val="0"/>
                  <w:marTop w:val="0"/>
                  <w:marBottom w:val="0"/>
                  <w:divBdr>
                    <w:top w:val="none" w:sz="0" w:space="0" w:color="auto"/>
                    <w:left w:val="none" w:sz="0" w:space="0" w:color="auto"/>
                    <w:bottom w:val="none" w:sz="0" w:space="0" w:color="auto"/>
                    <w:right w:val="none" w:sz="0" w:space="0" w:color="auto"/>
                  </w:divBdr>
                  <w:divsChild>
                    <w:div w:id="1095983506">
                      <w:marLeft w:val="0"/>
                      <w:marRight w:val="0"/>
                      <w:marTop w:val="0"/>
                      <w:marBottom w:val="0"/>
                      <w:divBdr>
                        <w:top w:val="none" w:sz="0" w:space="0" w:color="auto"/>
                        <w:left w:val="none" w:sz="0" w:space="0" w:color="auto"/>
                        <w:bottom w:val="none" w:sz="0" w:space="0" w:color="auto"/>
                        <w:right w:val="none" w:sz="0" w:space="0" w:color="auto"/>
                      </w:divBdr>
                    </w:div>
                  </w:divsChild>
                </w:div>
                <w:div w:id="887451459">
                  <w:marLeft w:val="0"/>
                  <w:marRight w:val="0"/>
                  <w:marTop w:val="0"/>
                  <w:marBottom w:val="0"/>
                  <w:divBdr>
                    <w:top w:val="none" w:sz="0" w:space="0" w:color="auto"/>
                    <w:left w:val="none" w:sz="0" w:space="0" w:color="auto"/>
                    <w:bottom w:val="none" w:sz="0" w:space="0" w:color="auto"/>
                    <w:right w:val="none" w:sz="0" w:space="0" w:color="auto"/>
                  </w:divBdr>
                  <w:divsChild>
                    <w:div w:id="1963265473">
                      <w:marLeft w:val="0"/>
                      <w:marRight w:val="0"/>
                      <w:marTop w:val="0"/>
                      <w:marBottom w:val="0"/>
                      <w:divBdr>
                        <w:top w:val="none" w:sz="0" w:space="0" w:color="auto"/>
                        <w:left w:val="none" w:sz="0" w:space="0" w:color="auto"/>
                        <w:bottom w:val="none" w:sz="0" w:space="0" w:color="auto"/>
                        <w:right w:val="none" w:sz="0" w:space="0" w:color="auto"/>
                      </w:divBdr>
                    </w:div>
                  </w:divsChild>
                </w:div>
                <w:div w:id="1096680985">
                  <w:marLeft w:val="0"/>
                  <w:marRight w:val="0"/>
                  <w:marTop w:val="0"/>
                  <w:marBottom w:val="0"/>
                  <w:divBdr>
                    <w:top w:val="none" w:sz="0" w:space="0" w:color="auto"/>
                    <w:left w:val="none" w:sz="0" w:space="0" w:color="auto"/>
                    <w:bottom w:val="none" w:sz="0" w:space="0" w:color="auto"/>
                    <w:right w:val="none" w:sz="0" w:space="0" w:color="auto"/>
                  </w:divBdr>
                  <w:divsChild>
                    <w:div w:id="9913631">
                      <w:marLeft w:val="0"/>
                      <w:marRight w:val="0"/>
                      <w:marTop w:val="0"/>
                      <w:marBottom w:val="0"/>
                      <w:divBdr>
                        <w:top w:val="none" w:sz="0" w:space="0" w:color="auto"/>
                        <w:left w:val="none" w:sz="0" w:space="0" w:color="auto"/>
                        <w:bottom w:val="none" w:sz="0" w:space="0" w:color="auto"/>
                        <w:right w:val="none" w:sz="0" w:space="0" w:color="auto"/>
                      </w:divBdr>
                    </w:div>
                  </w:divsChild>
                </w:div>
                <w:div w:id="1557086962">
                  <w:marLeft w:val="0"/>
                  <w:marRight w:val="0"/>
                  <w:marTop w:val="0"/>
                  <w:marBottom w:val="0"/>
                  <w:divBdr>
                    <w:top w:val="none" w:sz="0" w:space="0" w:color="auto"/>
                    <w:left w:val="none" w:sz="0" w:space="0" w:color="auto"/>
                    <w:bottom w:val="none" w:sz="0" w:space="0" w:color="auto"/>
                    <w:right w:val="none" w:sz="0" w:space="0" w:color="auto"/>
                  </w:divBdr>
                  <w:divsChild>
                    <w:div w:id="16575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8482">
          <w:marLeft w:val="0"/>
          <w:marRight w:val="0"/>
          <w:marTop w:val="0"/>
          <w:marBottom w:val="0"/>
          <w:divBdr>
            <w:top w:val="none" w:sz="0" w:space="0" w:color="auto"/>
            <w:left w:val="none" w:sz="0" w:space="0" w:color="auto"/>
            <w:bottom w:val="none" w:sz="0" w:space="0" w:color="auto"/>
            <w:right w:val="none" w:sz="0" w:space="0" w:color="auto"/>
          </w:divBdr>
        </w:div>
        <w:div w:id="195503251">
          <w:marLeft w:val="0"/>
          <w:marRight w:val="0"/>
          <w:marTop w:val="0"/>
          <w:marBottom w:val="0"/>
          <w:divBdr>
            <w:top w:val="none" w:sz="0" w:space="0" w:color="auto"/>
            <w:left w:val="none" w:sz="0" w:space="0" w:color="auto"/>
            <w:bottom w:val="none" w:sz="0" w:space="0" w:color="auto"/>
            <w:right w:val="none" w:sz="0" w:space="0" w:color="auto"/>
          </w:divBdr>
        </w:div>
        <w:div w:id="305016366">
          <w:marLeft w:val="0"/>
          <w:marRight w:val="0"/>
          <w:marTop w:val="0"/>
          <w:marBottom w:val="0"/>
          <w:divBdr>
            <w:top w:val="none" w:sz="0" w:space="0" w:color="auto"/>
            <w:left w:val="none" w:sz="0" w:space="0" w:color="auto"/>
            <w:bottom w:val="none" w:sz="0" w:space="0" w:color="auto"/>
            <w:right w:val="none" w:sz="0" w:space="0" w:color="auto"/>
          </w:divBdr>
        </w:div>
        <w:div w:id="421336449">
          <w:marLeft w:val="0"/>
          <w:marRight w:val="0"/>
          <w:marTop w:val="0"/>
          <w:marBottom w:val="0"/>
          <w:divBdr>
            <w:top w:val="none" w:sz="0" w:space="0" w:color="auto"/>
            <w:left w:val="none" w:sz="0" w:space="0" w:color="auto"/>
            <w:bottom w:val="none" w:sz="0" w:space="0" w:color="auto"/>
            <w:right w:val="none" w:sz="0" w:space="0" w:color="auto"/>
          </w:divBdr>
        </w:div>
        <w:div w:id="595333508">
          <w:marLeft w:val="0"/>
          <w:marRight w:val="0"/>
          <w:marTop w:val="0"/>
          <w:marBottom w:val="0"/>
          <w:divBdr>
            <w:top w:val="none" w:sz="0" w:space="0" w:color="auto"/>
            <w:left w:val="none" w:sz="0" w:space="0" w:color="auto"/>
            <w:bottom w:val="none" w:sz="0" w:space="0" w:color="auto"/>
            <w:right w:val="none" w:sz="0" w:space="0" w:color="auto"/>
          </w:divBdr>
        </w:div>
        <w:div w:id="739718133">
          <w:marLeft w:val="0"/>
          <w:marRight w:val="0"/>
          <w:marTop w:val="0"/>
          <w:marBottom w:val="0"/>
          <w:divBdr>
            <w:top w:val="none" w:sz="0" w:space="0" w:color="auto"/>
            <w:left w:val="none" w:sz="0" w:space="0" w:color="auto"/>
            <w:bottom w:val="none" w:sz="0" w:space="0" w:color="auto"/>
            <w:right w:val="none" w:sz="0" w:space="0" w:color="auto"/>
          </w:divBdr>
        </w:div>
        <w:div w:id="878399593">
          <w:marLeft w:val="0"/>
          <w:marRight w:val="0"/>
          <w:marTop w:val="0"/>
          <w:marBottom w:val="0"/>
          <w:divBdr>
            <w:top w:val="none" w:sz="0" w:space="0" w:color="auto"/>
            <w:left w:val="none" w:sz="0" w:space="0" w:color="auto"/>
            <w:bottom w:val="none" w:sz="0" w:space="0" w:color="auto"/>
            <w:right w:val="none" w:sz="0" w:space="0" w:color="auto"/>
          </w:divBdr>
        </w:div>
        <w:div w:id="936905948">
          <w:marLeft w:val="0"/>
          <w:marRight w:val="0"/>
          <w:marTop w:val="0"/>
          <w:marBottom w:val="0"/>
          <w:divBdr>
            <w:top w:val="none" w:sz="0" w:space="0" w:color="auto"/>
            <w:left w:val="none" w:sz="0" w:space="0" w:color="auto"/>
            <w:bottom w:val="none" w:sz="0" w:space="0" w:color="auto"/>
            <w:right w:val="none" w:sz="0" w:space="0" w:color="auto"/>
          </w:divBdr>
        </w:div>
        <w:div w:id="1041057567">
          <w:marLeft w:val="0"/>
          <w:marRight w:val="0"/>
          <w:marTop w:val="0"/>
          <w:marBottom w:val="0"/>
          <w:divBdr>
            <w:top w:val="none" w:sz="0" w:space="0" w:color="auto"/>
            <w:left w:val="none" w:sz="0" w:space="0" w:color="auto"/>
            <w:bottom w:val="none" w:sz="0" w:space="0" w:color="auto"/>
            <w:right w:val="none" w:sz="0" w:space="0" w:color="auto"/>
          </w:divBdr>
        </w:div>
        <w:div w:id="1494684755">
          <w:marLeft w:val="0"/>
          <w:marRight w:val="0"/>
          <w:marTop w:val="0"/>
          <w:marBottom w:val="0"/>
          <w:divBdr>
            <w:top w:val="none" w:sz="0" w:space="0" w:color="auto"/>
            <w:left w:val="none" w:sz="0" w:space="0" w:color="auto"/>
            <w:bottom w:val="none" w:sz="0" w:space="0" w:color="auto"/>
            <w:right w:val="none" w:sz="0" w:space="0" w:color="auto"/>
          </w:divBdr>
        </w:div>
        <w:div w:id="1672413753">
          <w:marLeft w:val="0"/>
          <w:marRight w:val="0"/>
          <w:marTop w:val="0"/>
          <w:marBottom w:val="0"/>
          <w:divBdr>
            <w:top w:val="none" w:sz="0" w:space="0" w:color="auto"/>
            <w:left w:val="none" w:sz="0" w:space="0" w:color="auto"/>
            <w:bottom w:val="none" w:sz="0" w:space="0" w:color="auto"/>
            <w:right w:val="none" w:sz="0" w:space="0" w:color="auto"/>
          </w:divBdr>
        </w:div>
        <w:div w:id="1922786965">
          <w:marLeft w:val="0"/>
          <w:marRight w:val="0"/>
          <w:marTop w:val="0"/>
          <w:marBottom w:val="0"/>
          <w:divBdr>
            <w:top w:val="none" w:sz="0" w:space="0" w:color="auto"/>
            <w:left w:val="none" w:sz="0" w:space="0" w:color="auto"/>
            <w:bottom w:val="none" w:sz="0" w:space="0" w:color="auto"/>
            <w:right w:val="none" w:sz="0" w:space="0" w:color="auto"/>
          </w:divBdr>
        </w:div>
        <w:div w:id="1948269300">
          <w:marLeft w:val="0"/>
          <w:marRight w:val="0"/>
          <w:marTop w:val="0"/>
          <w:marBottom w:val="0"/>
          <w:divBdr>
            <w:top w:val="none" w:sz="0" w:space="0" w:color="auto"/>
            <w:left w:val="none" w:sz="0" w:space="0" w:color="auto"/>
            <w:bottom w:val="none" w:sz="0" w:space="0" w:color="auto"/>
            <w:right w:val="none" w:sz="0" w:space="0" w:color="auto"/>
          </w:divBdr>
        </w:div>
      </w:divsChild>
    </w:div>
    <w:div w:id="1212763041">
      <w:bodyDiv w:val="1"/>
      <w:marLeft w:val="0"/>
      <w:marRight w:val="0"/>
      <w:marTop w:val="0"/>
      <w:marBottom w:val="0"/>
      <w:divBdr>
        <w:top w:val="none" w:sz="0" w:space="0" w:color="auto"/>
        <w:left w:val="none" w:sz="0" w:space="0" w:color="auto"/>
        <w:bottom w:val="none" w:sz="0" w:space="0" w:color="auto"/>
        <w:right w:val="none" w:sz="0" w:space="0" w:color="auto"/>
      </w:divBdr>
    </w:div>
    <w:div w:id="1308172121">
      <w:bodyDiv w:val="1"/>
      <w:marLeft w:val="0"/>
      <w:marRight w:val="0"/>
      <w:marTop w:val="0"/>
      <w:marBottom w:val="0"/>
      <w:divBdr>
        <w:top w:val="none" w:sz="0" w:space="0" w:color="auto"/>
        <w:left w:val="none" w:sz="0" w:space="0" w:color="auto"/>
        <w:bottom w:val="none" w:sz="0" w:space="0" w:color="auto"/>
        <w:right w:val="none" w:sz="0" w:space="0" w:color="auto"/>
      </w:divBdr>
    </w:div>
    <w:div w:id="1309440027">
      <w:bodyDiv w:val="1"/>
      <w:marLeft w:val="0"/>
      <w:marRight w:val="0"/>
      <w:marTop w:val="0"/>
      <w:marBottom w:val="0"/>
      <w:divBdr>
        <w:top w:val="none" w:sz="0" w:space="0" w:color="auto"/>
        <w:left w:val="none" w:sz="0" w:space="0" w:color="auto"/>
        <w:bottom w:val="none" w:sz="0" w:space="0" w:color="auto"/>
        <w:right w:val="none" w:sz="0" w:space="0" w:color="auto"/>
      </w:divBdr>
    </w:div>
    <w:div w:id="1317802523">
      <w:bodyDiv w:val="1"/>
      <w:marLeft w:val="0"/>
      <w:marRight w:val="0"/>
      <w:marTop w:val="0"/>
      <w:marBottom w:val="0"/>
      <w:divBdr>
        <w:top w:val="none" w:sz="0" w:space="0" w:color="auto"/>
        <w:left w:val="none" w:sz="0" w:space="0" w:color="auto"/>
        <w:bottom w:val="none" w:sz="0" w:space="0" w:color="auto"/>
        <w:right w:val="none" w:sz="0" w:space="0" w:color="auto"/>
      </w:divBdr>
    </w:div>
    <w:div w:id="1321353445">
      <w:bodyDiv w:val="1"/>
      <w:marLeft w:val="0"/>
      <w:marRight w:val="0"/>
      <w:marTop w:val="0"/>
      <w:marBottom w:val="0"/>
      <w:divBdr>
        <w:top w:val="none" w:sz="0" w:space="0" w:color="auto"/>
        <w:left w:val="none" w:sz="0" w:space="0" w:color="auto"/>
        <w:bottom w:val="none" w:sz="0" w:space="0" w:color="auto"/>
        <w:right w:val="none" w:sz="0" w:space="0" w:color="auto"/>
      </w:divBdr>
    </w:div>
    <w:div w:id="1356538864">
      <w:bodyDiv w:val="1"/>
      <w:marLeft w:val="0"/>
      <w:marRight w:val="0"/>
      <w:marTop w:val="0"/>
      <w:marBottom w:val="0"/>
      <w:divBdr>
        <w:top w:val="none" w:sz="0" w:space="0" w:color="auto"/>
        <w:left w:val="none" w:sz="0" w:space="0" w:color="auto"/>
        <w:bottom w:val="none" w:sz="0" w:space="0" w:color="auto"/>
        <w:right w:val="none" w:sz="0" w:space="0" w:color="auto"/>
      </w:divBdr>
    </w:div>
    <w:div w:id="1365473855">
      <w:bodyDiv w:val="1"/>
      <w:marLeft w:val="0"/>
      <w:marRight w:val="0"/>
      <w:marTop w:val="0"/>
      <w:marBottom w:val="0"/>
      <w:divBdr>
        <w:top w:val="none" w:sz="0" w:space="0" w:color="auto"/>
        <w:left w:val="none" w:sz="0" w:space="0" w:color="auto"/>
        <w:bottom w:val="none" w:sz="0" w:space="0" w:color="auto"/>
        <w:right w:val="none" w:sz="0" w:space="0" w:color="auto"/>
      </w:divBdr>
    </w:div>
    <w:div w:id="1371953410">
      <w:bodyDiv w:val="1"/>
      <w:marLeft w:val="0"/>
      <w:marRight w:val="0"/>
      <w:marTop w:val="0"/>
      <w:marBottom w:val="0"/>
      <w:divBdr>
        <w:top w:val="none" w:sz="0" w:space="0" w:color="auto"/>
        <w:left w:val="none" w:sz="0" w:space="0" w:color="auto"/>
        <w:bottom w:val="none" w:sz="0" w:space="0" w:color="auto"/>
        <w:right w:val="none" w:sz="0" w:space="0" w:color="auto"/>
      </w:divBdr>
    </w:div>
    <w:div w:id="1392732578">
      <w:bodyDiv w:val="1"/>
      <w:marLeft w:val="0"/>
      <w:marRight w:val="0"/>
      <w:marTop w:val="0"/>
      <w:marBottom w:val="0"/>
      <w:divBdr>
        <w:top w:val="none" w:sz="0" w:space="0" w:color="auto"/>
        <w:left w:val="none" w:sz="0" w:space="0" w:color="auto"/>
        <w:bottom w:val="none" w:sz="0" w:space="0" w:color="auto"/>
        <w:right w:val="none" w:sz="0" w:space="0" w:color="auto"/>
      </w:divBdr>
    </w:div>
    <w:div w:id="1401907128">
      <w:bodyDiv w:val="1"/>
      <w:marLeft w:val="0"/>
      <w:marRight w:val="0"/>
      <w:marTop w:val="0"/>
      <w:marBottom w:val="0"/>
      <w:divBdr>
        <w:top w:val="none" w:sz="0" w:space="0" w:color="auto"/>
        <w:left w:val="none" w:sz="0" w:space="0" w:color="auto"/>
        <w:bottom w:val="none" w:sz="0" w:space="0" w:color="auto"/>
        <w:right w:val="none" w:sz="0" w:space="0" w:color="auto"/>
      </w:divBdr>
    </w:div>
    <w:div w:id="1409571375">
      <w:bodyDiv w:val="1"/>
      <w:marLeft w:val="0"/>
      <w:marRight w:val="0"/>
      <w:marTop w:val="0"/>
      <w:marBottom w:val="0"/>
      <w:divBdr>
        <w:top w:val="none" w:sz="0" w:space="0" w:color="auto"/>
        <w:left w:val="none" w:sz="0" w:space="0" w:color="auto"/>
        <w:bottom w:val="none" w:sz="0" w:space="0" w:color="auto"/>
        <w:right w:val="none" w:sz="0" w:space="0" w:color="auto"/>
      </w:divBdr>
    </w:div>
    <w:div w:id="1423719314">
      <w:bodyDiv w:val="1"/>
      <w:marLeft w:val="0"/>
      <w:marRight w:val="0"/>
      <w:marTop w:val="0"/>
      <w:marBottom w:val="0"/>
      <w:divBdr>
        <w:top w:val="none" w:sz="0" w:space="0" w:color="auto"/>
        <w:left w:val="none" w:sz="0" w:space="0" w:color="auto"/>
        <w:bottom w:val="none" w:sz="0" w:space="0" w:color="auto"/>
        <w:right w:val="none" w:sz="0" w:space="0" w:color="auto"/>
      </w:divBdr>
    </w:div>
    <w:div w:id="1432120749">
      <w:bodyDiv w:val="1"/>
      <w:marLeft w:val="0"/>
      <w:marRight w:val="0"/>
      <w:marTop w:val="0"/>
      <w:marBottom w:val="0"/>
      <w:divBdr>
        <w:top w:val="none" w:sz="0" w:space="0" w:color="auto"/>
        <w:left w:val="none" w:sz="0" w:space="0" w:color="auto"/>
        <w:bottom w:val="none" w:sz="0" w:space="0" w:color="auto"/>
        <w:right w:val="none" w:sz="0" w:space="0" w:color="auto"/>
      </w:divBdr>
    </w:div>
    <w:div w:id="1445728116">
      <w:bodyDiv w:val="1"/>
      <w:marLeft w:val="0"/>
      <w:marRight w:val="0"/>
      <w:marTop w:val="0"/>
      <w:marBottom w:val="0"/>
      <w:divBdr>
        <w:top w:val="none" w:sz="0" w:space="0" w:color="auto"/>
        <w:left w:val="none" w:sz="0" w:space="0" w:color="auto"/>
        <w:bottom w:val="none" w:sz="0" w:space="0" w:color="auto"/>
        <w:right w:val="none" w:sz="0" w:space="0" w:color="auto"/>
      </w:divBdr>
    </w:div>
    <w:div w:id="1446119951">
      <w:bodyDiv w:val="1"/>
      <w:marLeft w:val="0"/>
      <w:marRight w:val="0"/>
      <w:marTop w:val="0"/>
      <w:marBottom w:val="0"/>
      <w:divBdr>
        <w:top w:val="none" w:sz="0" w:space="0" w:color="auto"/>
        <w:left w:val="none" w:sz="0" w:space="0" w:color="auto"/>
        <w:bottom w:val="none" w:sz="0" w:space="0" w:color="auto"/>
        <w:right w:val="none" w:sz="0" w:space="0" w:color="auto"/>
      </w:divBdr>
    </w:div>
    <w:div w:id="1465780443">
      <w:bodyDiv w:val="1"/>
      <w:marLeft w:val="0"/>
      <w:marRight w:val="0"/>
      <w:marTop w:val="0"/>
      <w:marBottom w:val="0"/>
      <w:divBdr>
        <w:top w:val="none" w:sz="0" w:space="0" w:color="auto"/>
        <w:left w:val="none" w:sz="0" w:space="0" w:color="auto"/>
        <w:bottom w:val="none" w:sz="0" w:space="0" w:color="auto"/>
        <w:right w:val="none" w:sz="0" w:space="0" w:color="auto"/>
      </w:divBdr>
    </w:div>
    <w:div w:id="1473669906">
      <w:bodyDiv w:val="1"/>
      <w:marLeft w:val="0"/>
      <w:marRight w:val="0"/>
      <w:marTop w:val="0"/>
      <w:marBottom w:val="0"/>
      <w:divBdr>
        <w:top w:val="none" w:sz="0" w:space="0" w:color="auto"/>
        <w:left w:val="none" w:sz="0" w:space="0" w:color="auto"/>
        <w:bottom w:val="none" w:sz="0" w:space="0" w:color="auto"/>
        <w:right w:val="none" w:sz="0" w:space="0" w:color="auto"/>
      </w:divBdr>
    </w:div>
    <w:div w:id="1474448561">
      <w:bodyDiv w:val="1"/>
      <w:marLeft w:val="0"/>
      <w:marRight w:val="0"/>
      <w:marTop w:val="0"/>
      <w:marBottom w:val="0"/>
      <w:divBdr>
        <w:top w:val="none" w:sz="0" w:space="0" w:color="auto"/>
        <w:left w:val="none" w:sz="0" w:space="0" w:color="auto"/>
        <w:bottom w:val="none" w:sz="0" w:space="0" w:color="auto"/>
        <w:right w:val="none" w:sz="0" w:space="0" w:color="auto"/>
      </w:divBdr>
    </w:div>
    <w:div w:id="1499422414">
      <w:bodyDiv w:val="1"/>
      <w:marLeft w:val="0"/>
      <w:marRight w:val="0"/>
      <w:marTop w:val="0"/>
      <w:marBottom w:val="0"/>
      <w:divBdr>
        <w:top w:val="none" w:sz="0" w:space="0" w:color="auto"/>
        <w:left w:val="none" w:sz="0" w:space="0" w:color="auto"/>
        <w:bottom w:val="none" w:sz="0" w:space="0" w:color="auto"/>
        <w:right w:val="none" w:sz="0" w:space="0" w:color="auto"/>
      </w:divBdr>
    </w:div>
    <w:div w:id="1504275096">
      <w:bodyDiv w:val="1"/>
      <w:marLeft w:val="0"/>
      <w:marRight w:val="0"/>
      <w:marTop w:val="0"/>
      <w:marBottom w:val="0"/>
      <w:divBdr>
        <w:top w:val="none" w:sz="0" w:space="0" w:color="auto"/>
        <w:left w:val="none" w:sz="0" w:space="0" w:color="auto"/>
        <w:bottom w:val="none" w:sz="0" w:space="0" w:color="auto"/>
        <w:right w:val="none" w:sz="0" w:space="0" w:color="auto"/>
      </w:divBdr>
    </w:div>
    <w:div w:id="1522476107">
      <w:bodyDiv w:val="1"/>
      <w:marLeft w:val="0"/>
      <w:marRight w:val="0"/>
      <w:marTop w:val="0"/>
      <w:marBottom w:val="0"/>
      <w:divBdr>
        <w:top w:val="none" w:sz="0" w:space="0" w:color="auto"/>
        <w:left w:val="none" w:sz="0" w:space="0" w:color="auto"/>
        <w:bottom w:val="none" w:sz="0" w:space="0" w:color="auto"/>
        <w:right w:val="none" w:sz="0" w:space="0" w:color="auto"/>
      </w:divBdr>
      <w:divsChild>
        <w:div w:id="58477956">
          <w:marLeft w:val="0"/>
          <w:marRight w:val="0"/>
          <w:marTop w:val="0"/>
          <w:marBottom w:val="0"/>
          <w:divBdr>
            <w:top w:val="none" w:sz="0" w:space="0" w:color="auto"/>
            <w:left w:val="none" w:sz="0" w:space="0" w:color="auto"/>
            <w:bottom w:val="none" w:sz="0" w:space="0" w:color="auto"/>
            <w:right w:val="none" w:sz="0" w:space="0" w:color="auto"/>
          </w:divBdr>
        </w:div>
        <w:div w:id="106050424">
          <w:marLeft w:val="0"/>
          <w:marRight w:val="0"/>
          <w:marTop w:val="0"/>
          <w:marBottom w:val="0"/>
          <w:divBdr>
            <w:top w:val="none" w:sz="0" w:space="0" w:color="auto"/>
            <w:left w:val="none" w:sz="0" w:space="0" w:color="auto"/>
            <w:bottom w:val="none" w:sz="0" w:space="0" w:color="auto"/>
            <w:right w:val="none" w:sz="0" w:space="0" w:color="auto"/>
          </w:divBdr>
          <w:divsChild>
            <w:div w:id="918951410">
              <w:marLeft w:val="0"/>
              <w:marRight w:val="0"/>
              <w:marTop w:val="30"/>
              <w:marBottom w:val="30"/>
              <w:divBdr>
                <w:top w:val="none" w:sz="0" w:space="0" w:color="auto"/>
                <w:left w:val="none" w:sz="0" w:space="0" w:color="auto"/>
                <w:bottom w:val="none" w:sz="0" w:space="0" w:color="auto"/>
                <w:right w:val="none" w:sz="0" w:space="0" w:color="auto"/>
              </w:divBdr>
              <w:divsChild>
                <w:div w:id="193614417">
                  <w:marLeft w:val="0"/>
                  <w:marRight w:val="0"/>
                  <w:marTop w:val="0"/>
                  <w:marBottom w:val="0"/>
                  <w:divBdr>
                    <w:top w:val="none" w:sz="0" w:space="0" w:color="auto"/>
                    <w:left w:val="none" w:sz="0" w:space="0" w:color="auto"/>
                    <w:bottom w:val="none" w:sz="0" w:space="0" w:color="auto"/>
                    <w:right w:val="none" w:sz="0" w:space="0" w:color="auto"/>
                  </w:divBdr>
                  <w:divsChild>
                    <w:div w:id="546843197">
                      <w:marLeft w:val="0"/>
                      <w:marRight w:val="0"/>
                      <w:marTop w:val="0"/>
                      <w:marBottom w:val="0"/>
                      <w:divBdr>
                        <w:top w:val="none" w:sz="0" w:space="0" w:color="auto"/>
                        <w:left w:val="none" w:sz="0" w:space="0" w:color="auto"/>
                        <w:bottom w:val="none" w:sz="0" w:space="0" w:color="auto"/>
                        <w:right w:val="none" w:sz="0" w:space="0" w:color="auto"/>
                      </w:divBdr>
                    </w:div>
                    <w:div w:id="573705598">
                      <w:marLeft w:val="0"/>
                      <w:marRight w:val="0"/>
                      <w:marTop w:val="0"/>
                      <w:marBottom w:val="0"/>
                      <w:divBdr>
                        <w:top w:val="none" w:sz="0" w:space="0" w:color="auto"/>
                        <w:left w:val="none" w:sz="0" w:space="0" w:color="auto"/>
                        <w:bottom w:val="none" w:sz="0" w:space="0" w:color="auto"/>
                        <w:right w:val="none" w:sz="0" w:space="0" w:color="auto"/>
                      </w:divBdr>
                    </w:div>
                    <w:div w:id="832405169">
                      <w:marLeft w:val="0"/>
                      <w:marRight w:val="0"/>
                      <w:marTop w:val="0"/>
                      <w:marBottom w:val="0"/>
                      <w:divBdr>
                        <w:top w:val="none" w:sz="0" w:space="0" w:color="auto"/>
                        <w:left w:val="none" w:sz="0" w:space="0" w:color="auto"/>
                        <w:bottom w:val="none" w:sz="0" w:space="0" w:color="auto"/>
                        <w:right w:val="none" w:sz="0" w:space="0" w:color="auto"/>
                      </w:divBdr>
                    </w:div>
                    <w:div w:id="1755589015">
                      <w:marLeft w:val="0"/>
                      <w:marRight w:val="0"/>
                      <w:marTop w:val="0"/>
                      <w:marBottom w:val="0"/>
                      <w:divBdr>
                        <w:top w:val="none" w:sz="0" w:space="0" w:color="auto"/>
                        <w:left w:val="none" w:sz="0" w:space="0" w:color="auto"/>
                        <w:bottom w:val="none" w:sz="0" w:space="0" w:color="auto"/>
                        <w:right w:val="none" w:sz="0" w:space="0" w:color="auto"/>
                      </w:divBdr>
                    </w:div>
                  </w:divsChild>
                </w:div>
                <w:div w:id="449057022">
                  <w:marLeft w:val="0"/>
                  <w:marRight w:val="0"/>
                  <w:marTop w:val="0"/>
                  <w:marBottom w:val="0"/>
                  <w:divBdr>
                    <w:top w:val="none" w:sz="0" w:space="0" w:color="auto"/>
                    <w:left w:val="none" w:sz="0" w:space="0" w:color="auto"/>
                    <w:bottom w:val="none" w:sz="0" w:space="0" w:color="auto"/>
                    <w:right w:val="none" w:sz="0" w:space="0" w:color="auto"/>
                  </w:divBdr>
                  <w:divsChild>
                    <w:div w:id="2320124">
                      <w:marLeft w:val="0"/>
                      <w:marRight w:val="0"/>
                      <w:marTop w:val="0"/>
                      <w:marBottom w:val="0"/>
                      <w:divBdr>
                        <w:top w:val="none" w:sz="0" w:space="0" w:color="auto"/>
                        <w:left w:val="none" w:sz="0" w:space="0" w:color="auto"/>
                        <w:bottom w:val="none" w:sz="0" w:space="0" w:color="auto"/>
                        <w:right w:val="none" w:sz="0" w:space="0" w:color="auto"/>
                      </w:divBdr>
                    </w:div>
                    <w:div w:id="221910584">
                      <w:marLeft w:val="0"/>
                      <w:marRight w:val="0"/>
                      <w:marTop w:val="0"/>
                      <w:marBottom w:val="0"/>
                      <w:divBdr>
                        <w:top w:val="none" w:sz="0" w:space="0" w:color="auto"/>
                        <w:left w:val="none" w:sz="0" w:space="0" w:color="auto"/>
                        <w:bottom w:val="none" w:sz="0" w:space="0" w:color="auto"/>
                        <w:right w:val="none" w:sz="0" w:space="0" w:color="auto"/>
                      </w:divBdr>
                    </w:div>
                    <w:div w:id="728964880">
                      <w:marLeft w:val="0"/>
                      <w:marRight w:val="0"/>
                      <w:marTop w:val="0"/>
                      <w:marBottom w:val="0"/>
                      <w:divBdr>
                        <w:top w:val="none" w:sz="0" w:space="0" w:color="auto"/>
                        <w:left w:val="none" w:sz="0" w:space="0" w:color="auto"/>
                        <w:bottom w:val="none" w:sz="0" w:space="0" w:color="auto"/>
                        <w:right w:val="none" w:sz="0" w:space="0" w:color="auto"/>
                      </w:divBdr>
                    </w:div>
                    <w:div w:id="778573735">
                      <w:marLeft w:val="0"/>
                      <w:marRight w:val="0"/>
                      <w:marTop w:val="0"/>
                      <w:marBottom w:val="0"/>
                      <w:divBdr>
                        <w:top w:val="none" w:sz="0" w:space="0" w:color="auto"/>
                        <w:left w:val="none" w:sz="0" w:space="0" w:color="auto"/>
                        <w:bottom w:val="none" w:sz="0" w:space="0" w:color="auto"/>
                        <w:right w:val="none" w:sz="0" w:space="0" w:color="auto"/>
                      </w:divBdr>
                    </w:div>
                    <w:div w:id="864173908">
                      <w:marLeft w:val="0"/>
                      <w:marRight w:val="0"/>
                      <w:marTop w:val="0"/>
                      <w:marBottom w:val="0"/>
                      <w:divBdr>
                        <w:top w:val="none" w:sz="0" w:space="0" w:color="auto"/>
                        <w:left w:val="none" w:sz="0" w:space="0" w:color="auto"/>
                        <w:bottom w:val="none" w:sz="0" w:space="0" w:color="auto"/>
                        <w:right w:val="none" w:sz="0" w:space="0" w:color="auto"/>
                      </w:divBdr>
                    </w:div>
                    <w:div w:id="992441930">
                      <w:marLeft w:val="0"/>
                      <w:marRight w:val="0"/>
                      <w:marTop w:val="0"/>
                      <w:marBottom w:val="0"/>
                      <w:divBdr>
                        <w:top w:val="none" w:sz="0" w:space="0" w:color="auto"/>
                        <w:left w:val="none" w:sz="0" w:space="0" w:color="auto"/>
                        <w:bottom w:val="none" w:sz="0" w:space="0" w:color="auto"/>
                        <w:right w:val="none" w:sz="0" w:space="0" w:color="auto"/>
                      </w:divBdr>
                    </w:div>
                    <w:div w:id="1799839378">
                      <w:marLeft w:val="0"/>
                      <w:marRight w:val="0"/>
                      <w:marTop w:val="0"/>
                      <w:marBottom w:val="0"/>
                      <w:divBdr>
                        <w:top w:val="none" w:sz="0" w:space="0" w:color="auto"/>
                        <w:left w:val="none" w:sz="0" w:space="0" w:color="auto"/>
                        <w:bottom w:val="none" w:sz="0" w:space="0" w:color="auto"/>
                        <w:right w:val="none" w:sz="0" w:space="0" w:color="auto"/>
                      </w:divBdr>
                    </w:div>
                    <w:div w:id="1829176391">
                      <w:marLeft w:val="0"/>
                      <w:marRight w:val="0"/>
                      <w:marTop w:val="0"/>
                      <w:marBottom w:val="0"/>
                      <w:divBdr>
                        <w:top w:val="none" w:sz="0" w:space="0" w:color="auto"/>
                        <w:left w:val="none" w:sz="0" w:space="0" w:color="auto"/>
                        <w:bottom w:val="none" w:sz="0" w:space="0" w:color="auto"/>
                        <w:right w:val="none" w:sz="0" w:space="0" w:color="auto"/>
                      </w:divBdr>
                    </w:div>
                    <w:div w:id="1997105372">
                      <w:marLeft w:val="0"/>
                      <w:marRight w:val="0"/>
                      <w:marTop w:val="0"/>
                      <w:marBottom w:val="0"/>
                      <w:divBdr>
                        <w:top w:val="none" w:sz="0" w:space="0" w:color="auto"/>
                        <w:left w:val="none" w:sz="0" w:space="0" w:color="auto"/>
                        <w:bottom w:val="none" w:sz="0" w:space="0" w:color="auto"/>
                        <w:right w:val="none" w:sz="0" w:space="0" w:color="auto"/>
                      </w:divBdr>
                    </w:div>
                    <w:div w:id="2077123208">
                      <w:marLeft w:val="0"/>
                      <w:marRight w:val="0"/>
                      <w:marTop w:val="0"/>
                      <w:marBottom w:val="0"/>
                      <w:divBdr>
                        <w:top w:val="none" w:sz="0" w:space="0" w:color="auto"/>
                        <w:left w:val="none" w:sz="0" w:space="0" w:color="auto"/>
                        <w:bottom w:val="none" w:sz="0" w:space="0" w:color="auto"/>
                        <w:right w:val="none" w:sz="0" w:space="0" w:color="auto"/>
                      </w:divBdr>
                    </w:div>
                  </w:divsChild>
                </w:div>
                <w:div w:id="795485791">
                  <w:marLeft w:val="0"/>
                  <w:marRight w:val="0"/>
                  <w:marTop w:val="0"/>
                  <w:marBottom w:val="0"/>
                  <w:divBdr>
                    <w:top w:val="none" w:sz="0" w:space="0" w:color="auto"/>
                    <w:left w:val="none" w:sz="0" w:space="0" w:color="auto"/>
                    <w:bottom w:val="none" w:sz="0" w:space="0" w:color="auto"/>
                    <w:right w:val="none" w:sz="0" w:space="0" w:color="auto"/>
                  </w:divBdr>
                  <w:divsChild>
                    <w:div w:id="2104643434">
                      <w:marLeft w:val="0"/>
                      <w:marRight w:val="0"/>
                      <w:marTop w:val="0"/>
                      <w:marBottom w:val="0"/>
                      <w:divBdr>
                        <w:top w:val="none" w:sz="0" w:space="0" w:color="auto"/>
                        <w:left w:val="none" w:sz="0" w:space="0" w:color="auto"/>
                        <w:bottom w:val="none" w:sz="0" w:space="0" w:color="auto"/>
                        <w:right w:val="none" w:sz="0" w:space="0" w:color="auto"/>
                      </w:divBdr>
                    </w:div>
                  </w:divsChild>
                </w:div>
                <w:div w:id="841971934">
                  <w:marLeft w:val="0"/>
                  <w:marRight w:val="0"/>
                  <w:marTop w:val="0"/>
                  <w:marBottom w:val="0"/>
                  <w:divBdr>
                    <w:top w:val="none" w:sz="0" w:space="0" w:color="auto"/>
                    <w:left w:val="none" w:sz="0" w:space="0" w:color="auto"/>
                    <w:bottom w:val="none" w:sz="0" w:space="0" w:color="auto"/>
                    <w:right w:val="none" w:sz="0" w:space="0" w:color="auto"/>
                  </w:divBdr>
                  <w:divsChild>
                    <w:div w:id="532427347">
                      <w:marLeft w:val="0"/>
                      <w:marRight w:val="0"/>
                      <w:marTop w:val="0"/>
                      <w:marBottom w:val="0"/>
                      <w:divBdr>
                        <w:top w:val="none" w:sz="0" w:space="0" w:color="auto"/>
                        <w:left w:val="none" w:sz="0" w:space="0" w:color="auto"/>
                        <w:bottom w:val="none" w:sz="0" w:space="0" w:color="auto"/>
                        <w:right w:val="none" w:sz="0" w:space="0" w:color="auto"/>
                      </w:divBdr>
                    </w:div>
                    <w:div w:id="1052969153">
                      <w:marLeft w:val="0"/>
                      <w:marRight w:val="0"/>
                      <w:marTop w:val="0"/>
                      <w:marBottom w:val="0"/>
                      <w:divBdr>
                        <w:top w:val="none" w:sz="0" w:space="0" w:color="auto"/>
                        <w:left w:val="none" w:sz="0" w:space="0" w:color="auto"/>
                        <w:bottom w:val="none" w:sz="0" w:space="0" w:color="auto"/>
                        <w:right w:val="none" w:sz="0" w:space="0" w:color="auto"/>
                      </w:divBdr>
                    </w:div>
                    <w:div w:id="1521164448">
                      <w:marLeft w:val="0"/>
                      <w:marRight w:val="0"/>
                      <w:marTop w:val="0"/>
                      <w:marBottom w:val="0"/>
                      <w:divBdr>
                        <w:top w:val="none" w:sz="0" w:space="0" w:color="auto"/>
                        <w:left w:val="none" w:sz="0" w:space="0" w:color="auto"/>
                        <w:bottom w:val="none" w:sz="0" w:space="0" w:color="auto"/>
                        <w:right w:val="none" w:sz="0" w:space="0" w:color="auto"/>
                      </w:divBdr>
                    </w:div>
                    <w:div w:id="1861045766">
                      <w:marLeft w:val="0"/>
                      <w:marRight w:val="0"/>
                      <w:marTop w:val="0"/>
                      <w:marBottom w:val="0"/>
                      <w:divBdr>
                        <w:top w:val="none" w:sz="0" w:space="0" w:color="auto"/>
                        <w:left w:val="none" w:sz="0" w:space="0" w:color="auto"/>
                        <w:bottom w:val="none" w:sz="0" w:space="0" w:color="auto"/>
                        <w:right w:val="none" w:sz="0" w:space="0" w:color="auto"/>
                      </w:divBdr>
                    </w:div>
                  </w:divsChild>
                </w:div>
                <w:div w:id="1439059260">
                  <w:marLeft w:val="0"/>
                  <w:marRight w:val="0"/>
                  <w:marTop w:val="0"/>
                  <w:marBottom w:val="0"/>
                  <w:divBdr>
                    <w:top w:val="none" w:sz="0" w:space="0" w:color="auto"/>
                    <w:left w:val="none" w:sz="0" w:space="0" w:color="auto"/>
                    <w:bottom w:val="none" w:sz="0" w:space="0" w:color="auto"/>
                    <w:right w:val="none" w:sz="0" w:space="0" w:color="auto"/>
                  </w:divBdr>
                  <w:divsChild>
                    <w:div w:id="2099709658">
                      <w:marLeft w:val="0"/>
                      <w:marRight w:val="0"/>
                      <w:marTop w:val="0"/>
                      <w:marBottom w:val="0"/>
                      <w:divBdr>
                        <w:top w:val="none" w:sz="0" w:space="0" w:color="auto"/>
                        <w:left w:val="none" w:sz="0" w:space="0" w:color="auto"/>
                        <w:bottom w:val="none" w:sz="0" w:space="0" w:color="auto"/>
                        <w:right w:val="none" w:sz="0" w:space="0" w:color="auto"/>
                      </w:divBdr>
                    </w:div>
                  </w:divsChild>
                </w:div>
                <w:div w:id="1610502140">
                  <w:marLeft w:val="0"/>
                  <w:marRight w:val="0"/>
                  <w:marTop w:val="0"/>
                  <w:marBottom w:val="0"/>
                  <w:divBdr>
                    <w:top w:val="none" w:sz="0" w:space="0" w:color="auto"/>
                    <w:left w:val="none" w:sz="0" w:space="0" w:color="auto"/>
                    <w:bottom w:val="none" w:sz="0" w:space="0" w:color="auto"/>
                    <w:right w:val="none" w:sz="0" w:space="0" w:color="auto"/>
                  </w:divBdr>
                  <w:divsChild>
                    <w:div w:id="58335587">
                      <w:marLeft w:val="0"/>
                      <w:marRight w:val="0"/>
                      <w:marTop w:val="0"/>
                      <w:marBottom w:val="0"/>
                      <w:divBdr>
                        <w:top w:val="none" w:sz="0" w:space="0" w:color="auto"/>
                        <w:left w:val="none" w:sz="0" w:space="0" w:color="auto"/>
                        <w:bottom w:val="none" w:sz="0" w:space="0" w:color="auto"/>
                        <w:right w:val="none" w:sz="0" w:space="0" w:color="auto"/>
                      </w:divBdr>
                    </w:div>
                  </w:divsChild>
                </w:div>
                <w:div w:id="1995792343">
                  <w:marLeft w:val="0"/>
                  <w:marRight w:val="0"/>
                  <w:marTop w:val="0"/>
                  <w:marBottom w:val="0"/>
                  <w:divBdr>
                    <w:top w:val="none" w:sz="0" w:space="0" w:color="auto"/>
                    <w:left w:val="none" w:sz="0" w:space="0" w:color="auto"/>
                    <w:bottom w:val="none" w:sz="0" w:space="0" w:color="auto"/>
                    <w:right w:val="none" w:sz="0" w:space="0" w:color="auto"/>
                  </w:divBdr>
                  <w:divsChild>
                    <w:div w:id="566572279">
                      <w:marLeft w:val="0"/>
                      <w:marRight w:val="0"/>
                      <w:marTop w:val="0"/>
                      <w:marBottom w:val="0"/>
                      <w:divBdr>
                        <w:top w:val="none" w:sz="0" w:space="0" w:color="auto"/>
                        <w:left w:val="none" w:sz="0" w:space="0" w:color="auto"/>
                        <w:bottom w:val="none" w:sz="0" w:space="0" w:color="auto"/>
                        <w:right w:val="none" w:sz="0" w:space="0" w:color="auto"/>
                      </w:divBdr>
                    </w:div>
                  </w:divsChild>
                </w:div>
                <w:div w:id="2043745109">
                  <w:marLeft w:val="0"/>
                  <w:marRight w:val="0"/>
                  <w:marTop w:val="0"/>
                  <w:marBottom w:val="0"/>
                  <w:divBdr>
                    <w:top w:val="none" w:sz="0" w:space="0" w:color="auto"/>
                    <w:left w:val="none" w:sz="0" w:space="0" w:color="auto"/>
                    <w:bottom w:val="none" w:sz="0" w:space="0" w:color="auto"/>
                    <w:right w:val="none" w:sz="0" w:space="0" w:color="auto"/>
                  </w:divBdr>
                  <w:divsChild>
                    <w:div w:id="2129002839">
                      <w:marLeft w:val="0"/>
                      <w:marRight w:val="0"/>
                      <w:marTop w:val="0"/>
                      <w:marBottom w:val="0"/>
                      <w:divBdr>
                        <w:top w:val="none" w:sz="0" w:space="0" w:color="auto"/>
                        <w:left w:val="none" w:sz="0" w:space="0" w:color="auto"/>
                        <w:bottom w:val="none" w:sz="0" w:space="0" w:color="auto"/>
                        <w:right w:val="none" w:sz="0" w:space="0" w:color="auto"/>
                      </w:divBdr>
                    </w:div>
                  </w:divsChild>
                </w:div>
                <w:div w:id="2065182177">
                  <w:marLeft w:val="0"/>
                  <w:marRight w:val="0"/>
                  <w:marTop w:val="0"/>
                  <w:marBottom w:val="0"/>
                  <w:divBdr>
                    <w:top w:val="none" w:sz="0" w:space="0" w:color="auto"/>
                    <w:left w:val="none" w:sz="0" w:space="0" w:color="auto"/>
                    <w:bottom w:val="none" w:sz="0" w:space="0" w:color="auto"/>
                    <w:right w:val="none" w:sz="0" w:space="0" w:color="auto"/>
                  </w:divBdr>
                  <w:divsChild>
                    <w:div w:id="1033189997">
                      <w:marLeft w:val="0"/>
                      <w:marRight w:val="0"/>
                      <w:marTop w:val="0"/>
                      <w:marBottom w:val="0"/>
                      <w:divBdr>
                        <w:top w:val="none" w:sz="0" w:space="0" w:color="auto"/>
                        <w:left w:val="none" w:sz="0" w:space="0" w:color="auto"/>
                        <w:bottom w:val="none" w:sz="0" w:space="0" w:color="auto"/>
                        <w:right w:val="none" w:sz="0" w:space="0" w:color="auto"/>
                      </w:divBdr>
                    </w:div>
                    <w:div w:id="1536965613">
                      <w:marLeft w:val="0"/>
                      <w:marRight w:val="0"/>
                      <w:marTop w:val="0"/>
                      <w:marBottom w:val="0"/>
                      <w:divBdr>
                        <w:top w:val="none" w:sz="0" w:space="0" w:color="auto"/>
                        <w:left w:val="none" w:sz="0" w:space="0" w:color="auto"/>
                        <w:bottom w:val="none" w:sz="0" w:space="0" w:color="auto"/>
                        <w:right w:val="none" w:sz="0" w:space="0" w:color="auto"/>
                      </w:divBdr>
                    </w:div>
                    <w:div w:id="18961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1133">
          <w:marLeft w:val="0"/>
          <w:marRight w:val="0"/>
          <w:marTop w:val="0"/>
          <w:marBottom w:val="0"/>
          <w:divBdr>
            <w:top w:val="none" w:sz="0" w:space="0" w:color="auto"/>
            <w:left w:val="none" w:sz="0" w:space="0" w:color="auto"/>
            <w:bottom w:val="none" w:sz="0" w:space="0" w:color="auto"/>
            <w:right w:val="none" w:sz="0" w:space="0" w:color="auto"/>
          </w:divBdr>
          <w:divsChild>
            <w:div w:id="537739442">
              <w:marLeft w:val="0"/>
              <w:marRight w:val="0"/>
              <w:marTop w:val="30"/>
              <w:marBottom w:val="30"/>
              <w:divBdr>
                <w:top w:val="none" w:sz="0" w:space="0" w:color="auto"/>
                <w:left w:val="none" w:sz="0" w:space="0" w:color="auto"/>
                <w:bottom w:val="none" w:sz="0" w:space="0" w:color="auto"/>
                <w:right w:val="none" w:sz="0" w:space="0" w:color="auto"/>
              </w:divBdr>
              <w:divsChild>
                <w:div w:id="314258264">
                  <w:marLeft w:val="0"/>
                  <w:marRight w:val="0"/>
                  <w:marTop w:val="0"/>
                  <w:marBottom w:val="0"/>
                  <w:divBdr>
                    <w:top w:val="none" w:sz="0" w:space="0" w:color="auto"/>
                    <w:left w:val="none" w:sz="0" w:space="0" w:color="auto"/>
                    <w:bottom w:val="none" w:sz="0" w:space="0" w:color="auto"/>
                    <w:right w:val="none" w:sz="0" w:space="0" w:color="auto"/>
                  </w:divBdr>
                  <w:divsChild>
                    <w:div w:id="706832485">
                      <w:marLeft w:val="0"/>
                      <w:marRight w:val="0"/>
                      <w:marTop w:val="0"/>
                      <w:marBottom w:val="0"/>
                      <w:divBdr>
                        <w:top w:val="none" w:sz="0" w:space="0" w:color="auto"/>
                        <w:left w:val="none" w:sz="0" w:space="0" w:color="auto"/>
                        <w:bottom w:val="none" w:sz="0" w:space="0" w:color="auto"/>
                        <w:right w:val="none" w:sz="0" w:space="0" w:color="auto"/>
                      </w:divBdr>
                    </w:div>
                    <w:div w:id="1886017480">
                      <w:marLeft w:val="0"/>
                      <w:marRight w:val="0"/>
                      <w:marTop w:val="0"/>
                      <w:marBottom w:val="0"/>
                      <w:divBdr>
                        <w:top w:val="none" w:sz="0" w:space="0" w:color="auto"/>
                        <w:left w:val="none" w:sz="0" w:space="0" w:color="auto"/>
                        <w:bottom w:val="none" w:sz="0" w:space="0" w:color="auto"/>
                        <w:right w:val="none" w:sz="0" w:space="0" w:color="auto"/>
                      </w:divBdr>
                    </w:div>
                  </w:divsChild>
                </w:div>
                <w:div w:id="519898919">
                  <w:marLeft w:val="0"/>
                  <w:marRight w:val="0"/>
                  <w:marTop w:val="0"/>
                  <w:marBottom w:val="0"/>
                  <w:divBdr>
                    <w:top w:val="none" w:sz="0" w:space="0" w:color="auto"/>
                    <w:left w:val="none" w:sz="0" w:space="0" w:color="auto"/>
                    <w:bottom w:val="none" w:sz="0" w:space="0" w:color="auto"/>
                    <w:right w:val="none" w:sz="0" w:space="0" w:color="auto"/>
                  </w:divBdr>
                  <w:divsChild>
                    <w:div w:id="1112478805">
                      <w:marLeft w:val="0"/>
                      <w:marRight w:val="0"/>
                      <w:marTop w:val="0"/>
                      <w:marBottom w:val="0"/>
                      <w:divBdr>
                        <w:top w:val="none" w:sz="0" w:space="0" w:color="auto"/>
                        <w:left w:val="none" w:sz="0" w:space="0" w:color="auto"/>
                        <w:bottom w:val="none" w:sz="0" w:space="0" w:color="auto"/>
                        <w:right w:val="none" w:sz="0" w:space="0" w:color="auto"/>
                      </w:divBdr>
                    </w:div>
                  </w:divsChild>
                </w:div>
                <w:div w:id="1080249343">
                  <w:marLeft w:val="0"/>
                  <w:marRight w:val="0"/>
                  <w:marTop w:val="0"/>
                  <w:marBottom w:val="0"/>
                  <w:divBdr>
                    <w:top w:val="none" w:sz="0" w:space="0" w:color="auto"/>
                    <w:left w:val="none" w:sz="0" w:space="0" w:color="auto"/>
                    <w:bottom w:val="none" w:sz="0" w:space="0" w:color="auto"/>
                    <w:right w:val="none" w:sz="0" w:space="0" w:color="auto"/>
                  </w:divBdr>
                  <w:divsChild>
                    <w:div w:id="1409693148">
                      <w:marLeft w:val="0"/>
                      <w:marRight w:val="0"/>
                      <w:marTop w:val="0"/>
                      <w:marBottom w:val="0"/>
                      <w:divBdr>
                        <w:top w:val="none" w:sz="0" w:space="0" w:color="auto"/>
                        <w:left w:val="none" w:sz="0" w:space="0" w:color="auto"/>
                        <w:bottom w:val="none" w:sz="0" w:space="0" w:color="auto"/>
                        <w:right w:val="none" w:sz="0" w:space="0" w:color="auto"/>
                      </w:divBdr>
                    </w:div>
                  </w:divsChild>
                </w:div>
                <w:div w:id="1279995978">
                  <w:marLeft w:val="0"/>
                  <w:marRight w:val="0"/>
                  <w:marTop w:val="0"/>
                  <w:marBottom w:val="0"/>
                  <w:divBdr>
                    <w:top w:val="none" w:sz="0" w:space="0" w:color="auto"/>
                    <w:left w:val="none" w:sz="0" w:space="0" w:color="auto"/>
                    <w:bottom w:val="none" w:sz="0" w:space="0" w:color="auto"/>
                    <w:right w:val="none" w:sz="0" w:space="0" w:color="auto"/>
                  </w:divBdr>
                  <w:divsChild>
                    <w:div w:id="12537478">
                      <w:marLeft w:val="0"/>
                      <w:marRight w:val="0"/>
                      <w:marTop w:val="0"/>
                      <w:marBottom w:val="0"/>
                      <w:divBdr>
                        <w:top w:val="none" w:sz="0" w:space="0" w:color="auto"/>
                        <w:left w:val="none" w:sz="0" w:space="0" w:color="auto"/>
                        <w:bottom w:val="none" w:sz="0" w:space="0" w:color="auto"/>
                        <w:right w:val="none" w:sz="0" w:space="0" w:color="auto"/>
                      </w:divBdr>
                    </w:div>
                    <w:div w:id="404106806">
                      <w:marLeft w:val="0"/>
                      <w:marRight w:val="0"/>
                      <w:marTop w:val="0"/>
                      <w:marBottom w:val="0"/>
                      <w:divBdr>
                        <w:top w:val="none" w:sz="0" w:space="0" w:color="auto"/>
                        <w:left w:val="none" w:sz="0" w:space="0" w:color="auto"/>
                        <w:bottom w:val="none" w:sz="0" w:space="0" w:color="auto"/>
                        <w:right w:val="none" w:sz="0" w:space="0" w:color="auto"/>
                      </w:divBdr>
                    </w:div>
                    <w:div w:id="479423007">
                      <w:marLeft w:val="0"/>
                      <w:marRight w:val="0"/>
                      <w:marTop w:val="0"/>
                      <w:marBottom w:val="0"/>
                      <w:divBdr>
                        <w:top w:val="none" w:sz="0" w:space="0" w:color="auto"/>
                        <w:left w:val="none" w:sz="0" w:space="0" w:color="auto"/>
                        <w:bottom w:val="none" w:sz="0" w:space="0" w:color="auto"/>
                        <w:right w:val="none" w:sz="0" w:space="0" w:color="auto"/>
                      </w:divBdr>
                    </w:div>
                    <w:div w:id="947851619">
                      <w:marLeft w:val="0"/>
                      <w:marRight w:val="0"/>
                      <w:marTop w:val="0"/>
                      <w:marBottom w:val="0"/>
                      <w:divBdr>
                        <w:top w:val="none" w:sz="0" w:space="0" w:color="auto"/>
                        <w:left w:val="none" w:sz="0" w:space="0" w:color="auto"/>
                        <w:bottom w:val="none" w:sz="0" w:space="0" w:color="auto"/>
                        <w:right w:val="none" w:sz="0" w:space="0" w:color="auto"/>
                      </w:divBdr>
                    </w:div>
                    <w:div w:id="971709676">
                      <w:marLeft w:val="0"/>
                      <w:marRight w:val="0"/>
                      <w:marTop w:val="0"/>
                      <w:marBottom w:val="0"/>
                      <w:divBdr>
                        <w:top w:val="none" w:sz="0" w:space="0" w:color="auto"/>
                        <w:left w:val="none" w:sz="0" w:space="0" w:color="auto"/>
                        <w:bottom w:val="none" w:sz="0" w:space="0" w:color="auto"/>
                        <w:right w:val="none" w:sz="0" w:space="0" w:color="auto"/>
                      </w:divBdr>
                    </w:div>
                    <w:div w:id="1553420926">
                      <w:marLeft w:val="0"/>
                      <w:marRight w:val="0"/>
                      <w:marTop w:val="0"/>
                      <w:marBottom w:val="0"/>
                      <w:divBdr>
                        <w:top w:val="none" w:sz="0" w:space="0" w:color="auto"/>
                        <w:left w:val="none" w:sz="0" w:space="0" w:color="auto"/>
                        <w:bottom w:val="none" w:sz="0" w:space="0" w:color="auto"/>
                        <w:right w:val="none" w:sz="0" w:space="0" w:color="auto"/>
                      </w:divBdr>
                    </w:div>
                    <w:div w:id="1562788995">
                      <w:marLeft w:val="0"/>
                      <w:marRight w:val="0"/>
                      <w:marTop w:val="0"/>
                      <w:marBottom w:val="0"/>
                      <w:divBdr>
                        <w:top w:val="none" w:sz="0" w:space="0" w:color="auto"/>
                        <w:left w:val="none" w:sz="0" w:space="0" w:color="auto"/>
                        <w:bottom w:val="none" w:sz="0" w:space="0" w:color="auto"/>
                        <w:right w:val="none" w:sz="0" w:space="0" w:color="auto"/>
                      </w:divBdr>
                    </w:div>
                    <w:div w:id="1712076215">
                      <w:marLeft w:val="0"/>
                      <w:marRight w:val="0"/>
                      <w:marTop w:val="0"/>
                      <w:marBottom w:val="0"/>
                      <w:divBdr>
                        <w:top w:val="none" w:sz="0" w:space="0" w:color="auto"/>
                        <w:left w:val="none" w:sz="0" w:space="0" w:color="auto"/>
                        <w:bottom w:val="none" w:sz="0" w:space="0" w:color="auto"/>
                        <w:right w:val="none" w:sz="0" w:space="0" w:color="auto"/>
                      </w:divBdr>
                    </w:div>
                    <w:div w:id="1977251161">
                      <w:marLeft w:val="0"/>
                      <w:marRight w:val="0"/>
                      <w:marTop w:val="0"/>
                      <w:marBottom w:val="0"/>
                      <w:divBdr>
                        <w:top w:val="none" w:sz="0" w:space="0" w:color="auto"/>
                        <w:left w:val="none" w:sz="0" w:space="0" w:color="auto"/>
                        <w:bottom w:val="none" w:sz="0" w:space="0" w:color="auto"/>
                        <w:right w:val="none" w:sz="0" w:space="0" w:color="auto"/>
                      </w:divBdr>
                    </w:div>
                  </w:divsChild>
                </w:div>
                <w:div w:id="1514687831">
                  <w:marLeft w:val="0"/>
                  <w:marRight w:val="0"/>
                  <w:marTop w:val="0"/>
                  <w:marBottom w:val="0"/>
                  <w:divBdr>
                    <w:top w:val="none" w:sz="0" w:space="0" w:color="auto"/>
                    <w:left w:val="none" w:sz="0" w:space="0" w:color="auto"/>
                    <w:bottom w:val="none" w:sz="0" w:space="0" w:color="auto"/>
                    <w:right w:val="none" w:sz="0" w:space="0" w:color="auto"/>
                  </w:divBdr>
                  <w:divsChild>
                    <w:div w:id="1445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93279">
          <w:marLeft w:val="0"/>
          <w:marRight w:val="0"/>
          <w:marTop w:val="0"/>
          <w:marBottom w:val="0"/>
          <w:divBdr>
            <w:top w:val="none" w:sz="0" w:space="0" w:color="auto"/>
            <w:left w:val="none" w:sz="0" w:space="0" w:color="auto"/>
            <w:bottom w:val="none" w:sz="0" w:space="0" w:color="auto"/>
            <w:right w:val="none" w:sz="0" w:space="0" w:color="auto"/>
          </w:divBdr>
        </w:div>
        <w:div w:id="465439917">
          <w:marLeft w:val="0"/>
          <w:marRight w:val="0"/>
          <w:marTop w:val="0"/>
          <w:marBottom w:val="0"/>
          <w:divBdr>
            <w:top w:val="none" w:sz="0" w:space="0" w:color="auto"/>
            <w:left w:val="none" w:sz="0" w:space="0" w:color="auto"/>
            <w:bottom w:val="none" w:sz="0" w:space="0" w:color="auto"/>
            <w:right w:val="none" w:sz="0" w:space="0" w:color="auto"/>
          </w:divBdr>
        </w:div>
        <w:div w:id="475993030">
          <w:marLeft w:val="0"/>
          <w:marRight w:val="0"/>
          <w:marTop w:val="0"/>
          <w:marBottom w:val="0"/>
          <w:divBdr>
            <w:top w:val="none" w:sz="0" w:space="0" w:color="auto"/>
            <w:left w:val="none" w:sz="0" w:space="0" w:color="auto"/>
            <w:bottom w:val="none" w:sz="0" w:space="0" w:color="auto"/>
            <w:right w:val="none" w:sz="0" w:space="0" w:color="auto"/>
          </w:divBdr>
        </w:div>
        <w:div w:id="707140598">
          <w:marLeft w:val="0"/>
          <w:marRight w:val="0"/>
          <w:marTop w:val="0"/>
          <w:marBottom w:val="0"/>
          <w:divBdr>
            <w:top w:val="none" w:sz="0" w:space="0" w:color="auto"/>
            <w:left w:val="none" w:sz="0" w:space="0" w:color="auto"/>
            <w:bottom w:val="none" w:sz="0" w:space="0" w:color="auto"/>
            <w:right w:val="none" w:sz="0" w:space="0" w:color="auto"/>
          </w:divBdr>
          <w:divsChild>
            <w:div w:id="1692293851">
              <w:marLeft w:val="0"/>
              <w:marRight w:val="0"/>
              <w:marTop w:val="30"/>
              <w:marBottom w:val="30"/>
              <w:divBdr>
                <w:top w:val="none" w:sz="0" w:space="0" w:color="auto"/>
                <w:left w:val="none" w:sz="0" w:space="0" w:color="auto"/>
                <w:bottom w:val="none" w:sz="0" w:space="0" w:color="auto"/>
                <w:right w:val="none" w:sz="0" w:space="0" w:color="auto"/>
              </w:divBdr>
              <w:divsChild>
                <w:div w:id="330067996">
                  <w:marLeft w:val="0"/>
                  <w:marRight w:val="0"/>
                  <w:marTop w:val="0"/>
                  <w:marBottom w:val="0"/>
                  <w:divBdr>
                    <w:top w:val="none" w:sz="0" w:space="0" w:color="auto"/>
                    <w:left w:val="none" w:sz="0" w:space="0" w:color="auto"/>
                    <w:bottom w:val="none" w:sz="0" w:space="0" w:color="auto"/>
                    <w:right w:val="none" w:sz="0" w:space="0" w:color="auto"/>
                  </w:divBdr>
                  <w:divsChild>
                    <w:div w:id="1594239149">
                      <w:marLeft w:val="0"/>
                      <w:marRight w:val="0"/>
                      <w:marTop w:val="0"/>
                      <w:marBottom w:val="0"/>
                      <w:divBdr>
                        <w:top w:val="none" w:sz="0" w:space="0" w:color="auto"/>
                        <w:left w:val="none" w:sz="0" w:space="0" w:color="auto"/>
                        <w:bottom w:val="none" w:sz="0" w:space="0" w:color="auto"/>
                        <w:right w:val="none" w:sz="0" w:space="0" w:color="auto"/>
                      </w:divBdr>
                    </w:div>
                    <w:div w:id="1960329546">
                      <w:marLeft w:val="0"/>
                      <w:marRight w:val="0"/>
                      <w:marTop w:val="0"/>
                      <w:marBottom w:val="0"/>
                      <w:divBdr>
                        <w:top w:val="none" w:sz="0" w:space="0" w:color="auto"/>
                        <w:left w:val="none" w:sz="0" w:space="0" w:color="auto"/>
                        <w:bottom w:val="none" w:sz="0" w:space="0" w:color="auto"/>
                        <w:right w:val="none" w:sz="0" w:space="0" w:color="auto"/>
                      </w:divBdr>
                    </w:div>
                  </w:divsChild>
                </w:div>
                <w:div w:id="610547489">
                  <w:marLeft w:val="0"/>
                  <w:marRight w:val="0"/>
                  <w:marTop w:val="0"/>
                  <w:marBottom w:val="0"/>
                  <w:divBdr>
                    <w:top w:val="none" w:sz="0" w:space="0" w:color="auto"/>
                    <w:left w:val="none" w:sz="0" w:space="0" w:color="auto"/>
                    <w:bottom w:val="none" w:sz="0" w:space="0" w:color="auto"/>
                    <w:right w:val="none" w:sz="0" w:space="0" w:color="auto"/>
                  </w:divBdr>
                  <w:divsChild>
                    <w:div w:id="20004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63517">
          <w:marLeft w:val="0"/>
          <w:marRight w:val="0"/>
          <w:marTop w:val="0"/>
          <w:marBottom w:val="0"/>
          <w:divBdr>
            <w:top w:val="none" w:sz="0" w:space="0" w:color="auto"/>
            <w:left w:val="none" w:sz="0" w:space="0" w:color="auto"/>
            <w:bottom w:val="none" w:sz="0" w:space="0" w:color="auto"/>
            <w:right w:val="none" w:sz="0" w:space="0" w:color="auto"/>
          </w:divBdr>
          <w:divsChild>
            <w:div w:id="38939822">
              <w:marLeft w:val="0"/>
              <w:marRight w:val="0"/>
              <w:marTop w:val="30"/>
              <w:marBottom w:val="30"/>
              <w:divBdr>
                <w:top w:val="none" w:sz="0" w:space="0" w:color="auto"/>
                <w:left w:val="none" w:sz="0" w:space="0" w:color="auto"/>
                <w:bottom w:val="none" w:sz="0" w:space="0" w:color="auto"/>
                <w:right w:val="none" w:sz="0" w:space="0" w:color="auto"/>
              </w:divBdr>
              <w:divsChild>
                <w:div w:id="1420520149">
                  <w:marLeft w:val="0"/>
                  <w:marRight w:val="0"/>
                  <w:marTop w:val="0"/>
                  <w:marBottom w:val="0"/>
                  <w:divBdr>
                    <w:top w:val="none" w:sz="0" w:space="0" w:color="auto"/>
                    <w:left w:val="none" w:sz="0" w:space="0" w:color="auto"/>
                    <w:bottom w:val="none" w:sz="0" w:space="0" w:color="auto"/>
                    <w:right w:val="none" w:sz="0" w:space="0" w:color="auto"/>
                  </w:divBdr>
                  <w:divsChild>
                    <w:div w:id="1095710986">
                      <w:marLeft w:val="0"/>
                      <w:marRight w:val="0"/>
                      <w:marTop w:val="0"/>
                      <w:marBottom w:val="0"/>
                      <w:divBdr>
                        <w:top w:val="none" w:sz="0" w:space="0" w:color="auto"/>
                        <w:left w:val="none" w:sz="0" w:space="0" w:color="auto"/>
                        <w:bottom w:val="none" w:sz="0" w:space="0" w:color="auto"/>
                        <w:right w:val="none" w:sz="0" w:space="0" w:color="auto"/>
                      </w:divBdr>
                    </w:div>
                  </w:divsChild>
                </w:div>
                <w:div w:id="1658027042">
                  <w:marLeft w:val="0"/>
                  <w:marRight w:val="0"/>
                  <w:marTop w:val="0"/>
                  <w:marBottom w:val="0"/>
                  <w:divBdr>
                    <w:top w:val="none" w:sz="0" w:space="0" w:color="auto"/>
                    <w:left w:val="none" w:sz="0" w:space="0" w:color="auto"/>
                    <w:bottom w:val="none" w:sz="0" w:space="0" w:color="auto"/>
                    <w:right w:val="none" w:sz="0" w:space="0" w:color="auto"/>
                  </w:divBdr>
                  <w:divsChild>
                    <w:div w:id="642393133">
                      <w:marLeft w:val="0"/>
                      <w:marRight w:val="0"/>
                      <w:marTop w:val="0"/>
                      <w:marBottom w:val="0"/>
                      <w:divBdr>
                        <w:top w:val="none" w:sz="0" w:space="0" w:color="auto"/>
                        <w:left w:val="none" w:sz="0" w:space="0" w:color="auto"/>
                        <w:bottom w:val="none" w:sz="0" w:space="0" w:color="auto"/>
                        <w:right w:val="none" w:sz="0" w:space="0" w:color="auto"/>
                      </w:divBdr>
                    </w:div>
                  </w:divsChild>
                </w:div>
                <w:div w:id="1760171691">
                  <w:marLeft w:val="0"/>
                  <w:marRight w:val="0"/>
                  <w:marTop w:val="0"/>
                  <w:marBottom w:val="0"/>
                  <w:divBdr>
                    <w:top w:val="none" w:sz="0" w:space="0" w:color="auto"/>
                    <w:left w:val="none" w:sz="0" w:space="0" w:color="auto"/>
                    <w:bottom w:val="none" w:sz="0" w:space="0" w:color="auto"/>
                    <w:right w:val="none" w:sz="0" w:space="0" w:color="auto"/>
                  </w:divBdr>
                  <w:divsChild>
                    <w:div w:id="602612241">
                      <w:marLeft w:val="0"/>
                      <w:marRight w:val="0"/>
                      <w:marTop w:val="0"/>
                      <w:marBottom w:val="0"/>
                      <w:divBdr>
                        <w:top w:val="none" w:sz="0" w:space="0" w:color="auto"/>
                        <w:left w:val="none" w:sz="0" w:space="0" w:color="auto"/>
                        <w:bottom w:val="none" w:sz="0" w:space="0" w:color="auto"/>
                        <w:right w:val="none" w:sz="0" w:space="0" w:color="auto"/>
                      </w:divBdr>
                    </w:div>
                    <w:div w:id="927887435">
                      <w:marLeft w:val="0"/>
                      <w:marRight w:val="0"/>
                      <w:marTop w:val="0"/>
                      <w:marBottom w:val="0"/>
                      <w:divBdr>
                        <w:top w:val="none" w:sz="0" w:space="0" w:color="auto"/>
                        <w:left w:val="none" w:sz="0" w:space="0" w:color="auto"/>
                        <w:bottom w:val="none" w:sz="0" w:space="0" w:color="auto"/>
                        <w:right w:val="none" w:sz="0" w:space="0" w:color="auto"/>
                      </w:divBdr>
                    </w:div>
                    <w:div w:id="134567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87066">
          <w:marLeft w:val="0"/>
          <w:marRight w:val="0"/>
          <w:marTop w:val="0"/>
          <w:marBottom w:val="0"/>
          <w:divBdr>
            <w:top w:val="none" w:sz="0" w:space="0" w:color="auto"/>
            <w:left w:val="none" w:sz="0" w:space="0" w:color="auto"/>
            <w:bottom w:val="none" w:sz="0" w:space="0" w:color="auto"/>
            <w:right w:val="none" w:sz="0" w:space="0" w:color="auto"/>
          </w:divBdr>
        </w:div>
        <w:div w:id="1368722670">
          <w:marLeft w:val="0"/>
          <w:marRight w:val="0"/>
          <w:marTop w:val="0"/>
          <w:marBottom w:val="0"/>
          <w:divBdr>
            <w:top w:val="none" w:sz="0" w:space="0" w:color="auto"/>
            <w:left w:val="none" w:sz="0" w:space="0" w:color="auto"/>
            <w:bottom w:val="none" w:sz="0" w:space="0" w:color="auto"/>
            <w:right w:val="none" w:sz="0" w:space="0" w:color="auto"/>
          </w:divBdr>
          <w:divsChild>
            <w:div w:id="794447416">
              <w:marLeft w:val="0"/>
              <w:marRight w:val="0"/>
              <w:marTop w:val="30"/>
              <w:marBottom w:val="30"/>
              <w:divBdr>
                <w:top w:val="none" w:sz="0" w:space="0" w:color="auto"/>
                <w:left w:val="none" w:sz="0" w:space="0" w:color="auto"/>
                <w:bottom w:val="none" w:sz="0" w:space="0" w:color="auto"/>
                <w:right w:val="none" w:sz="0" w:space="0" w:color="auto"/>
              </w:divBdr>
              <w:divsChild>
                <w:div w:id="166679716">
                  <w:marLeft w:val="0"/>
                  <w:marRight w:val="0"/>
                  <w:marTop w:val="0"/>
                  <w:marBottom w:val="0"/>
                  <w:divBdr>
                    <w:top w:val="none" w:sz="0" w:space="0" w:color="auto"/>
                    <w:left w:val="none" w:sz="0" w:space="0" w:color="auto"/>
                    <w:bottom w:val="none" w:sz="0" w:space="0" w:color="auto"/>
                    <w:right w:val="none" w:sz="0" w:space="0" w:color="auto"/>
                  </w:divBdr>
                  <w:divsChild>
                    <w:div w:id="1260411907">
                      <w:marLeft w:val="0"/>
                      <w:marRight w:val="0"/>
                      <w:marTop w:val="0"/>
                      <w:marBottom w:val="0"/>
                      <w:divBdr>
                        <w:top w:val="none" w:sz="0" w:space="0" w:color="auto"/>
                        <w:left w:val="none" w:sz="0" w:space="0" w:color="auto"/>
                        <w:bottom w:val="none" w:sz="0" w:space="0" w:color="auto"/>
                        <w:right w:val="none" w:sz="0" w:space="0" w:color="auto"/>
                      </w:divBdr>
                    </w:div>
                  </w:divsChild>
                </w:div>
                <w:div w:id="206263429">
                  <w:marLeft w:val="0"/>
                  <w:marRight w:val="0"/>
                  <w:marTop w:val="0"/>
                  <w:marBottom w:val="0"/>
                  <w:divBdr>
                    <w:top w:val="none" w:sz="0" w:space="0" w:color="auto"/>
                    <w:left w:val="none" w:sz="0" w:space="0" w:color="auto"/>
                    <w:bottom w:val="none" w:sz="0" w:space="0" w:color="auto"/>
                    <w:right w:val="none" w:sz="0" w:space="0" w:color="auto"/>
                  </w:divBdr>
                  <w:divsChild>
                    <w:div w:id="1206330197">
                      <w:marLeft w:val="0"/>
                      <w:marRight w:val="0"/>
                      <w:marTop w:val="0"/>
                      <w:marBottom w:val="0"/>
                      <w:divBdr>
                        <w:top w:val="none" w:sz="0" w:space="0" w:color="auto"/>
                        <w:left w:val="none" w:sz="0" w:space="0" w:color="auto"/>
                        <w:bottom w:val="none" w:sz="0" w:space="0" w:color="auto"/>
                        <w:right w:val="none" w:sz="0" w:space="0" w:color="auto"/>
                      </w:divBdr>
                    </w:div>
                  </w:divsChild>
                </w:div>
                <w:div w:id="641734577">
                  <w:marLeft w:val="0"/>
                  <w:marRight w:val="0"/>
                  <w:marTop w:val="0"/>
                  <w:marBottom w:val="0"/>
                  <w:divBdr>
                    <w:top w:val="none" w:sz="0" w:space="0" w:color="auto"/>
                    <w:left w:val="none" w:sz="0" w:space="0" w:color="auto"/>
                    <w:bottom w:val="none" w:sz="0" w:space="0" w:color="auto"/>
                    <w:right w:val="none" w:sz="0" w:space="0" w:color="auto"/>
                  </w:divBdr>
                  <w:divsChild>
                    <w:div w:id="908492256">
                      <w:marLeft w:val="0"/>
                      <w:marRight w:val="0"/>
                      <w:marTop w:val="0"/>
                      <w:marBottom w:val="0"/>
                      <w:divBdr>
                        <w:top w:val="none" w:sz="0" w:space="0" w:color="auto"/>
                        <w:left w:val="none" w:sz="0" w:space="0" w:color="auto"/>
                        <w:bottom w:val="none" w:sz="0" w:space="0" w:color="auto"/>
                        <w:right w:val="none" w:sz="0" w:space="0" w:color="auto"/>
                      </w:divBdr>
                    </w:div>
                  </w:divsChild>
                </w:div>
                <w:div w:id="808208367">
                  <w:marLeft w:val="0"/>
                  <w:marRight w:val="0"/>
                  <w:marTop w:val="0"/>
                  <w:marBottom w:val="0"/>
                  <w:divBdr>
                    <w:top w:val="none" w:sz="0" w:space="0" w:color="auto"/>
                    <w:left w:val="none" w:sz="0" w:space="0" w:color="auto"/>
                    <w:bottom w:val="none" w:sz="0" w:space="0" w:color="auto"/>
                    <w:right w:val="none" w:sz="0" w:space="0" w:color="auto"/>
                  </w:divBdr>
                  <w:divsChild>
                    <w:div w:id="263811539">
                      <w:marLeft w:val="0"/>
                      <w:marRight w:val="0"/>
                      <w:marTop w:val="0"/>
                      <w:marBottom w:val="0"/>
                      <w:divBdr>
                        <w:top w:val="none" w:sz="0" w:space="0" w:color="auto"/>
                        <w:left w:val="none" w:sz="0" w:space="0" w:color="auto"/>
                        <w:bottom w:val="none" w:sz="0" w:space="0" w:color="auto"/>
                        <w:right w:val="none" w:sz="0" w:space="0" w:color="auto"/>
                      </w:divBdr>
                    </w:div>
                    <w:div w:id="1345665439">
                      <w:marLeft w:val="0"/>
                      <w:marRight w:val="0"/>
                      <w:marTop w:val="0"/>
                      <w:marBottom w:val="0"/>
                      <w:divBdr>
                        <w:top w:val="none" w:sz="0" w:space="0" w:color="auto"/>
                        <w:left w:val="none" w:sz="0" w:space="0" w:color="auto"/>
                        <w:bottom w:val="none" w:sz="0" w:space="0" w:color="auto"/>
                        <w:right w:val="none" w:sz="0" w:space="0" w:color="auto"/>
                      </w:divBdr>
                    </w:div>
                    <w:div w:id="1731615047">
                      <w:marLeft w:val="0"/>
                      <w:marRight w:val="0"/>
                      <w:marTop w:val="0"/>
                      <w:marBottom w:val="0"/>
                      <w:divBdr>
                        <w:top w:val="none" w:sz="0" w:space="0" w:color="auto"/>
                        <w:left w:val="none" w:sz="0" w:space="0" w:color="auto"/>
                        <w:bottom w:val="none" w:sz="0" w:space="0" w:color="auto"/>
                        <w:right w:val="none" w:sz="0" w:space="0" w:color="auto"/>
                      </w:divBdr>
                    </w:div>
                  </w:divsChild>
                </w:div>
                <w:div w:id="2006007347">
                  <w:marLeft w:val="0"/>
                  <w:marRight w:val="0"/>
                  <w:marTop w:val="0"/>
                  <w:marBottom w:val="0"/>
                  <w:divBdr>
                    <w:top w:val="none" w:sz="0" w:space="0" w:color="auto"/>
                    <w:left w:val="none" w:sz="0" w:space="0" w:color="auto"/>
                    <w:bottom w:val="none" w:sz="0" w:space="0" w:color="auto"/>
                    <w:right w:val="none" w:sz="0" w:space="0" w:color="auto"/>
                  </w:divBdr>
                  <w:divsChild>
                    <w:div w:id="291402619">
                      <w:marLeft w:val="0"/>
                      <w:marRight w:val="0"/>
                      <w:marTop w:val="0"/>
                      <w:marBottom w:val="0"/>
                      <w:divBdr>
                        <w:top w:val="none" w:sz="0" w:space="0" w:color="auto"/>
                        <w:left w:val="none" w:sz="0" w:space="0" w:color="auto"/>
                        <w:bottom w:val="none" w:sz="0" w:space="0" w:color="auto"/>
                        <w:right w:val="none" w:sz="0" w:space="0" w:color="auto"/>
                      </w:divBdr>
                    </w:div>
                    <w:div w:id="383221055">
                      <w:marLeft w:val="0"/>
                      <w:marRight w:val="0"/>
                      <w:marTop w:val="0"/>
                      <w:marBottom w:val="0"/>
                      <w:divBdr>
                        <w:top w:val="none" w:sz="0" w:space="0" w:color="auto"/>
                        <w:left w:val="none" w:sz="0" w:space="0" w:color="auto"/>
                        <w:bottom w:val="none" w:sz="0" w:space="0" w:color="auto"/>
                        <w:right w:val="none" w:sz="0" w:space="0" w:color="auto"/>
                      </w:divBdr>
                    </w:div>
                    <w:div w:id="520245134">
                      <w:marLeft w:val="0"/>
                      <w:marRight w:val="0"/>
                      <w:marTop w:val="0"/>
                      <w:marBottom w:val="0"/>
                      <w:divBdr>
                        <w:top w:val="none" w:sz="0" w:space="0" w:color="auto"/>
                        <w:left w:val="none" w:sz="0" w:space="0" w:color="auto"/>
                        <w:bottom w:val="none" w:sz="0" w:space="0" w:color="auto"/>
                        <w:right w:val="none" w:sz="0" w:space="0" w:color="auto"/>
                      </w:divBdr>
                    </w:div>
                    <w:div w:id="596862835">
                      <w:marLeft w:val="0"/>
                      <w:marRight w:val="0"/>
                      <w:marTop w:val="0"/>
                      <w:marBottom w:val="0"/>
                      <w:divBdr>
                        <w:top w:val="none" w:sz="0" w:space="0" w:color="auto"/>
                        <w:left w:val="none" w:sz="0" w:space="0" w:color="auto"/>
                        <w:bottom w:val="none" w:sz="0" w:space="0" w:color="auto"/>
                        <w:right w:val="none" w:sz="0" w:space="0" w:color="auto"/>
                      </w:divBdr>
                    </w:div>
                    <w:div w:id="658926440">
                      <w:marLeft w:val="0"/>
                      <w:marRight w:val="0"/>
                      <w:marTop w:val="0"/>
                      <w:marBottom w:val="0"/>
                      <w:divBdr>
                        <w:top w:val="none" w:sz="0" w:space="0" w:color="auto"/>
                        <w:left w:val="none" w:sz="0" w:space="0" w:color="auto"/>
                        <w:bottom w:val="none" w:sz="0" w:space="0" w:color="auto"/>
                        <w:right w:val="none" w:sz="0" w:space="0" w:color="auto"/>
                      </w:divBdr>
                    </w:div>
                    <w:div w:id="1350137531">
                      <w:marLeft w:val="0"/>
                      <w:marRight w:val="0"/>
                      <w:marTop w:val="0"/>
                      <w:marBottom w:val="0"/>
                      <w:divBdr>
                        <w:top w:val="none" w:sz="0" w:space="0" w:color="auto"/>
                        <w:left w:val="none" w:sz="0" w:space="0" w:color="auto"/>
                        <w:bottom w:val="none" w:sz="0" w:space="0" w:color="auto"/>
                        <w:right w:val="none" w:sz="0" w:space="0" w:color="auto"/>
                      </w:divBdr>
                    </w:div>
                    <w:div w:id="159366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62665">
          <w:marLeft w:val="0"/>
          <w:marRight w:val="0"/>
          <w:marTop w:val="0"/>
          <w:marBottom w:val="0"/>
          <w:divBdr>
            <w:top w:val="none" w:sz="0" w:space="0" w:color="auto"/>
            <w:left w:val="none" w:sz="0" w:space="0" w:color="auto"/>
            <w:bottom w:val="none" w:sz="0" w:space="0" w:color="auto"/>
            <w:right w:val="none" w:sz="0" w:space="0" w:color="auto"/>
          </w:divBdr>
        </w:div>
        <w:div w:id="1883900935">
          <w:marLeft w:val="0"/>
          <w:marRight w:val="0"/>
          <w:marTop w:val="0"/>
          <w:marBottom w:val="0"/>
          <w:divBdr>
            <w:top w:val="none" w:sz="0" w:space="0" w:color="auto"/>
            <w:left w:val="none" w:sz="0" w:space="0" w:color="auto"/>
            <w:bottom w:val="none" w:sz="0" w:space="0" w:color="auto"/>
            <w:right w:val="none" w:sz="0" w:space="0" w:color="auto"/>
          </w:divBdr>
          <w:divsChild>
            <w:div w:id="360712175">
              <w:marLeft w:val="0"/>
              <w:marRight w:val="0"/>
              <w:marTop w:val="30"/>
              <w:marBottom w:val="30"/>
              <w:divBdr>
                <w:top w:val="none" w:sz="0" w:space="0" w:color="auto"/>
                <w:left w:val="none" w:sz="0" w:space="0" w:color="auto"/>
                <w:bottom w:val="none" w:sz="0" w:space="0" w:color="auto"/>
                <w:right w:val="none" w:sz="0" w:space="0" w:color="auto"/>
              </w:divBdr>
              <w:divsChild>
                <w:div w:id="540898888">
                  <w:marLeft w:val="0"/>
                  <w:marRight w:val="0"/>
                  <w:marTop w:val="0"/>
                  <w:marBottom w:val="0"/>
                  <w:divBdr>
                    <w:top w:val="none" w:sz="0" w:space="0" w:color="auto"/>
                    <w:left w:val="none" w:sz="0" w:space="0" w:color="auto"/>
                    <w:bottom w:val="none" w:sz="0" w:space="0" w:color="auto"/>
                    <w:right w:val="none" w:sz="0" w:space="0" w:color="auto"/>
                  </w:divBdr>
                  <w:divsChild>
                    <w:div w:id="1826968239">
                      <w:marLeft w:val="0"/>
                      <w:marRight w:val="0"/>
                      <w:marTop w:val="0"/>
                      <w:marBottom w:val="0"/>
                      <w:divBdr>
                        <w:top w:val="none" w:sz="0" w:space="0" w:color="auto"/>
                        <w:left w:val="none" w:sz="0" w:space="0" w:color="auto"/>
                        <w:bottom w:val="none" w:sz="0" w:space="0" w:color="auto"/>
                        <w:right w:val="none" w:sz="0" w:space="0" w:color="auto"/>
                      </w:divBdr>
                    </w:div>
                  </w:divsChild>
                </w:div>
                <w:div w:id="569536315">
                  <w:marLeft w:val="0"/>
                  <w:marRight w:val="0"/>
                  <w:marTop w:val="0"/>
                  <w:marBottom w:val="0"/>
                  <w:divBdr>
                    <w:top w:val="none" w:sz="0" w:space="0" w:color="auto"/>
                    <w:left w:val="none" w:sz="0" w:space="0" w:color="auto"/>
                    <w:bottom w:val="none" w:sz="0" w:space="0" w:color="auto"/>
                    <w:right w:val="none" w:sz="0" w:space="0" w:color="auto"/>
                  </w:divBdr>
                  <w:divsChild>
                    <w:div w:id="317926898">
                      <w:marLeft w:val="0"/>
                      <w:marRight w:val="0"/>
                      <w:marTop w:val="0"/>
                      <w:marBottom w:val="0"/>
                      <w:divBdr>
                        <w:top w:val="none" w:sz="0" w:space="0" w:color="auto"/>
                        <w:left w:val="none" w:sz="0" w:space="0" w:color="auto"/>
                        <w:bottom w:val="none" w:sz="0" w:space="0" w:color="auto"/>
                        <w:right w:val="none" w:sz="0" w:space="0" w:color="auto"/>
                      </w:divBdr>
                    </w:div>
                  </w:divsChild>
                </w:div>
                <w:div w:id="726294331">
                  <w:marLeft w:val="0"/>
                  <w:marRight w:val="0"/>
                  <w:marTop w:val="0"/>
                  <w:marBottom w:val="0"/>
                  <w:divBdr>
                    <w:top w:val="none" w:sz="0" w:space="0" w:color="auto"/>
                    <w:left w:val="none" w:sz="0" w:space="0" w:color="auto"/>
                    <w:bottom w:val="none" w:sz="0" w:space="0" w:color="auto"/>
                    <w:right w:val="none" w:sz="0" w:space="0" w:color="auto"/>
                  </w:divBdr>
                  <w:divsChild>
                    <w:div w:id="217713019">
                      <w:marLeft w:val="0"/>
                      <w:marRight w:val="0"/>
                      <w:marTop w:val="0"/>
                      <w:marBottom w:val="0"/>
                      <w:divBdr>
                        <w:top w:val="none" w:sz="0" w:space="0" w:color="auto"/>
                        <w:left w:val="none" w:sz="0" w:space="0" w:color="auto"/>
                        <w:bottom w:val="none" w:sz="0" w:space="0" w:color="auto"/>
                        <w:right w:val="none" w:sz="0" w:space="0" w:color="auto"/>
                      </w:divBdr>
                    </w:div>
                  </w:divsChild>
                </w:div>
                <w:div w:id="922956424">
                  <w:marLeft w:val="0"/>
                  <w:marRight w:val="0"/>
                  <w:marTop w:val="0"/>
                  <w:marBottom w:val="0"/>
                  <w:divBdr>
                    <w:top w:val="none" w:sz="0" w:space="0" w:color="auto"/>
                    <w:left w:val="none" w:sz="0" w:space="0" w:color="auto"/>
                    <w:bottom w:val="none" w:sz="0" w:space="0" w:color="auto"/>
                    <w:right w:val="none" w:sz="0" w:space="0" w:color="auto"/>
                  </w:divBdr>
                  <w:divsChild>
                    <w:div w:id="377125020">
                      <w:marLeft w:val="0"/>
                      <w:marRight w:val="0"/>
                      <w:marTop w:val="0"/>
                      <w:marBottom w:val="0"/>
                      <w:divBdr>
                        <w:top w:val="none" w:sz="0" w:space="0" w:color="auto"/>
                        <w:left w:val="none" w:sz="0" w:space="0" w:color="auto"/>
                        <w:bottom w:val="none" w:sz="0" w:space="0" w:color="auto"/>
                        <w:right w:val="none" w:sz="0" w:space="0" w:color="auto"/>
                      </w:divBdr>
                    </w:div>
                    <w:div w:id="995307931">
                      <w:marLeft w:val="0"/>
                      <w:marRight w:val="0"/>
                      <w:marTop w:val="0"/>
                      <w:marBottom w:val="0"/>
                      <w:divBdr>
                        <w:top w:val="none" w:sz="0" w:space="0" w:color="auto"/>
                        <w:left w:val="none" w:sz="0" w:space="0" w:color="auto"/>
                        <w:bottom w:val="none" w:sz="0" w:space="0" w:color="auto"/>
                        <w:right w:val="none" w:sz="0" w:space="0" w:color="auto"/>
                      </w:divBdr>
                    </w:div>
                    <w:div w:id="1202206168">
                      <w:marLeft w:val="0"/>
                      <w:marRight w:val="0"/>
                      <w:marTop w:val="0"/>
                      <w:marBottom w:val="0"/>
                      <w:divBdr>
                        <w:top w:val="none" w:sz="0" w:space="0" w:color="auto"/>
                        <w:left w:val="none" w:sz="0" w:space="0" w:color="auto"/>
                        <w:bottom w:val="none" w:sz="0" w:space="0" w:color="auto"/>
                        <w:right w:val="none" w:sz="0" w:space="0" w:color="auto"/>
                      </w:divBdr>
                    </w:div>
                  </w:divsChild>
                </w:div>
                <w:div w:id="955873736">
                  <w:marLeft w:val="0"/>
                  <w:marRight w:val="0"/>
                  <w:marTop w:val="0"/>
                  <w:marBottom w:val="0"/>
                  <w:divBdr>
                    <w:top w:val="none" w:sz="0" w:space="0" w:color="auto"/>
                    <w:left w:val="none" w:sz="0" w:space="0" w:color="auto"/>
                    <w:bottom w:val="none" w:sz="0" w:space="0" w:color="auto"/>
                    <w:right w:val="none" w:sz="0" w:space="0" w:color="auto"/>
                  </w:divBdr>
                  <w:divsChild>
                    <w:div w:id="561792420">
                      <w:marLeft w:val="0"/>
                      <w:marRight w:val="0"/>
                      <w:marTop w:val="0"/>
                      <w:marBottom w:val="0"/>
                      <w:divBdr>
                        <w:top w:val="none" w:sz="0" w:space="0" w:color="auto"/>
                        <w:left w:val="none" w:sz="0" w:space="0" w:color="auto"/>
                        <w:bottom w:val="none" w:sz="0" w:space="0" w:color="auto"/>
                        <w:right w:val="none" w:sz="0" w:space="0" w:color="auto"/>
                      </w:divBdr>
                    </w:div>
                    <w:div w:id="667680819">
                      <w:marLeft w:val="0"/>
                      <w:marRight w:val="0"/>
                      <w:marTop w:val="0"/>
                      <w:marBottom w:val="0"/>
                      <w:divBdr>
                        <w:top w:val="none" w:sz="0" w:space="0" w:color="auto"/>
                        <w:left w:val="none" w:sz="0" w:space="0" w:color="auto"/>
                        <w:bottom w:val="none" w:sz="0" w:space="0" w:color="auto"/>
                        <w:right w:val="none" w:sz="0" w:space="0" w:color="auto"/>
                      </w:divBdr>
                    </w:div>
                    <w:div w:id="1971282201">
                      <w:marLeft w:val="0"/>
                      <w:marRight w:val="0"/>
                      <w:marTop w:val="0"/>
                      <w:marBottom w:val="0"/>
                      <w:divBdr>
                        <w:top w:val="none" w:sz="0" w:space="0" w:color="auto"/>
                        <w:left w:val="none" w:sz="0" w:space="0" w:color="auto"/>
                        <w:bottom w:val="none" w:sz="0" w:space="0" w:color="auto"/>
                        <w:right w:val="none" w:sz="0" w:space="0" w:color="auto"/>
                      </w:divBdr>
                    </w:div>
                  </w:divsChild>
                </w:div>
                <w:div w:id="996568447">
                  <w:marLeft w:val="0"/>
                  <w:marRight w:val="0"/>
                  <w:marTop w:val="0"/>
                  <w:marBottom w:val="0"/>
                  <w:divBdr>
                    <w:top w:val="none" w:sz="0" w:space="0" w:color="auto"/>
                    <w:left w:val="none" w:sz="0" w:space="0" w:color="auto"/>
                    <w:bottom w:val="none" w:sz="0" w:space="0" w:color="auto"/>
                    <w:right w:val="none" w:sz="0" w:space="0" w:color="auto"/>
                  </w:divBdr>
                  <w:divsChild>
                    <w:div w:id="1426611435">
                      <w:marLeft w:val="0"/>
                      <w:marRight w:val="0"/>
                      <w:marTop w:val="0"/>
                      <w:marBottom w:val="0"/>
                      <w:divBdr>
                        <w:top w:val="none" w:sz="0" w:space="0" w:color="auto"/>
                        <w:left w:val="none" w:sz="0" w:space="0" w:color="auto"/>
                        <w:bottom w:val="none" w:sz="0" w:space="0" w:color="auto"/>
                        <w:right w:val="none" w:sz="0" w:space="0" w:color="auto"/>
                      </w:divBdr>
                    </w:div>
                  </w:divsChild>
                </w:div>
                <w:div w:id="1167092986">
                  <w:marLeft w:val="0"/>
                  <w:marRight w:val="0"/>
                  <w:marTop w:val="0"/>
                  <w:marBottom w:val="0"/>
                  <w:divBdr>
                    <w:top w:val="none" w:sz="0" w:space="0" w:color="auto"/>
                    <w:left w:val="none" w:sz="0" w:space="0" w:color="auto"/>
                    <w:bottom w:val="none" w:sz="0" w:space="0" w:color="auto"/>
                    <w:right w:val="none" w:sz="0" w:space="0" w:color="auto"/>
                  </w:divBdr>
                  <w:divsChild>
                    <w:div w:id="992834596">
                      <w:marLeft w:val="0"/>
                      <w:marRight w:val="0"/>
                      <w:marTop w:val="0"/>
                      <w:marBottom w:val="0"/>
                      <w:divBdr>
                        <w:top w:val="none" w:sz="0" w:space="0" w:color="auto"/>
                        <w:left w:val="none" w:sz="0" w:space="0" w:color="auto"/>
                        <w:bottom w:val="none" w:sz="0" w:space="0" w:color="auto"/>
                        <w:right w:val="none" w:sz="0" w:space="0" w:color="auto"/>
                      </w:divBdr>
                    </w:div>
                    <w:div w:id="1308169569">
                      <w:marLeft w:val="0"/>
                      <w:marRight w:val="0"/>
                      <w:marTop w:val="0"/>
                      <w:marBottom w:val="0"/>
                      <w:divBdr>
                        <w:top w:val="none" w:sz="0" w:space="0" w:color="auto"/>
                        <w:left w:val="none" w:sz="0" w:space="0" w:color="auto"/>
                        <w:bottom w:val="none" w:sz="0" w:space="0" w:color="auto"/>
                        <w:right w:val="none" w:sz="0" w:space="0" w:color="auto"/>
                      </w:divBdr>
                    </w:div>
                    <w:div w:id="1648897453">
                      <w:marLeft w:val="0"/>
                      <w:marRight w:val="0"/>
                      <w:marTop w:val="0"/>
                      <w:marBottom w:val="0"/>
                      <w:divBdr>
                        <w:top w:val="none" w:sz="0" w:space="0" w:color="auto"/>
                        <w:left w:val="none" w:sz="0" w:space="0" w:color="auto"/>
                        <w:bottom w:val="none" w:sz="0" w:space="0" w:color="auto"/>
                        <w:right w:val="none" w:sz="0" w:space="0" w:color="auto"/>
                      </w:divBdr>
                    </w:div>
                  </w:divsChild>
                </w:div>
                <w:div w:id="1327785407">
                  <w:marLeft w:val="0"/>
                  <w:marRight w:val="0"/>
                  <w:marTop w:val="0"/>
                  <w:marBottom w:val="0"/>
                  <w:divBdr>
                    <w:top w:val="none" w:sz="0" w:space="0" w:color="auto"/>
                    <w:left w:val="none" w:sz="0" w:space="0" w:color="auto"/>
                    <w:bottom w:val="none" w:sz="0" w:space="0" w:color="auto"/>
                    <w:right w:val="none" w:sz="0" w:space="0" w:color="auto"/>
                  </w:divBdr>
                  <w:divsChild>
                    <w:div w:id="328678570">
                      <w:marLeft w:val="0"/>
                      <w:marRight w:val="0"/>
                      <w:marTop w:val="0"/>
                      <w:marBottom w:val="0"/>
                      <w:divBdr>
                        <w:top w:val="none" w:sz="0" w:space="0" w:color="auto"/>
                        <w:left w:val="none" w:sz="0" w:space="0" w:color="auto"/>
                        <w:bottom w:val="none" w:sz="0" w:space="0" w:color="auto"/>
                        <w:right w:val="none" w:sz="0" w:space="0" w:color="auto"/>
                      </w:divBdr>
                    </w:div>
                  </w:divsChild>
                </w:div>
                <w:div w:id="1441143585">
                  <w:marLeft w:val="0"/>
                  <w:marRight w:val="0"/>
                  <w:marTop w:val="0"/>
                  <w:marBottom w:val="0"/>
                  <w:divBdr>
                    <w:top w:val="none" w:sz="0" w:space="0" w:color="auto"/>
                    <w:left w:val="none" w:sz="0" w:space="0" w:color="auto"/>
                    <w:bottom w:val="none" w:sz="0" w:space="0" w:color="auto"/>
                    <w:right w:val="none" w:sz="0" w:space="0" w:color="auto"/>
                  </w:divBdr>
                  <w:divsChild>
                    <w:div w:id="1281254429">
                      <w:marLeft w:val="0"/>
                      <w:marRight w:val="0"/>
                      <w:marTop w:val="0"/>
                      <w:marBottom w:val="0"/>
                      <w:divBdr>
                        <w:top w:val="none" w:sz="0" w:space="0" w:color="auto"/>
                        <w:left w:val="none" w:sz="0" w:space="0" w:color="auto"/>
                        <w:bottom w:val="none" w:sz="0" w:space="0" w:color="auto"/>
                        <w:right w:val="none" w:sz="0" w:space="0" w:color="auto"/>
                      </w:divBdr>
                    </w:div>
                  </w:divsChild>
                </w:div>
                <w:div w:id="1672416968">
                  <w:marLeft w:val="0"/>
                  <w:marRight w:val="0"/>
                  <w:marTop w:val="0"/>
                  <w:marBottom w:val="0"/>
                  <w:divBdr>
                    <w:top w:val="none" w:sz="0" w:space="0" w:color="auto"/>
                    <w:left w:val="none" w:sz="0" w:space="0" w:color="auto"/>
                    <w:bottom w:val="none" w:sz="0" w:space="0" w:color="auto"/>
                    <w:right w:val="none" w:sz="0" w:space="0" w:color="auto"/>
                  </w:divBdr>
                  <w:divsChild>
                    <w:div w:id="558125801">
                      <w:marLeft w:val="0"/>
                      <w:marRight w:val="0"/>
                      <w:marTop w:val="0"/>
                      <w:marBottom w:val="0"/>
                      <w:divBdr>
                        <w:top w:val="none" w:sz="0" w:space="0" w:color="auto"/>
                        <w:left w:val="none" w:sz="0" w:space="0" w:color="auto"/>
                        <w:bottom w:val="none" w:sz="0" w:space="0" w:color="auto"/>
                        <w:right w:val="none" w:sz="0" w:space="0" w:color="auto"/>
                      </w:divBdr>
                    </w:div>
                  </w:divsChild>
                </w:div>
                <w:div w:id="1763450455">
                  <w:marLeft w:val="0"/>
                  <w:marRight w:val="0"/>
                  <w:marTop w:val="0"/>
                  <w:marBottom w:val="0"/>
                  <w:divBdr>
                    <w:top w:val="none" w:sz="0" w:space="0" w:color="auto"/>
                    <w:left w:val="none" w:sz="0" w:space="0" w:color="auto"/>
                    <w:bottom w:val="none" w:sz="0" w:space="0" w:color="auto"/>
                    <w:right w:val="none" w:sz="0" w:space="0" w:color="auto"/>
                  </w:divBdr>
                  <w:divsChild>
                    <w:div w:id="474376178">
                      <w:marLeft w:val="0"/>
                      <w:marRight w:val="0"/>
                      <w:marTop w:val="0"/>
                      <w:marBottom w:val="0"/>
                      <w:divBdr>
                        <w:top w:val="none" w:sz="0" w:space="0" w:color="auto"/>
                        <w:left w:val="none" w:sz="0" w:space="0" w:color="auto"/>
                        <w:bottom w:val="none" w:sz="0" w:space="0" w:color="auto"/>
                        <w:right w:val="none" w:sz="0" w:space="0" w:color="auto"/>
                      </w:divBdr>
                    </w:div>
                  </w:divsChild>
                </w:div>
                <w:div w:id="1930693680">
                  <w:marLeft w:val="0"/>
                  <w:marRight w:val="0"/>
                  <w:marTop w:val="0"/>
                  <w:marBottom w:val="0"/>
                  <w:divBdr>
                    <w:top w:val="none" w:sz="0" w:space="0" w:color="auto"/>
                    <w:left w:val="none" w:sz="0" w:space="0" w:color="auto"/>
                    <w:bottom w:val="none" w:sz="0" w:space="0" w:color="auto"/>
                    <w:right w:val="none" w:sz="0" w:space="0" w:color="auto"/>
                  </w:divBdr>
                  <w:divsChild>
                    <w:div w:id="128400851">
                      <w:marLeft w:val="0"/>
                      <w:marRight w:val="0"/>
                      <w:marTop w:val="0"/>
                      <w:marBottom w:val="0"/>
                      <w:divBdr>
                        <w:top w:val="none" w:sz="0" w:space="0" w:color="auto"/>
                        <w:left w:val="none" w:sz="0" w:space="0" w:color="auto"/>
                        <w:bottom w:val="none" w:sz="0" w:space="0" w:color="auto"/>
                        <w:right w:val="none" w:sz="0" w:space="0" w:color="auto"/>
                      </w:divBdr>
                    </w:div>
                    <w:div w:id="991056684">
                      <w:marLeft w:val="0"/>
                      <w:marRight w:val="0"/>
                      <w:marTop w:val="0"/>
                      <w:marBottom w:val="0"/>
                      <w:divBdr>
                        <w:top w:val="none" w:sz="0" w:space="0" w:color="auto"/>
                        <w:left w:val="none" w:sz="0" w:space="0" w:color="auto"/>
                        <w:bottom w:val="none" w:sz="0" w:space="0" w:color="auto"/>
                        <w:right w:val="none" w:sz="0" w:space="0" w:color="auto"/>
                      </w:divBdr>
                    </w:div>
                    <w:div w:id="1900819807">
                      <w:marLeft w:val="0"/>
                      <w:marRight w:val="0"/>
                      <w:marTop w:val="0"/>
                      <w:marBottom w:val="0"/>
                      <w:divBdr>
                        <w:top w:val="none" w:sz="0" w:space="0" w:color="auto"/>
                        <w:left w:val="none" w:sz="0" w:space="0" w:color="auto"/>
                        <w:bottom w:val="none" w:sz="0" w:space="0" w:color="auto"/>
                        <w:right w:val="none" w:sz="0" w:space="0" w:color="auto"/>
                      </w:divBdr>
                    </w:div>
                  </w:divsChild>
                </w:div>
                <w:div w:id="1934513548">
                  <w:marLeft w:val="0"/>
                  <w:marRight w:val="0"/>
                  <w:marTop w:val="0"/>
                  <w:marBottom w:val="0"/>
                  <w:divBdr>
                    <w:top w:val="none" w:sz="0" w:space="0" w:color="auto"/>
                    <w:left w:val="none" w:sz="0" w:space="0" w:color="auto"/>
                    <w:bottom w:val="none" w:sz="0" w:space="0" w:color="auto"/>
                    <w:right w:val="none" w:sz="0" w:space="0" w:color="auto"/>
                  </w:divBdr>
                  <w:divsChild>
                    <w:div w:id="270362888">
                      <w:marLeft w:val="0"/>
                      <w:marRight w:val="0"/>
                      <w:marTop w:val="0"/>
                      <w:marBottom w:val="0"/>
                      <w:divBdr>
                        <w:top w:val="none" w:sz="0" w:space="0" w:color="auto"/>
                        <w:left w:val="none" w:sz="0" w:space="0" w:color="auto"/>
                        <w:bottom w:val="none" w:sz="0" w:space="0" w:color="auto"/>
                        <w:right w:val="none" w:sz="0" w:space="0" w:color="auto"/>
                      </w:divBdr>
                    </w:div>
                    <w:div w:id="1077555403">
                      <w:marLeft w:val="0"/>
                      <w:marRight w:val="0"/>
                      <w:marTop w:val="0"/>
                      <w:marBottom w:val="0"/>
                      <w:divBdr>
                        <w:top w:val="none" w:sz="0" w:space="0" w:color="auto"/>
                        <w:left w:val="none" w:sz="0" w:space="0" w:color="auto"/>
                        <w:bottom w:val="none" w:sz="0" w:space="0" w:color="auto"/>
                        <w:right w:val="none" w:sz="0" w:space="0" w:color="auto"/>
                      </w:divBdr>
                    </w:div>
                    <w:div w:id="21459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17798">
      <w:bodyDiv w:val="1"/>
      <w:marLeft w:val="0"/>
      <w:marRight w:val="0"/>
      <w:marTop w:val="0"/>
      <w:marBottom w:val="0"/>
      <w:divBdr>
        <w:top w:val="none" w:sz="0" w:space="0" w:color="auto"/>
        <w:left w:val="none" w:sz="0" w:space="0" w:color="auto"/>
        <w:bottom w:val="none" w:sz="0" w:space="0" w:color="auto"/>
        <w:right w:val="none" w:sz="0" w:space="0" w:color="auto"/>
      </w:divBdr>
    </w:div>
    <w:div w:id="1557399409">
      <w:bodyDiv w:val="1"/>
      <w:marLeft w:val="0"/>
      <w:marRight w:val="0"/>
      <w:marTop w:val="0"/>
      <w:marBottom w:val="0"/>
      <w:divBdr>
        <w:top w:val="none" w:sz="0" w:space="0" w:color="auto"/>
        <w:left w:val="none" w:sz="0" w:space="0" w:color="auto"/>
        <w:bottom w:val="none" w:sz="0" w:space="0" w:color="auto"/>
        <w:right w:val="none" w:sz="0" w:space="0" w:color="auto"/>
      </w:divBdr>
    </w:div>
    <w:div w:id="1573734941">
      <w:bodyDiv w:val="1"/>
      <w:marLeft w:val="0"/>
      <w:marRight w:val="0"/>
      <w:marTop w:val="0"/>
      <w:marBottom w:val="0"/>
      <w:divBdr>
        <w:top w:val="none" w:sz="0" w:space="0" w:color="auto"/>
        <w:left w:val="none" w:sz="0" w:space="0" w:color="auto"/>
        <w:bottom w:val="none" w:sz="0" w:space="0" w:color="auto"/>
        <w:right w:val="none" w:sz="0" w:space="0" w:color="auto"/>
      </w:divBdr>
    </w:div>
    <w:div w:id="1584220466">
      <w:bodyDiv w:val="1"/>
      <w:marLeft w:val="0"/>
      <w:marRight w:val="0"/>
      <w:marTop w:val="0"/>
      <w:marBottom w:val="0"/>
      <w:divBdr>
        <w:top w:val="none" w:sz="0" w:space="0" w:color="auto"/>
        <w:left w:val="none" w:sz="0" w:space="0" w:color="auto"/>
        <w:bottom w:val="none" w:sz="0" w:space="0" w:color="auto"/>
        <w:right w:val="none" w:sz="0" w:space="0" w:color="auto"/>
      </w:divBdr>
    </w:div>
    <w:div w:id="1606302541">
      <w:bodyDiv w:val="1"/>
      <w:marLeft w:val="0"/>
      <w:marRight w:val="0"/>
      <w:marTop w:val="0"/>
      <w:marBottom w:val="0"/>
      <w:divBdr>
        <w:top w:val="none" w:sz="0" w:space="0" w:color="auto"/>
        <w:left w:val="none" w:sz="0" w:space="0" w:color="auto"/>
        <w:bottom w:val="none" w:sz="0" w:space="0" w:color="auto"/>
        <w:right w:val="none" w:sz="0" w:space="0" w:color="auto"/>
      </w:divBdr>
      <w:divsChild>
        <w:div w:id="458770171">
          <w:marLeft w:val="0"/>
          <w:marRight w:val="0"/>
          <w:marTop w:val="0"/>
          <w:marBottom w:val="0"/>
          <w:divBdr>
            <w:top w:val="none" w:sz="0" w:space="0" w:color="auto"/>
            <w:left w:val="none" w:sz="0" w:space="0" w:color="auto"/>
            <w:bottom w:val="none" w:sz="0" w:space="0" w:color="auto"/>
            <w:right w:val="none" w:sz="0" w:space="0" w:color="auto"/>
          </w:divBdr>
        </w:div>
        <w:div w:id="558830909">
          <w:marLeft w:val="0"/>
          <w:marRight w:val="0"/>
          <w:marTop w:val="0"/>
          <w:marBottom w:val="0"/>
          <w:divBdr>
            <w:top w:val="none" w:sz="0" w:space="0" w:color="auto"/>
            <w:left w:val="none" w:sz="0" w:space="0" w:color="auto"/>
            <w:bottom w:val="none" w:sz="0" w:space="0" w:color="auto"/>
            <w:right w:val="none" w:sz="0" w:space="0" w:color="auto"/>
          </w:divBdr>
        </w:div>
        <w:div w:id="1156188415">
          <w:marLeft w:val="0"/>
          <w:marRight w:val="0"/>
          <w:marTop w:val="0"/>
          <w:marBottom w:val="0"/>
          <w:divBdr>
            <w:top w:val="none" w:sz="0" w:space="0" w:color="auto"/>
            <w:left w:val="none" w:sz="0" w:space="0" w:color="auto"/>
            <w:bottom w:val="none" w:sz="0" w:space="0" w:color="auto"/>
            <w:right w:val="none" w:sz="0" w:space="0" w:color="auto"/>
          </w:divBdr>
        </w:div>
        <w:div w:id="1524896889">
          <w:marLeft w:val="0"/>
          <w:marRight w:val="0"/>
          <w:marTop w:val="0"/>
          <w:marBottom w:val="0"/>
          <w:divBdr>
            <w:top w:val="none" w:sz="0" w:space="0" w:color="auto"/>
            <w:left w:val="none" w:sz="0" w:space="0" w:color="auto"/>
            <w:bottom w:val="none" w:sz="0" w:space="0" w:color="auto"/>
            <w:right w:val="none" w:sz="0" w:space="0" w:color="auto"/>
          </w:divBdr>
        </w:div>
        <w:div w:id="1766685360">
          <w:marLeft w:val="0"/>
          <w:marRight w:val="0"/>
          <w:marTop w:val="0"/>
          <w:marBottom w:val="0"/>
          <w:divBdr>
            <w:top w:val="none" w:sz="0" w:space="0" w:color="auto"/>
            <w:left w:val="none" w:sz="0" w:space="0" w:color="auto"/>
            <w:bottom w:val="none" w:sz="0" w:space="0" w:color="auto"/>
            <w:right w:val="none" w:sz="0" w:space="0" w:color="auto"/>
          </w:divBdr>
        </w:div>
      </w:divsChild>
    </w:div>
    <w:div w:id="1619288107">
      <w:bodyDiv w:val="1"/>
      <w:marLeft w:val="0"/>
      <w:marRight w:val="0"/>
      <w:marTop w:val="0"/>
      <w:marBottom w:val="0"/>
      <w:divBdr>
        <w:top w:val="none" w:sz="0" w:space="0" w:color="auto"/>
        <w:left w:val="none" w:sz="0" w:space="0" w:color="auto"/>
        <w:bottom w:val="none" w:sz="0" w:space="0" w:color="auto"/>
        <w:right w:val="none" w:sz="0" w:space="0" w:color="auto"/>
      </w:divBdr>
    </w:div>
    <w:div w:id="1638729308">
      <w:bodyDiv w:val="1"/>
      <w:marLeft w:val="0"/>
      <w:marRight w:val="0"/>
      <w:marTop w:val="0"/>
      <w:marBottom w:val="0"/>
      <w:divBdr>
        <w:top w:val="none" w:sz="0" w:space="0" w:color="auto"/>
        <w:left w:val="none" w:sz="0" w:space="0" w:color="auto"/>
        <w:bottom w:val="none" w:sz="0" w:space="0" w:color="auto"/>
        <w:right w:val="none" w:sz="0" w:space="0" w:color="auto"/>
      </w:divBdr>
    </w:div>
    <w:div w:id="1645042278">
      <w:bodyDiv w:val="1"/>
      <w:marLeft w:val="0"/>
      <w:marRight w:val="0"/>
      <w:marTop w:val="0"/>
      <w:marBottom w:val="0"/>
      <w:divBdr>
        <w:top w:val="none" w:sz="0" w:space="0" w:color="auto"/>
        <w:left w:val="none" w:sz="0" w:space="0" w:color="auto"/>
        <w:bottom w:val="none" w:sz="0" w:space="0" w:color="auto"/>
        <w:right w:val="none" w:sz="0" w:space="0" w:color="auto"/>
      </w:divBdr>
    </w:div>
    <w:div w:id="1659725326">
      <w:bodyDiv w:val="1"/>
      <w:marLeft w:val="0"/>
      <w:marRight w:val="0"/>
      <w:marTop w:val="0"/>
      <w:marBottom w:val="0"/>
      <w:divBdr>
        <w:top w:val="none" w:sz="0" w:space="0" w:color="auto"/>
        <w:left w:val="none" w:sz="0" w:space="0" w:color="auto"/>
        <w:bottom w:val="none" w:sz="0" w:space="0" w:color="auto"/>
        <w:right w:val="none" w:sz="0" w:space="0" w:color="auto"/>
      </w:divBdr>
      <w:divsChild>
        <w:div w:id="473303005">
          <w:marLeft w:val="0"/>
          <w:marRight w:val="0"/>
          <w:marTop w:val="0"/>
          <w:marBottom w:val="0"/>
          <w:divBdr>
            <w:top w:val="none" w:sz="0" w:space="0" w:color="auto"/>
            <w:left w:val="none" w:sz="0" w:space="0" w:color="auto"/>
            <w:bottom w:val="none" w:sz="0" w:space="0" w:color="auto"/>
            <w:right w:val="none" w:sz="0" w:space="0" w:color="auto"/>
          </w:divBdr>
        </w:div>
        <w:div w:id="728110424">
          <w:marLeft w:val="0"/>
          <w:marRight w:val="0"/>
          <w:marTop w:val="0"/>
          <w:marBottom w:val="0"/>
          <w:divBdr>
            <w:top w:val="none" w:sz="0" w:space="0" w:color="auto"/>
            <w:left w:val="none" w:sz="0" w:space="0" w:color="auto"/>
            <w:bottom w:val="none" w:sz="0" w:space="0" w:color="auto"/>
            <w:right w:val="none" w:sz="0" w:space="0" w:color="auto"/>
          </w:divBdr>
          <w:divsChild>
            <w:div w:id="2132622992">
              <w:marLeft w:val="-75"/>
              <w:marRight w:val="0"/>
              <w:marTop w:val="30"/>
              <w:marBottom w:val="30"/>
              <w:divBdr>
                <w:top w:val="none" w:sz="0" w:space="0" w:color="auto"/>
                <w:left w:val="none" w:sz="0" w:space="0" w:color="auto"/>
                <w:bottom w:val="none" w:sz="0" w:space="0" w:color="auto"/>
                <w:right w:val="none" w:sz="0" w:space="0" w:color="auto"/>
              </w:divBdr>
              <w:divsChild>
                <w:div w:id="135487416">
                  <w:marLeft w:val="0"/>
                  <w:marRight w:val="0"/>
                  <w:marTop w:val="0"/>
                  <w:marBottom w:val="0"/>
                  <w:divBdr>
                    <w:top w:val="none" w:sz="0" w:space="0" w:color="auto"/>
                    <w:left w:val="none" w:sz="0" w:space="0" w:color="auto"/>
                    <w:bottom w:val="none" w:sz="0" w:space="0" w:color="auto"/>
                    <w:right w:val="none" w:sz="0" w:space="0" w:color="auto"/>
                  </w:divBdr>
                  <w:divsChild>
                    <w:div w:id="285819119">
                      <w:marLeft w:val="0"/>
                      <w:marRight w:val="0"/>
                      <w:marTop w:val="0"/>
                      <w:marBottom w:val="0"/>
                      <w:divBdr>
                        <w:top w:val="none" w:sz="0" w:space="0" w:color="auto"/>
                        <w:left w:val="none" w:sz="0" w:space="0" w:color="auto"/>
                        <w:bottom w:val="none" w:sz="0" w:space="0" w:color="auto"/>
                        <w:right w:val="none" w:sz="0" w:space="0" w:color="auto"/>
                      </w:divBdr>
                    </w:div>
                    <w:div w:id="344984952">
                      <w:marLeft w:val="0"/>
                      <w:marRight w:val="0"/>
                      <w:marTop w:val="0"/>
                      <w:marBottom w:val="0"/>
                      <w:divBdr>
                        <w:top w:val="none" w:sz="0" w:space="0" w:color="auto"/>
                        <w:left w:val="none" w:sz="0" w:space="0" w:color="auto"/>
                        <w:bottom w:val="none" w:sz="0" w:space="0" w:color="auto"/>
                        <w:right w:val="none" w:sz="0" w:space="0" w:color="auto"/>
                      </w:divBdr>
                    </w:div>
                    <w:div w:id="354119843">
                      <w:marLeft w:val="0"/>
                      <w:marRight w:val="0"/>
                      <w:marTop w:val="0"/>
                      <w:marBottom w:val="0"/>
                      <w:divBdr>
                        <w:top w:val="none" w:sz="0" w:space="0" w:color="auto"/>
                        <w:left w:val="none" w:sz="0" w:space="0" w:color="auto"/>
                        <w:bottom w:val="none" w:sz="0" w:space="0" w:color="auto"/>
                        <w:right w:val="none" w:sz="0" w:space="0" w:color="auto"/>
                      </w:divBdr>
                    </w:div>
                    <w:div w:id="575553772">
                      <w:marLeft w:val="0"/>
                      <w:marRight w:val="0"/>
                      <w:marTop w:val="0"/>
                      <w:marBottom w:val="0"/>
                      <w:divBdr>
                        <w:top w:val="none" w:sz="0" w:space="0" w:color="auto"/>
                        <w:left w:val="none" w:sz="0" w:space="0" w:color="auto"/>
                        <w:bottom w:val="none" w:sz="0" w:space="0" w:color="auto"/>
                        <w:right w:val="none" w:sz="0" w:space="0" w:color="auto"/>
                      </w:divBdr>
                    </w:div>
                    <w:div w:id="738483895">
                      <w:marLeft w:val="0"/>
                      <w:marRight w:val="0"/>
                      <w:marTop w:val="0"/>
                      <w:marBottom w:val="0"/>
                      <w:divBdr>
                        <w:top w:val="none" w:sz="0" w:space="0" w:color="auto"/>
                        <w:left w:val="none" w:sz="0" w:space="0" w:color="auto"/>
                        <w:bottom w:val="none" w:sz="0" w:space="0" w:color="auto"/>
                        <w:right w:val="none" w:sz="0" w:space="0" w:color="auto"/>
                      </w:divBdr>
                    </w:div>
                    <w:div w:id="912617534">
                      <w:marLeft w:val="0"/>
                      <w:marRight w:val="0"/>
                      <w:marTop w:val="0"/>
                      <w:marBottom w:val="0"/>
                      <w:divBdr>
                        <w:top w:val="none" w:sz="0" w:space="0" w:color="auto"/>
                        <w:left w:val="none" w:sz="0" w:space="0" w:color="auto"/>
                        <w:bottom w:val="none" w:sz="0" w:space="0" w:color="auto"/>
                        <w:right w:val="none" w:sz="0" w:space="0" w:color="auto"/>
                      </w:divBdr>
                    </w:div>
                    <w:div w:id="1047678108">
                      <w:marLeft w:val="0"/>
                      <w:marRight w:val="0"/>
                      <w:marTop w:val="0"/>
                      <w:marBottom w:val="0"/>
                      <w:divBdr>
                        <w:top w:val="none" w:sz="0" w:space="0" w:color="auto"/>
                        <w:left w:val="none" w:sz="0" w:space="0" w:color="auto"/>
                        <w:bottom w:val="none" w:sz="0" w:space="0" w:color="auto"/>
                        <w:right w:val="none" w:sz="0" w:space="0" w:color="auto"/>
                      </w:divBdr>
                    </w:div>
                    <w:div w:id="1173378872">
                      <w:marLeft w:val="0"/>
                      <w:marRight w:val="0"/>
                      <w:marTop w:val="0"/>
                      <w:marBottom w:val="0"/>
                      <w:divBdr>
                        <w:top w:val="none" w:sz="0" w:space="0" w:color="auto"/>
                        <w:left w:val="none" w:sz="0" w:space="0" w:color="auto"/>
                        <w:bottom w:val="none" w:sz="0" w:space="0" w:color="auto"/>
                        <w:right w:val="none" w:sz="0" w:space="0" w:color="auto"/>
                      </w:divBdr>
                    </w:div>
                    <w:div w:id="1400130088">
                      <w:marLeft w:val="0"/>
                      <w:marRight w:val="0"/>
                      <w:marTop w:val="0"/>
                      <w:marBottom w:val="0"/>
                      <w:divBdr>
                        <w:top w:val="none" w:sz="0" w:space="0" w:color="auto"/>
                        <w:left w:val="none" w:sz="0" w:space="0" w:color="auto"/>
                        <w:bottom w:val="none" w:sz="0" w:space="0" w:color="auto"/>
                        <w:right w:val="none" w:sz="0" w:space="0" w:color="auto"/>
                      </w:divBdr>
                    </w:div>
                    <w:div w:id="1471707672">
                      <w:marLeft w:val="0"/>
                      <w:marRight w:val="0"/>
                      <w:marTop w:val="0"/>
                      <w:marBottom w:val="0"/>
                      <w:divBdr>
                        <w:top w:val="none" w:sz="0" w:space="0" w:color="auto"/>
                        <w:left w:val="none" w:sz="0" w:space="0" w:color="auto"/>
                        <w:bottom w:val="none" w:sz="0" w:space="0" w:color="auto"/>
                        <w:right w:val="none" w:sz="0" w:space="0" w:color="auto"/>
                      </w:divBdr>
                    </w:div>
                  </w:divsChild>
                </w:div>
                <w:div w:id="261381858">
                  <w:marLeft w:val="0"/>
                  <w:marRight w:val="0"/>
                  <w:marTop w:val="0"/>
                  <w:marBottom w:val="0"/>
                  <w:divBdr>
                    <w:top w:val="none" w:sz="0" w:space="0" w:color="auto"/>
                    <w:left w:val="none" w:sz="0" w:space="0" w:color="auto"/>
                    <w:bottom w:val="none" w:sz="0" w:space="0" w:color="auto"/>
                    <w:right w:val="none" w:sz="0" w:space="0" w:color="auto"/>
                  </w:divBdr>
                  <w:divsChild>
                    <w:div w:id="623655613">
                      <w:marLeft w:val="0"/>
                      <w:marRight w:val="0"/>
                      <w:marTop w:val="0"/>
                      <w:marBottom w:val="0"/>
                      <w:divBdr>
                        <w:top w:val="none" w:sz="0" w:space="0" w:color="auto"/>
                        <w:left w:val="none" w:sz="0" w:space="0" w:color="auto"/>
                        <w:bottom w:val="none" w:sz="0" w:space="0" w:color="auto"/>
                        <w:right w:val="none" w:sz="0" w:space="0" w:color="auto"/>
                      </w:divBdr>
                    </w:div>
                  </w:divsChild>
                </w:div>
                <w:div w:id="343213570">
                  <w:marLeft w:val="0"/>
                  <w:marRight w:val="0"/>
                  <w:marTop w:val="0"/>
                  <w:marBottom w:val="0"/>
                  <w:divBdr>
                    <w:top w:val="none" w:sz="0" w:space="0" w:color="auto"/>
                    <w:left w:val="none" w:sz="0" w:space="0" w:color="auto"/>
                    <w:bottom w:val="none" w:sz="0" w:space="0" w:color="auto"/>
                    <w:right w:val="none" w:sz="0" w:space="0" w:color="auto"/>
                  </w:divBdr>
                  <w:divsChild>
                    <w:div w:id="881094401">
                      <w:marLeft w:val="0"/>
                      <w:marRight w:val="0"/>
                      <w:marTop w:val="0"/>
                      <w:marBottom w:val="0"/>
                      <w:divBdr>
                        <w:top w:val="none" w:sz="0" w:space="0" w:color="auto"/>
                        <w:left w:val="none" w:sz="0" w:space="0" w:color="auto"/>
                        <w:bottom w:val="none" w:sz="0" w:space="0" w:color="auto"/>
                        <w:right w:val="none" w:sz="0" w:space="0" w:color="auto"/>
                      </w:divBdr>
                    </w:div>
                  </w:divsChild>
                </w:div>
                <w:div w:id="725642336">
                  <w:marLeft w:val="0"/>
                  <w:marRight w:val="0"/>
                  <w:marTop w:val="0"/>
                  <w:marBottom w:val="0"/>
                  <w:divBdr>
                    <w:top w:val="none" w:sz="0" w:space="0" w:color="auto"/>
                    <w:left w:val="none" w:sz="0" w:space="0" w:color="auto"/>
                    <w:bottom w:val="none" w:sz="0" w:space="0" w:color="auto"/>
                    <w:right w:val="none" w:sz="0" w:space="0" w:color="auto"/>
                  </w:divBdr>
                  <w:divsChild>
                    <w:div w:id="969440416">
                      <w:marLeft w:val="0"/>
                      <w:marRight w:val="0"/>
                      <w:marTop w:val="0"/>
                      <w:marBottom w:val="0"/>
                      <w:divBdr>
                        <w:top w:val="none" w:sz="0" w:space="0" w:color="auto"/>
                        <w:left w:val="none" w:sz="0" w:space="0" w:color="auto"/>
                        <w:bottom w:val="none" w:sz="0" w:space="0" w:color="auto"/>
                        <w:right w:val="none" w:sz="0" w:space="0" w:color="auto"/>
                      </w:divBdr>
                    </w:div>
                  </w:divsChild>
                </w:div>
                <w:div w:id="1117720778">
                  <w:marLeft w:val="0"/>
                  <w:marRight w:val="0"/>
                  <w:marTop w:val="0"/>
                  <w:marBottom w:val="0"/>
                  <w:divBdr>
                    <w:top w:val="none" w:sz="0" w:space="0" w:color="auto"/>
                    <w:left w:val="none" w:sz="0" w:space="0" w:color="auto"/>
                    <w:bottom w:val="none" w:sz="0" w:space="0" w:color="auto"/>
                    <w:right w:val="none" w:sz="0" w:space="0" w:color="auto"/>
                  </w:divBdr>
                  <w:divsChild>
                    <w:div w:id="614672909">
                      <w:marLeft w:val="0"/>
                      <w:marRight w:val="0"/>
                      <w:marTop w:val="0"/>
                      <w:marBottom w:val="0"/>
                      <w:divBdr>
                        <w:top w:val="none" w:sz="0" w:space="0" w:color="auto"/>
                        <w:left w:val="none" w:sz="0" w:space="0" w:color="auto"/>
                        <w:bottom w:val="none" w:sz="0" w:space="0" w:color="auto"/>
                        <w:right w:val="none" w:sz="0" w:space="0" w:color="auto"/>
                      </w:divBdr>
                    </w:div>
                  </w:divsChild>
                </w:div>
                <w:div w:id="1284733034">
                  <w:marLeft w:val="0"/>
                  <w:marRight w:val="0"/>
                  <w:marTop w:val="0"/>
                  <w:marBottom w:val="0"/>
                  <w:divBdr>
                    <w:top w:val="none" w:sz="0" w:space="0" w:color="auto"/>
                    <w:left w:val="none" w:sz="0" w:space="0" w:color="auto"/>
                    <w:bottom w:val="none" w:sz="0" w:space="0" w:color="auto"/>
                    <w:right w:val="none" w:sz="0" w:space="0" w:color="auto"/>
                  </w:divBdr>
                  <w:divsChild>
                    <w:div w:id="40136447">
                      <w:marLeft w:val="0"/>
                      <w:marRight w:val="0"/>
                      <w:marTop w:val="0"/>
                      <w:marBottom w:val="0"/>
                      <w:divBdr>
                        <w:top w:val="none" w:sz="0" w:space="0" w:color="auto"/>
                        <w:left w:val="none" w:sz="0" w:space="0" w:color="auto"/>
                        <w:bottom w:val="none" w:sz="0" w:space="0" w:color="auto"/>
                        <w:right w:val="none" w:sz="0" w:space="0" w:color="auto"/>
                      </w:divBdr>
                    </w:div>
                    <w:div w:id="410547597">
                      <w:marLeft w:val="0"/>
                      <w:marRight w:val="0"/>
                      <w:marTop w:val="0"/>
                      <w:marBottom w:val="0"/>
                      <w:divBdr>
                        <w:top w:val="none" w:sz="0" w:space="0" w:color="auto"/>
                        <w:left w:val="none" w:sz="0" w:space="0" w:color="auto"/>
                        <w:bottom w:val="none" w:sz="0" w:space="0" w:color="auto"/>
                        <w:right w:val="none" w:sz="0" w:space="0" w:color="auto"/>
                      </w:divBdr>
                    </w:div>
                    <w:div w:id="1247114115">
                      <w:marLeft w:val="0"/>
                      <w:marRight w:val="0"/>
                      <w:marTop w:val="0"/>
                      <w:marBottom w:val="0"/>
                      <w:divBdr>
                        <w:top w:val="none" w:sz="0" w:space="0" w:color="auto"/>
                        <w:left w:val="none" w:sz="0" w:space="0" w:color="auto"/>
                        <w:bottom w:val="none" w:sz="0" w:space="0" w:color="auto"/>
                        <w:right w:val="none" w:sz="0" w:space="0" w:color="auto"/>
                      </w:divBdr>
                    </w:div>
                    <w:div w:id="1347098483">
                      <w:marLeft w:val="0"/>
                      <w:marRight w:val="0"/>
                      <w:marTop w:val="0"/>
                      <w:marBottom w:val="0"/>
                      <w:divBdr>
                        <w:top w:val="none" w:sz="0" w:space="0" w:color="auto"/>
                        <w:left w:val="none" w:sz="0" w:space="0" w:color="auto"/>
                        <w:bottom w:val="none" w:sz="0" w:space="0" w:color="auto"/>
                        <w:right w:val="none" w:sz="0" w:space="0" w:color="auto"/>
                      </w:divBdr>
                    </w:div>
                  </w:divsChild>
                </w:div>
                <w:div w:id="1510020378">
                  <w:marLeft w:val="0"/>
                  <w:marRight w:val="0"/>
                  <w:marTop w:val="0"/>
                  <w:marBottom w:val="0"/>
                  <w:divBdr>
                    <w:top w:val="none" w:sz="0" w:space="0" w:color="auto"/>
                    <w:left w:val="none" w:sz="0" w:space="0" w:color="auto"/>
                    <w:bottom w:val="none" w:sz="0" w:space="0" w:color="auto"/>
                    <w:right w:val="none" w:sz="0" w:space="0" w:color="auto"/>
                  </w:divBdr>
                  <w:divsChild>
                    <w:div w:id="323823451">
                      <w:marLeft w:val="0"/>
                      <w:marRight w:val="0"/>
                      <w:marTop w:val="0"/>
                      <w:marBottom w:val="0"/>
                      <w:divBdr>
                        <w:top w:val="none" w:sz="0" w:space="0" w:color="auto"/>
                        <w:left w:val="none" w:sz="0" w:space="0" w:color="auto"/>
                        <w:bottom w:val="none" w:sz="0" w:space="0" w:color="auto"/>
                        <w:right w:val="none" w:sz="0" w:space="0" w:color="auto"/>
                      </w:divBdr>
                    </w:div>
                  </w:divsChild>
                </w:div>
                <w:div w:id="1530992235">
                  <w:marLeft w:val="0"/>
                  <w:marRight w:val="0"/>
                  <w:marTop w:val="0"/>
                  <w:marBottom w:val="0"/>
                  <w:divBdr>
                    <w:top w:val="none" w:sz="0" w:space="0" w:color="auto"/>
                    <w:left w:val="none" w:sz="0" w:space="0" w:color="auto"/>
                    <w:bottom w:val="none" w:sz="0" w:space="0" w:color="auto"/>
                    <w:right w:val="none" w:sz="0" w:space="0" w:color="auto"/>
                  </w:divBdr>
                  <w:divsChild>
                    <w:div w:id="209071242">
                      <w:marLeft w:val="0"/>
                      <w:marRight w:val="0"/>
                      <w:marTop w:val="0"/>
                      <w:marBottom w:val="0"/>
                      <w:divBdr>
                        <w:top w:val="none" w:sz="0" w:space="0" w:color="auto"/>
                        <w:left w:val="none" w:sz="0" w:space="0" w:color="auto"/>
                        <w:bottom w:val="none" w:sz="0" w:space="0" w:color="auto"/>
                        <w:right w:val="none" w:sz="0" w:space="0" w:color="auto"/>
                      </w:divBdr>
                    </w:div>
                    <w:div w:id="799570071">
                      <w:marLeft w:val="0"/>
                      <w:marRight w:val="0"/>
                      <w:marTop w:val="0"/>
                      <w:marBottom w:val="0"/>
                      <w:divBdr>
                        <w:top w:val="none" w:sz="0" w:space="0" w:color="auto"/>
                        <w:left w:val="none" w:sz="0" w:space="0" w:color="auto"/>
                        <w:bottom w:val="none" w:sz="0" w:space="0" w:color="auto"/>
                        <w:right w:val="none" w:sz="0" w:space="0" w:color="auto"/>
                      </w:divBdr>
                    </w:div>
                    <w:div w:id="1806963956">
                      <w:marLeft w:val="0"/>
                      <w:marRight w:val="0"/>
                      <w:marTop w:val="0"/>
                      <w:marBottom w:val="0"/>
                      <w:divBdr>
                        <w:top w:val="none" w:sz="0" w:space="0" w:color="auto"/>
                        <w:left w:val="none" w:sz="0" w:space="0" w:color="auto"/>
                        <w:bottom w:val="none" w:sz="0" w:space="0" w:color="auto"/>
                        <w:right w:val="none" w:sz="0" w:space="0" w:color="auto"/>
                      </w:divBdr>
                    </w:div>
                  </w:divsChild>
                </w:div>
                <w:div w:id="2029982059">
                  <w:marLeft w:val="0"/>
                  <w:marRight w:val="0"/>
                  <w:marTop w:val="0"/>
                  <w:marBottom w:val="0"/>
                  <w:divBdr>
                    <w:top w:val="none" w:sz="0" w:space="0" w:color="auto"/>
                    <w:left w:val="none" w:sz="0" w:space="0" w:color="auto"/>
                    <w:bottom w:val="none" w:sz="0" w:space="0" w:color="auto"/>
                    <w:right w:val="none" w:sz="0" w:space="0" w:color="auto"/>
                  </w:divBdr>
                  <w:divsChild>
                    <w:div w:id="630280905">
                      <w:marLeft w:val="0"/>
                      <w:marRight w:val="0"/>
                      <w:marTop w:val="0"/>
                      <w:marBottom w:val="0"/>
                      <w:divBdr>
                        <w:top w:val="none" w:sz="0" w:space="0" w:color="auto"/>
                        <w:left w:val="none" w:sz="0" w:space="0" w:color="auto"/>
                        <w:bottom w:val="none" w:sz="0" w:space="0" w:color="auto"/>
                        <w:right w:val="none" w:sz="0" w:space="0" w:color="auto"/>
                      </w:divBdr>
                    </w:div>
                    <w:div w:id="681473048">
                      <w:marLeft w:val="0"/>
                      <w:marRight w:val="0"/>
                      <w:marTop w:val="0"/>
                      <w:marBottom w:val="0"/>
                      <w:divBdr>
                        <w:top w:val="none" w:sz="0" w:space="0" w:color="auto"/>
                        <w:left w:val="none" w:sz="0" w:space="0" w:color="auto"/>
                        <w:bottom w:val="none" w:sz="0" w:space="0" w:color="auto"/>
                        <w:right w:val="none" w:sz="0" w:space="0" w:color="auto"/>
                      </w:divBdr>
                    </w:div>
                    <w:div w:id="705641637">
                      <w:marLeft w:val="0"/>
                      <w:marRight w:val="0"/>
                      <w:marTop w:val="0"/>
                      <w:marBottom w:val="0"/>
                      <w:divBdr>
                        <w:top w:val="none" w:sz="0" w:space="0" w:color="auto"/>
                        <w:left w:val="none" w:sz="0" w:space="0" w:color="auto"/>
                        <w:bottom w:val="none" w:sz="0" w:space="0" w:color="auto"/>
                        <w:right w:val="none" w:sz="0" w:space="0" w:color="auto"/>
                      </w:divBdr>
                    </w:div>
                    <w:div w:id="21262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20834">
          <w:marLeft w:val="0"/>
          <w:marRight w:val="0"/>
          <w:marTop w:val="0"/>
          <w:marBottom w:val="0"/>
          <w:divBdr>
            <w:top w:val="none" w:sz="0" w:space="0" w:color="auto"/>
            <w:left w:val="none" w:sz="0" w:space="0" w:color="auto"/>
            <w:bottom w:val="none" w:sz="0" w:space="0" w:color="auto"/>
            <w:right w:val="none" w:sz="0" w:space="0" w:color="auto"/>
          </w:divBdr>
        </w:div>
        <w:div w:id="1267732140">
          <w:marLeft w:val="0"/>
          <w:marRight w:val="0"/>
          <w:marTop w:val="0"/>
          <w:marBottom w:val="0"/>
          <w:divBdr>
            <w:top w:val="none" w:sz="0" w:space="0" w:color="auto"/>
            <w:left w:val="none" w:sz="0" w:space="0" w:color="auto"/>
            <w:bottom w:val="none" w:sz="0" w:space="0" w:color="auto"/>
            <w:right w:val="none" w:sz="0" w:space="0" w:color="auto"/>
          </w:divBdr>
        </w:div>
        <w:div w:id="1362635039">
          <w:marLeft w:val="0"/>
          <w:marRight w:val="0"/>
          <w:marTop w:val="0"/>
          <w:marBottom w:val="0"/>
          <w:divBdr>
            <w:top w:val="none" w:sz="0" w:space="0" w:color="auto"/>
            <w:left w:val="none" w:sz="0" w:space="0" w:color="auto"/>
            <w:bottom w:val="none" w:sz="0" w:space="0" w:color="auto"/>
            <w:right w:val="none" w:sz="0" w:space="0" w:color="auto"/>
          </w:divBdr>
        </w:div>
        <w:div w:id="1526748040">
          <w:marLeft w:val="0"/>
          <w:marRight w:val="0"/>
          <w:marTop w:val="0"/>
          <w:marBottom w:val="0"/>
          <w:divBdr>
            <w:top w:val="none" w:sz="0" w:space="0" w:color="auto"/>
            <w:left w:val="none" w:sz="0" w:space="0" w:color="auto"/>
            <w:bottom w:val="none" w:sz="0" w:space="0" w:color="auto"/>
            <w:right w:val="none" w:sz="0" w:space="0" w:color="auto"/>
          </w:divBdr>
        </w:div>
        <w:div w:id="1572158961">
          <w:marLeft w:val="0"/>
          <w:marRight w:val="0"/>
          <w:marTop w:val="0"/>
          <w:marBottom w:val="0"/>
          <w:divBdr>
            <w:top w:val="none" w:sz="0" w:space="0" w:color="auto"/>
            <w:left w:val="none" w:sz="0" w:space="0" w:color="auto"/>
            <w:bottom w:val="none" w:sz="0" w:space="0" w:color="auto"/>
            <w:right w:val="none" w:sz="0" w:space="0" w:color="auto"/>
          </w:divBdr>
          <w:divsChild>
            <w:div w:id="1205025585">
              <w:marLeft w:val="-75"/>
              <w:marRight w:val="0"/>
              <w:marTop w:val="30"/>
              <w:marBottom w:val="30"/>
              <w:divBdr>
                <w:top w:val="none" w:sz="0" w:space="0" w:color="auto"/>
                <w:left w:val="none" w:sz="0" w:space="0" w:color="auto"/>
                <w:bottom w:val="none" w:sz="0" w:space="0" w:color="auto"/>
                <w:right w:val="none" w:sz="0" w:space="0" w:color="auto"/>
              </w:divBdr>
              <w:divsChild>
                <w:div w:id="111827444">
                  <w:marLeft w:val="0"/>
                  <w:marRight w:val="0"/>
                  <w:marTop w:val="0"/>
                  <w:marBottom w:val="0"/>
                  <w:divBdr>
                    <w:top w:val="none" w:sz="0" w:space="0" w:color="auto"/>
                    <w:left w:val="none" w:sz="0" w:space="0" w:color="auto"/>
                    <w:bottom w:val="none" w:sz="0" w:space="0" w:color="auto"/>
                    <w:right w:val="none" w:sz="0" w:space="0" w:color="auto"/>
                  </w:divBdr>
                  <w:divsChild>
                    <w:div w:id="48572278">
                      <w:marLeft w:val="0"/>
                      <w:marRight w:val="0"/>
                      <w:marTop w:val="0"/>
                      <w:marBottom w:val="0"/>
                      <w:divBdr>
                        <w:top w:val="none" w:sz="0" w:space="0" w:color="auto"/>
                        <w:left w:val="none" w:sz="0" w:space="0" w:color="auto"/>
                        <w:bottom w:val="none" w:sz="0" w:space="0" w:color="auto"/>
                        <w:right w:val="none" w:sz="0" w:space="0" w:color="auto"/>
                      </w:divBdr>
                    </w:div>
                    <w:div w:id="1847398715">
                      <w:marLeft w:val="0"/>
                      <w:marRight w:val="0"/>
                      <w:marTop w:val="0"/>
                      <w:marBottom w:val="0"/>
                      <w:divBdr>
                        <w:top w:val="none" w:sz="0" w:space="0" w:color="auto"/>
                        <w:left w:val="none" w:sz="0" w:space="0" w:color="auto"/>
                        <w:bottom w:val="none" w:sz="0" w:space="0" w:color="auto"/>
                        <w:right w:val="none" w:sz="0" w:space="0" w:color="auto"/>
                      </w:divBdr>
                    </w:div>
                    <w:div w:id="1981684758">
                      <w:marLeft w:val="0"/>
                      <w:marRight w:val="0"/>
                      <w:marTop w:val="0"/>
                      <w:marBottom w:val="0"/>
                      <w:divBdr>
                        <w:top w:val="none" w:sz="0" w:space="0" w:color="auto"/>
                        <w:left w:val="none" w:sz="0" w:space="0" w:color="auto"/>
                        <w:bottom w:val="none" w:sz="0" w:space="0" w:color="auto"/>
                        <w:right w:val="none" w:sz="0" w:space="0" w:color="auto"/>
                      </w:divBdr>
                    </w:div>
                  </w:divsChild>
                </w:div>
                <w:div w:id="494493261">
                  <w:marLeft w:val="0"/>
                  <w:marRight w:val="0"/>
                  <w:marTop w:val="0"/>
                  <w:marBottom w:val="0"/>
                  <w:divBdr>
                    <w:top w:val="none" w:sz="0" w:space="0" w:color="auto"/>
                    <w:left w:val="none" w:sz="0" w:space="0" w:color="auto"/>
                    <w:bottom w:val="none" w:sz="0" w:space="0" w:color="auto"/>
                    <w:right w:val="none" w:sz="0" w:space="0" w:color="auto"/>
                  </w:divBdr>
                  <w:divsChild>
                    <w:div w:id="26487546">
                      <w:marLeft w:val="0"/>
                      <w:marRight w:val="0"/>
                      <w:marTop w:val="0"/>
                      <w:marBottom w:val="0"/>
                      <w:divBdr>
                        <w:top w:val="none" w:sz="0" w:space="0" w:color="auto"/>
                        <w:left w:val="none" w:sz="0" w:space="0" w:color="auto"/>
                        <w:bottom w:val="none" w:sz="0" w:space="0" w:color="auto"/>
                        <w:right w:val="none" w:sz="0" w:space="0" w:color="auto"/>
                      </w:divBdr>
                    </w:div>
                    <w:div w:id="80106029">
                      <w:marLeft w:val="0"/>
                      <w:marRight w:val="0"/>
                      <w:marTop w:val="0"/>
                      <w:marBottom w:val="0"/>
                      <w:divBdr>
                        <w:top w:val="none" w:sz="0" w:space="0" w:color="auto"/>
                        <w:left w:val="none" w:sz="0" w:space="0" w:color="auto"/>
                        <w:bottom w:val="none" w:sz="0" w:space="0" w:color="auto"/>
                        <w:right w:val="none" w:sz="0" w:space="0" w:color="auto"/>
                      </w:divBdr>
                    </w:div>
                    <w:div w:id="183567071">
                      <w:marLeft w:val="0"/>
                      <w:marRight w:val="0"/>
                      <w:marTop w:val="0"/>
                      <w:marBottom w:val="0"/>
                      <w:divBdr>
                        <w:top w:val="none" w:sz="0" w:space="0" w:color="auto"/>
                        <w:left w:val="none" w:sz="0" w:space="0" w:color="auto"/>
                        <w:bottom w:val="none" w:sz="0" w:space="0" w:color="auto"/>
                        <w:right w:val="none" w:sz="0" w:space="0" w:color="auto"/>
                      </w:divBdr>
                    </w:div>
                    <w:div w:id="460809730">
                      <w:marLeft w:val="0"/>
                      <w:marRight w:val="0"/>
                      <w:marTop w:val="0"/>
                      <w:marBottom w:val="0"/>
                      <w:divBdr>
                        <w:top w:val="none" w:sz="0" w:space="0" w:color="auto"/>
                        <w:left w:val="none" w:sz="0" w:space="0" w:color="auto"/>
                        <w:bottom w:val="none" w:sz="0" w:space="0" w:color="auto"/>
                        <w:right w:val="none" w:sz="0" w:space="0" w:color="auto"/>
                      </w:divBdr>
                    </w:div>
                    <w:div w:id="979924575">
                      <w:marLeft w:val="0"/>
                      <w:marRight w:val="0"/>
                      <w:marTop w:val="0"/>
                      <w:marBottom w:val="0"/>
                      <w:divBdr>
                        <w:top w:val="none" w:sz="0" w:space="0" w:color="auto"/>
                        <w:left w:val="none" w:sz="0" w:space="0" w:color="auto"/>
                        <w:bottom w:val="none" w:sz="0" w:space="0" w:color="auto"/>
                        <w:right w:val="none" w:sz="0" w:space="0" w:color="auto"/>
                      </w:divBdr>
                    </w:div>
                    <w:div w:id="1447191856">
                      <w:marLeft w:val="0"/>
                      <w:marRight w:val="0"/>
                      <w:marTop w:val="0"/>
                      <w:marBottom w:val="0"/>
                      <w:divBdr>
                        <w:top w:val="none" w:sz="0" w:space="0" w:color="auto"/>
                        <w:left w:val="none" w:sz="0" w:space="0" w:color="auto"/>
                        <w:bottom w:val="none" w:sz="0" w:space="0" w:color="auto"/>
                        <w:right w:val="none" w:sz="0" w:space="0" w:color="auto"/>
                      </w:divBdr>
                    </w:div>
                    <w:div w:id="1970747546">
                      <w:marLeft w:val="0"/>
                      <w:marRight w:val="0"/>
                      <w:marTop w:val="0"/>
                      <w:marBottom w:val="0"/>
                      <w:divBdr>
                        <w:top w:val="none" w:sz="0" w:space="0" w:color="auto"/>
                        <w:left w:val="none" w:sz="0" w:space="0" w:color="auto"/>
                        <w:bottom w:val="none" w:sz="0" w:space="0" w:color="auto"/>
                        <w:right w:val="none" w:sz="0" w:space="0" w:color="auto"/>
                      </w:divBdr>
                    </w:div>
                  </w:divsChild>
                </w:div>
                <w:div w:id="730351164">
                  <w:marLeft w:val="0"/>
                  <w:marRight w:val="0"/>
                  <w:marTop w:val="0"/>
                  <w:marBottom w:val="0"/>
                  <w:divBdr>
                    <w:top w:val="none" w:sz="0" w:space="0" w:color="auto"/>
                    <w:left w:val="none" w:sz="0" w:space="0" w:color="auto"/>
                    <w:bottom w:val="none" w:sz="0" w:space="0" w:color="auto"/>
                    <w:right w:val="none" w:sz="0" w:space="0" w:color="auto"/>
                  </w:divBdr>
                  <w:divsChild>
                    <w:div w:id="598761310">
                      <w:marLeft w:val="0"/>
                      <w:marRight w:val="0"/>
                      <w:marTop w:val="0"/>
                      <w:marBottom w:val="0"/>
                      <w:divBdr>
                        <w:top w:val="none" w:sz="0" w:space="0" w:color="auto"/>
                        <w:left w:val="none" w:sz="0" w:space="0" w:color="auto"/>
                        <w:bottom w:val="none" w:sz="0" w:space="0" w:color="auto"/>
                        <w:right w:val="none" w:sz="0" w:space="0" w:color="auto"/>
                      </w:divBdr>
                    </w:div>
                  </w:divsChild>
                </w:div>
                <w:div w:id="1028214893">
                  <w:marLeft w:val="0"/>
                  <w:marRight w:val="0"/>
                  <w:marTop w:val="0"/>
                  <w:marBottom w:val="0"/>
                  <w:divBdr>
                    <w:top w:val="none" w:sz="0" w:space="0" w:color="auto"/>
                    <w:left w:val="none" w:sz="0" w:space="0" w:color="auto"/>
                    <w:bottom w:val="none" w:sz="0" w:space="0" w:color="auto"/>
                    <w:right w:val="none" w:sz="0" w:space="0" w:color="auto"/>
                  </w:divBdr>
                  <w:divsChild>
                    <w:div w:id="305935642">
                      <w:marLeft w:val="0"/>
                      <w:marRight w:val="0"/>
                      <w:marTop w:val="0"/>
                      <w:marBottom w:val="0"/>
                      <w:divBdr>
                        <w:top w:val="none" w:sz="0" w:space="0" w:color="auto"/>
                        <w:left w:val="none" w:sz="0" w:space="0" w:color="auto"/>
                        <w:bottom w:val="none" w:sz="0" w:space="0" w:color="auto"/>
                        <w:right w:val="none" w:sz="0" w:space="0" w:color="auto"/>
                      </w:divBdr>
                    </w:div>
                  </w:divsChild>
                </w:div>
                <w:div w:id="1574314556">
                  <w:marLeft w:val="0"/>
                  <w:marRight w:val="0"/>
                  <w:marTop w:val="0"/>
                  <w:marBottom w:val="0"/>
                  <w:divBdr>
                    <w:top w:val="none" w:sz="0" w:space="0" w:color="auto"/>
                    <w:left w:val="none" w:sz="0" w:space="0" w:color="auto"/>
                    <w:bottom w:val="none" w:sz="0" w:space="0" w:color="auto"/>
                    <w:right w:val="none" w:sz="0" w:space="0" w:color="auto"/>
                  </w:divBdr>
                  <w:divsChild>
                    <w:div w:id="163409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27260">
          <w:marLeft w:val="0"/>
          <w:marRight w:val="0"/>
          <w:marTop w:val="0"/>
          <w:marBottom w:val="0"/>
          <w:divBdr>
            <w:top w:val="none" w:sz="0" w:space="0" w:color="auto"/>
            <w:left w:val="none" w:sz="0" w:space="0" w:color="auto"/>
            <w:bottom w:val="none" w:sz="0" w:space="0" w:color="auto"/>
            <w:right w:val="none" w:sz="0" w:space="0" w:color="auto"/>
          </w:divBdr>
          <w:divsChild>
            <w:div w:id="1056393163">
              <w:marLeft w:val="-75"/>
              <w:marRight w:val="0"/>
              <w:marTop w:val="30"/>
              <w:marBottom w:val="30"/>
              <w:divBdr>
                <w:top w:val="none" w:sz="0" w:space="0" w:color="auto"/>
                <w:left w:val="none" w:sz="0" w:space="0" w:color="auto"/>
                <w:bottom w:val="none" w:sz="0" w:space="0" w:color="auto"/>
                <w:right w:val="none" w:sz="0" w:space="0" w:color="auto"/>
              </w:divBdr>
              <w:divsChild>
                <w:div w:id="597641993">
                  <w:marLeft w:val="0"/>
                  <w:marRight w:val="0"/>
                  <w:marTop w:val="0"/>
                  <w:marBottom w:val="0"/>
                  <w:divBdr>
                    <w:top w:val="none" w:sz="0" w:space="0" w:color="auto"/>
                    <w:left w:val="none" w:sz="0" w:space="0" w:color="auto"/>
                    <w:bottom w:val="none" w:sz="0" w:space="0" w:color="auto"/>
                    <w:right w:val="none" w:sz="0" w:space="0" w:color="auto"/>
                  </w:divBdr>
                  <w:divsChild>
                    <w:div w:id="8989476">
                      <w:marLeft w:val="0"/>
                      <w:marRight w:val="0"/>
                      <w:marTop w:val="0"/>
                      <w:marBottom w:val="0"/>
                      <w:divBdr>
                        <w:top w:val="none" w:sz="0" w:space="0" w:color="auto"/>
                        <w:left w:val="none" w:sz="0" w:space="0" w:color="auto"/>
                        <w:bottom w:val="none" w:sz="0" w:space="0" w:color="auto"/>
                        <w:right w:val="none" w:sz="0" w:space="0" w:color="auto"/>
                      </w:divBdr>
                    </w:div>
                    <w:div w:id="578172382">
                      <w:marLeft w:val="0"/>
                      <w:marRight w:val="0"/>
                      <w:marTop w:val="0"/>
                      <w:marBottom w:val="0"/>
                      <w:divBdr>
                        <w:top w:val="none" w:sz="0" w:space="0" w:color="auto"/>
                        <w:left w:val="none" w:sz="0" w:space="0" w:color="auto"/>
                        <w:bottom w:val="none" w:sz="0" w:space="0" w:color="auto"/>
                        <w:right w:val="none" w:sz="0" w:space="0" w:color="auto"/>
                      </w:divBdr>
                    </w:div>
                  </w:divsChild>
                </w:div>
                <w:div w:id="1073744480">
                  <w:marLeft w:val="0"/>
                  <w:marRight w:val="0"/>
                  <w:marTop w:val="0"/>
                  <w:marBottom w:val="0"/>
                  <w:divBdr>
                    <w:top w:val="none" w:sz="0" w:space="0" w:color="auto"/>
                    <w:left w:val="none" w:sz="0" w:space="0" w:color="auto"/>
                    <w:bottom w:val="none" w:sz="0" w:space="0" w:color="auto"/>
                    <w:right w:val="none" w:sz="0" w:space="0" w:color="auto"/>
                  </w:divBdr>
                  <w:divsChild>
                    <w:div w:id="63440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0858">
          <w:marLeft w:val="0"/>
          <w:marRight w:val="0"/>
          <w:marTop w:val="0"/>
          <w:marBottom w:val="0"/>
          <w:divBdr>
            <w:top w:val="none" w:sz="0" w:space="0" w:color="auto"/>
            <w:left w:val="none" w:sz="0" w:space="0" w:color="auto"/>
            <w:bottom w:val="none" w:sz="0" w:space="0" w:color="auto"/>
            <w:right w:val="none" w:sz="0" w:space="0" w:color="auto"/>
          </w:divBdr>
        </w:div>
        <w:div w:id="1737632305">
          <w:marLeft w:val="0"/>
          <w:marRight w:val="0"/>
          <w:marTop w:val="0"/>
          <w:marBottom w:val="0"/>
          <w:divBdr>
            <w:top w:val="none" w:sz="0" w:space="0" w:color="auto"/>
            <w:left w:val="none" w:sz="0" w:space="0" w:color="auto"/>
            <w:bottom w:val="none" w:sz="0" w:space="0" w:color="auto"/>
            <w:right w:val="none" w:sz="0" w:space="0" w:color="auto"/>
          </w:divBdr>
          <w:divsChild>
            <w:div w:id="3896124">
              <w:marLeft w:val="-75"/>
              <w:marRight w:val="0"/>
              <w:marTop w:val="30"/>
              <w:marBottom w:val="30"/>
              <w:divBdr>
                <w:top w:val="none" w:sz="0" w:space="0" w:color="auto"/>
                <w:left w:val="none" w:sz="0" w:space="0" w:color="auto"/>
                <w:bottom w:val="none" w:sz="0" w:space="0" w:color="auto"/>
                <w:right w:val="none" w:sz="0" w:space="0" w:color="auto"/>
              </w:divBdr>
              <w:divsChild>
                <w:div w:id="144471132">
                  <w:marLeft w:val="0"/>
                  <w:marRight w:val="0"/>
                  <w:marTop w:val="0"/>
                  <w:marBottom w:val="0"/>
                  <w:divBdr>
                    <w:top w:val="none" w:sz="0" w:space="0" w:color="auto"/>
                    <w:left w:val="none" w:sz="0" w:space="0" w:color="auto"/>
                    <w:bottom w:val="none" w:sz="0" w:space="0" w:color="auto"/>
                    <w:right w:val="none" w:sz="0" w:space="0" w:color="auto"/>
                  </w:divBdr>
                  <w:divsChild>
                    <w:div w:id="1401977745">
                      <w:marLeft w:val="0"/>
                      <w:marRight w:val="0"/>
                      <w:marTop w:val="0"/>
                      <w:marBottom w:val="0"/>
                      <w:divBdr>
                        <w:top w:val="none" w:sz="0" w:space="0" w:color="auto"/>
                        <w:left w:val="none" w:sz="0" w:space="0" w:color="auto"/>
                        <w:bottom w:val="none" w:sz="0" w:space="0" w:color="auto"/>
                        <w:right w:val="none" w:sz="0" w:space="0" w:color="auto"/>
                      </w:divBdr>
                    </w:div>
                  </w:divsChild>
                </w:div>
                <w:div w:id="348415622">
                  <w:marLeft w:val="0"/>
                  <w:marRight w:val="0"/>
                  <w:marTop w:val="0"/>
                  <w:marBottom w:val="0"/>
                  <w:divBdr>
                    <w:top w:val="none" w:sz="0" w:space="0" w:color="auto"/>
                    <w:left w:val="none" w:sz="0" w:space="0" w:color="auto"/>
                    <w:bottom w:val="none" w:sz="0" w:space="0" w:color="auto"/>
                    <w:right w:val="none" w:sz="0" w:space="0" w:color="auto"/>
                  </w:divBdr>
                  <w:divsChild>
                    <w:div w:id="1217549591">
                      <w:marLeft w:val="0"/>
                      <w:marRight w:val="0"/>
                      <w:marTop w:val="0"/>
                      <w:marBottom w:val="0"/>
                      <w:divBdr>
                        <w:top w:val="none" w:sz="0" w:space="0" w:color="auto"/>
                        <w:left w:val="none" w:sz="0" w:space="0" w:color="auto"/>
                        <w:bottom w:val="none" w:sz="0" w:space="0" w:color="auto"/>
                        <w:right w:val="none" w:sz="0" w:space="0" w:color="auto"/>
                      </w:divBdr>
                    </w:div>
                    <w:div w:id="1925524834">
                      <w:marLeft w:val="0"/>
                      <w:marRight w:val="0"/>
                      <w:marTop w:val="0"/>
                      <w:marBottom w:val="0"/>
                      <w:divBdr>
                        <w:top w:val="none" w:sz="0" w:space="0" w:color="auto"/>
                        <w:left w:val="none" w:sz="0" w:space="0" w:color="auto"/>
                        <w:bottom w:val="none" w:sz="0" w:space="0" w:color="auto"/>
                        <w:right w:val="none" w:sz="0" w:space="0" w:color="auto"/>
                      </w:divBdr>
                    </w:div>
                  </w:divsChild>
                </w:div>
                <w:div w:id="452098082">
                  <w:marLeft w:val="0"/>
                  <w:marRight w:val="0"/>
                  <w:marTop w:val="0"/>
                  <w:marBottom w:val="0"/>
                  <w:divBdr>
                    <w:top w:val="none" w:sz="0" w:space="0" w:color="auto"/>
                    <w:left w:val="none" w:sz="0" w:space="0" w:color="auto"/>
                    <w:bottom w:val="none" w:sz="0" w:space="0" w:color="auto"/>
                    <w:right w:val="none" w:sz="0" w:space="0" w:color="auto"/>
                  </w:divBdr>
                  <w:divsChild>
                    <w:div w:id="608926109">
                      <w:marLeft w:val="0"/>
                      <w:marRight w:val="0"/>
                      <w:marTop w:val="0"/>
                      <w:marBottom w:val="0"/>
                      <w:divBdr>
                        <w:top w:val="none" w:sz="0" w:space="0" w:color="auto"/>
                        <w:left w:val="none" w:sz="0" w:space="0" w:color="auto"/>
                        <w:bottom w:val="none" w:sz="0" w:space="0" w:color="auto"/>
                        <w:right w:val="none" w:sz="0" w:space="0" w:color="auto"/>
                      </w:divBdr>
                    </w:div>
                  </w:divsChild>
                </w:div>
                <w:div w:id="951981190">
                  <w:marLeft w:val="0"/>
                  <w:marRight w:val="0"/>
                  <w:marTop w:val="0"/>
                  <w:marBottom w:val="0"/>
                  <w:divBdr>
                    <w:top w:val="none" w:sz="0" w:space="0" w:color="auto"/>
                    <w:left w:val="none" w:sz="0" w:space="0" w:color="auto"/>
                    <w:bottom w:val="none" w:sz="0" w:space="0" w:color="auto"/>
                    <w:right w:val="none" w:sz="0" w:space="0" w:color="auto"/>
                  </w:divBdr>
                  <w:divsChild>
                    <w:div w:id="257563815">
                      <w:marLeft w:val="0"/>
                      <w:marRight w:val="0"/>
                      <w:marTop w:val="0"/>
                      <w:marBottom w:val="0"/>
                      <w:divBdr>
                        <w:top w:val="none" w:sz="0" w:space="0" w:color="auto"/>
                        <w:left w:val="none" w:sz="0" w:space="0" w:color="auto"/>
                        <w:bottom w:val="none" w:sz="0" w:space="0" w:color="auto"/>
                        <w:right w:val="none" w:sz="0" w:space="0" w:color="auto"/>
                      </w:divBdr>
                    </w:div>
                    <w:div w:id="747188247">
                      <w:marLeft w:val="0"/>
                      <w:marRight w:val="0"/>
                      <w:marTop w:val="0"/>
                      <w:marBottom w:val="0"/>
                      <w:divBdr>
                        <w:top w:val="none" w:sz="0" w:space="0" w:color="auto"/>
                        <w:left w:val="none" w:sz="0" w:space="0" w:color="auto"/>
                        <w:bottom w:val="none" w:sz="0" w:space="0" w:color="auto"/>
                        <w:right w:val="none" w:sz="0" w:space="0" w:color="auto"/>
                      </w:divBdr>
                    </w:div>
                    <w:div w:id="843252020">
                      <w:marLeft w:val="0"/>
                      <w:marRight w:val="0"/>
                      <w:marTop w:val="0"/>
                      <w:marBottom w:val="0"/>
                      <w:divBdr>
                        <w:top w:val="none" w:sz="0" w:space="0" w:color="auto"/>
                        <w:left w:val="none" w:sz="0" w:space="0" w:color="auto"/>
                        <w:bottom w:val="none" w:sz="0" w:space="0" w:color="auto"/>
                        <w:right w:val="none" w:sz="0" w:space="0" w:color="auto"/>
                      </w:divBdr>
                    </w:div>
                    <w:div w:id="1127119671">
                      <w:marLeft w:val="0"/>
                      <w:marRight w:val="0"/>
                      <w:marTop w:val="0"/>
                      <w:marBottom w:val="0"/>
                      <w:divBdr>
                        <w:top w:val="none" w:sz="0" w:space="0" w:color="auto"/>
                        <w:left w:val="none" w:sz="0" w:space="0" w:color="auto"/>
                        <w:bottom w:val="none" w:sz="0" w:space="0" w:color="auto"/>
                        <w:right w:val="none" w:sz="0" w:space="0" w:color="auto"/>
                      </w:divBdr>
                    </w:div>
                    <w:div w:id="1316227777">
                      <w:marLeft w:val="0"/>
                      <w:marRight w:val="0"/>
                      <w:marTop w:val="0"/>
                      <w:marBottom w:val="0"/>
                      <w:divBdr>
                        <w:top w:val="none" w:sz="0" w:space="0" w:color="auto"/>
                        <w:left w:val="none" w:sz="0" w:space="0" w:color="auto"/>
                        <w:bottom w:val="none" w:sz="0" w:space="0" w:color="auto"/>
                        <w:right w:val="none" w:sz="0" w:space="0" w:color="auto"/>
                      </w:divBdr>
                    </w:div>
                    <w:div w:id="1342010200">
                      <w:marLeft w:val="0"/>
                      <w:marRight w:val="0"/>
                      <w:marTop w:val="0"/>
                      <w:marBottom w:val="0"/>
                      <w:divBdr>
                        <w:top w:val="none" w:sz="0" w:space="0" w:color="auto"/>
                        <w:left w:val="none" w:sz="0" w:space="0" w:color="auto"/>
                        <w:bottom w:val="none" w:sz="0" w:space="0" w:color="auto"/>
                        <w:right w:val="none" w:sz="0" w:space="0" w:color="auto"/>
                      </w:divBdr>
                    </w:div>
                    <w:div w:id="1393844373">
                      <w:marLeft w:val="0"/>
                      <w:marRight w:val="0"/>
                      <w:marTop w:val="0"/>
                      <w:marBottom w:val="0"/>
                      <w:divBdr>
                        <w:top w:val="none" w:sz="0" w:space="0" w:color="auto"/>
                        <w:left w:val="none" w:sz="0" w:space="0" w:color="auto"/>
                        <w:bottom w:val="none" w:sz="0" w:space="0" w:color="auto"/>
                        <w:right w:val="none" w:sz="0" w:space="0" w:color="auto"/>
                      </w:divBdr>
                    </w:div>
                    <w:div w:id="1612202013">
                      <w:marLeft w:val="0"/>
                      <w:marRight w:val="0"/>
                      <w:marTop w:val="0"/>
                      <w:marBottom w:val="0"/>
                      <w:divBdr>
                        <w:top w:val="none" w:sz="0" w:space="0" w:color="auto"/>
                        <w:left w:val="none" w:sz="0" w:space="0" w:color="auto"/>
                        <w:bottom w:val="none" w:sz="0" w:space="0" w:color="auto"/>
                        <w:right w:val="none" w:sz="0" w:space="0" w:color="auto"/>
                      </w:divBdr>
                    </w:div>
                    <w:div w:id="1710908402">
                      <w:marLeft w:val="0"/>
                      <w:marRight w:val="0"/>
                      <w:marTop w:val="0"/>
                      <w:marBottom w:val="0"/>
                      <w:divBdr>
                        <w:top w:val="none" w:sz="0" w:space="0" w:color="auto"/>
                        <w:left w:val="none" w:sz="0" w:space="0" w:color="auto"/>
                        <w:bottom w:val="none" w:sz="0" w:space="0" w:color="auto"/>
                        <w:right w:val="none" w:sz="0" w:space="0" w:color="auto"/>
                      </w:divBdr>
                    </w:div>
                  </w:divsChild>
                </w:div>
                <w:div w:id="1876234516">
                  <w:marLeft w:val="0"/>
                  <w:marRight w:val="0"/>
                  <w:marTop w:val="0"/>
                  <w:marBottom w:val="0"/>
                  <w:divBdr>
                    <w:top w:val="none" w:sz="0" w:space="0" w:color="auto"/>
                    <w:left w:val="none" w:sz="0" w:space="0" w:color="auto"/>
                    <w:bottom w:val="none" w:sz="0" w:space="0" w:color="auto"/>
                    <w:right w:val="none" w:sz="0" w:space="0" w:color="auto"/>
                  </w:divBdr>
                  <w:divsChild>
                    <w:div w:id="8114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84605">
          <w:marLeft w:val="0"/>
          <w:marRight w:val="0"/>
          <w:marTop w:val="0"/>
          <w:marBottom w:val="0"/>
          <w:divBdr>
            <w:top w:val="none" w:sz="0" w:space="0" w:color="auto"/>
            <w:left w:val="none" w:sz="0" w:space="0" w:color="auto"/>
            <w:bottom w:val="none" w:sz="0" w:space="0" w:color="auto"/>
            <w:right w:val="none" w:sz="0" w:space="0" w:color="auto"/>
          </w:divBdr>
          <w:divsChild>
            <w:div w:id="1763911352">
              <w:marLeft w:val="-75"/>
              <w:marRight w:val="0"/>
              <w:marTop w:val="30"/>
              <w:marBottom w:val="30"/>
              <w:divBdr>
                <w:top w:val="none" w:sz="0" w:space="0" w:color="auto"/>
                <w:left w:val="none" w:sz="0" w:space="0" w:color="auto"/>
                <w:bottom w:val="none" w:sz="0" w:space="0" w:color="auto"/>
                <w:right w:val="none" w:sz="0" w:space="0" w:color="auto"/>
              </w:divBdr>
              <w:divsChild>
                <w:div w:id="366880668">
                  <w:marLeft w:val="0"/>
                  <w:marRight w:val="0"/>
                  <w:marTop w:val="0"/>
                  <w:marBottom w:val="0"/>
                  <w:divBdr>
                    <w:top w:val="none" w:sz="0" w:space="0" w:color="auto"/>
                    <w:left w:val="none" w:sz="0" w:space="0" w:color="auto"/>
                    <w:bottom w:val="none" w:sz="0" w:space="0" w:color="auto"/>
                    <w:right w:val="none" w:sz="0" w:space="0" w:color="auto"/>
                  </w:divBdr>
                  <w:divsChild>
                    <w:div w:id="61341883">
                      <w:marLeft w:val="0"/>
                      <w:marRight w:val="0"/>
                      <w:marTop w:val="0"/>
                      <w:marBottom w:val="0"/>
                      <w:divBdr>
                        <w:top w:val="none" w:sz="0" w:space="0" w:color="auto"/>
                        <w:left w:val="none" w:sz="0" w:space="0" w:color="auto"/>
                        <w:bottom w:val="none" w:sz="0" w:space="0" w:color="auto"/>
                        <w:right w:val="none" w:sz="0" w:space="0" w:color="auto"/>
                      </w:divBdr>
                    </w:div>
                    <w:div w:id="333336495">
                      <w:marLeft w:val="0"/>
                      <w:marRight w:val="0"/>
                      <w:marTop w:val="0"/>
                      <w:marBottom w:val="0"/>
                      <w:divBdr>
                        <w:top w:val="none" w:sz="0" w:space="0" w:color="auto"/>
                        <w:left w:val="none" w:sz="0" w:space="0" w:color="auto"/>
                        <w:bottom w:val="none" w:sz="0" w:space="0" w:color="auto"/>
                        <w:right w:val="none" w:sz="0" w:space="0" w:color="auto"/>
                      </w:divBdr>
                    </w:div>
                    <w:div w:id="786701007">
                      <w:marLeft w:val="0"/>
                      <w:marRight w:val="0"/>
                      <w:marTop w:val="0"/>
                      <w:marBottom w:val="0"/>
                      <w:divBdr>
                        <w:top w:val="none" w:sz="0" w:space="0" w:color="auto"/>
                        <w:left w:val="none" w:sz="0" w:space="0" w:color="auto"/>
                        <w:bottom w:val="none" w:sz="0" w:space="0" w:color="auto"/>
                        <w:right w:val="none" w:sz="0" w:space="0" w:color="auto"/>
                      </w:divBdr>
                    </w:div>
                  </w:divsChild>
                </w:div>
                <w:div w:id="404885238">
                  <w:marLeft w:val="0"/>
                  <w:marRight w:val="0"/>
                  <w:marTop w:val="0"/>
                  <w:marBottom w:val="0"/>
                  <w:divBdr>
                    <w:top w:val="none" w:sz="0" w:space="0" w:color="auto"/>
                    <w:left w:val="none" w:sz="0" w:space="0" w:color="auto"/>
                    <w:bottom w:val="none" w:sz="0" w:space="0" w:color="auto"/>
                    <w:right w:val="none" w:sz="0" w:space="0" w:color="auto"/>
                  </w:divBdr>
                  <w:divsChild>
                    <w:div w:id="1533113049">
                      <w:marLeft w:val="0"/>
                      <w:marRight w:val="0"/>
                      <w:marTop w:val="0"/>
                      <w:marBottom w:val="0"/>
                      <w:divBdr>
                        <w:top w:val="none" w:sz="0" w:space="0" w:color="auto"/>
                        <w:left w:val="none" w:sz="0" w:space="0" w:color="auto"/>
                        <w:bottom w:val="none" w:sz="0" w:space="0" w:color="auto"/>
                        <w:right w:val="none" w:sz="0" w:space="0" w:color="auto"/>
                      </w:divBdr>
                    </w:div>
                  </w:divsChild>
                </w:div>
                <w:div w:id="486023155">
                  <w:marLeft w:val="0"/>
                  <w:marRight w:val="0"/>
                  <w:marTop w:val="0"/>
                  <w:marBottom w:val="0"/>
                  <w:divBdr>
                    <w:top w:val="none" w:sz="0" w:space="0" w:color="auto"/>
                    <w:left w:val="none" w:sz="0" w:space="0" w:color="auto"/>
                    <w:bottom w:val="none" w:sz="0" w:space="0" w:color="auto"/>
                    <w:right w:val="none" w:sz="0" w:space="0" w:color="auto"/>
                  </w:divBdr>
                  <w:divsChild>
                    <w:div w:id="517697351">
                      <w:marLeft w:val="0"/>
                      <w:marRight w:val="0"/>
                      <w:marTop w:val="0"/>
                      <w:marBottom w:val="0"/>
                      <w:divBdr>
                        <w:top w:val="none" w:sz="0" w:space="0" w:color="auto"/>
                        <w:left w:val="none" w:sz="0" w:space="0" w:color="auto"/>
                        <w:bottom w:val="none" w:sz="0" w:space="0" w:color="auto"/>
                        <w:right w:val="none" w:sz="0" w:space="0" w:color="auto"/>
                      </w:divBdr>
                    </w:div>
                  </w:divsChild>
                </w:div>
                <w:div w:id="611324535">
                  <w:marLeft w:val="0"/>
                  <w:marRight w:val="0"/>
                  <w:marTop w:val="0"/>
                  <w:marBottom w:val="0"/>
                  <w:divBdr>
                    <w:top w:val="none" w:sz="0" w:space="0" w:color="auto"/>
                    <w:left w:val="none" w:sz="0" w:space="0" w:color="auto"/>
                    <w:bottom w:val="none" w:sz="0" w:space="0" w:color="auto"/>
                    <w:right w:val="none" w:sz="0" w:space="0" w:color="auto"/>
                  </w:divBdr>
                  <w:divsChild>
                    <w:div w:id="799151303">
                      <w:marLeft w:val="0"/>
                      <w:marRight w:val="0"/>
                      <w:marTop w:val="0"/>
                      <w:marBottom w:val="0"/>
                      <w:divBdr>
                        <w:top w:val="none" w:sz="0" w:space="0" w:color="auto"/>
                        <w:left w:val="none" w:sz="0" w:space="0" w:color="auto"/>
                        <w:bottom w:val="none" w:sz="0" w:space="0" w:color="auto"/>
                        <w:right w:val="none" w:sz="0" w:space="0" w:color="auto"/>
                      </w:divBdr>
                    </w:div>
                  </w:divsChild>
                </w:div>
                <w:div w:id="858011863">
                  <w:marLeft w:val="0"/>
                  <w:marRight w:val="0"/>
                  <w:marTop w:val="0"/>
                  <w:marBottom w:val="0"/>
                  <w:divBdr>
                    <w:top w:val="none" w:sz="0" w:space="0" w:color="auto"/>
                    <w:left w:val="none" w:sz="0" w:space="0" w:color="auto"/>
                    <w:bottom w:val="none" w:sz="0" w:space="0" w:color="auto"/>
                    <w:right w:val="none" w:sz="0" w:space="0" w:color="auto"/>
                  </w:divBdr>
                  <w:divsChild>
                    <w:div w:id="631251178">
                      <w:marLeft w:val="0"/>
                      <w:marRight w:val="0"/>
                      <w:marTop w:val="0"/>
                      <w:marBottom w:val="0"/>
                      <w:divBdr>
                        <w:top w:val="none" w:sz="0" w:space="0" w:color="auto"/>
                        <w:left w:val="none" w:sz="0" w:space="0" w:color="auto"/>
                        <w:bottom w:val="none" w:sz="0" w:space="0" w:color="auto"/>
                        <w:right w:val="none" w:sz="0" w:space="0" w:color="auto"/>
                      </w:divBdr>
                    </w:div>
                    <w:div w:id="1125001470">
                      <w:marLeft w:val="0"/>
                      <w:marRight w:val="0"/>
                      <w:marTop w:val="0"/>
                      <w:marBottom w:val="0"/>
                      <w:divBdr>
                        <w:top w:val="none" w:sz="0" w:space="0" w:color="auto"/>
                        <w:left w:val="none" w:sz="0" w:space="0" w:color="auto"/>
                        <w:bottom w:val="none" w:sz="0" w:space="0" w:color="auto"/>
                        <w:right w:val="none" w:sz="0" w:space="0" w:color="auto"/>
                      </w:divBdr>
                    </w:div>
                    <w:div w:id="1171867608">
                      <w:marLeft w:val="0"/>
                      <w:marRight w:val="0"/>
                      <w:marTop w:val="0"/>
                      <w:marBottom w:val="0"/>
                      <w:divBdr>
                        <w:top w:val="none" w:sz="0" w:space="0" w:color="auto"/>
                        <w:left w:val="none" w:sz="0" w:space="0" w:color="auto"/>
                        <w:bottom w:val="none" w:sz="0" w:space="0" w:color="auto"/>
                        <w:right w:val="none" w:sz="0" w:space="0" w:color="auto"/>
                      </w:divBdr>
                    </w:div>
                  </w:divsChild>
                </w:div>
                <w:div w:id="998189507">
                  <w:marLeft w:val="0"/>
                  <w:marRight w:val="0"/>
                  <w:marTop w:val="0"/>
                  <w:marBottom w:val="0"/>
                  <w:divBdr>
                    <w:top w:val="none" w:sz="0" w:space="0" w:color="auto"/>
                    <w:left w:val="none" w:sz="0" w:space="0" w:color="auto"/>
                    <w:bottom w:val="none" w:sz="0" w:space="0" w:color="auto"/>
                    <w:right w:val="none" w:sz="0" w:space="0" w:color="auto"/>
                  </w:divBdr>
                  <w:divsChild>
                    <w:div w:id="1466654294">
                      <w:marLeft w:val="0"/>
                      <w:marRight w:val="0"/>
                      <w:marTop w:val="0"/>
                      <w:marBottom w:val="0"/>
                      <w:divBdr>
                        <w:top w:val="none" w:sz="0" w:space="0" w:color="auto"/>
                        <w:left w:val="none" w:sz="0" w:space="0" w:color="auto"/>
                        <w:bottom w:val="none" w:sz="0" w:space="0" w:color="auto"/>
                        <w:right w:val="none" w:sz="0" w:space="0" w:color="auto"/>
                      </w:divBdr>
                    </w:div>
                  </w:divsChild>
                </w:div>
                <w:div w:id="1048649405">
                  <w:marLeft w:val="0"/>
                  <w:marRight w:val="0"/>
                  <w:marTop w:val="0"/>
                  <w:marBottom w:val="0"/>
                  <w:divBdr>
                    <w:top w:val="none" w:sz="0" w:space="0" w:color="auto"/>
                    <w:left w:val="none" w:sz="0" w:space="0" w:color="auto"/>
                    <w:bottom w:val="none" w:sz="0" w:space="0" w:color="auto"/>
                    <w:right w:val="none" w:sz="0" w:space="0" w:color="auto"/>
                  </w:divBdr>
                  <w:divsChild>
                    <w:div w:id="1582375263">
                      <w:marLeft w:val="0"/>
                      <w:marRight w:val="0"/>
                      <w:marTop w:val="0"/>
                      <w:marBottom w:val="0"/>
                      <w:divBdr>
                        <w:top w:val="none" w:sz="0" w:space="0" w:color="auto"/>
                        <w:left w:val="none" w:sz="0" w:space="0" w:color="auto"/>
                        <w:bottom w:val="none" w:sz="0" w:space="0" w:color="auto"/>
                        <w:right w:val="none" w:sz="0" w:space="0" w:color="auto"/>
                      </w:divBdr>
                    </w:div>
                  </w:divsChild>
                </w:div>
                <w:div w:id="1257060289">
                  <w:marLeft w:val="0"/>
                  <w:marRight w:val="0"/>
                  <w:marTop w:val="0"/>
                  <w:marBottom w:val="0"/>
                  <w:divBdr>
                    <w:top w:val="none" w:sz="0" w:space="0" w:color="auto"/>
                    <w:left w:val="none" w:sz="0" w:space="0" w:color="auto"/>
                    <w:bottom w:val="none" w:sz="0" w:space="0" w:color="auto"/>
                    <w:right w:val="none" w:sz="0" w:space="0" w:color="auto"/>
                  </w:divBdr>
                  <w:divsChild>
                    <w:div w:id="1954314757">
                      <w:marLeft w:val="0"/>
                      <w:marRight w:val="0"/>
                      <w:marTop w:val="0"/>
                      <w:marBottom w:val="0"/>
                      <w:divBdr>
                        <w:top w:val="none" w:sz="0" w:space="0" w:color="auto"/>
                        <w:left w:val="none" w:sz="0" w:space="0" w:color="auto"/>
                        <w:bottom w:val="none" w:sz="0" w:space="0" w:color="auto"/>
                        <w:right w:val="none" w:sz="0" w:space="0" w:color="auto"/>
                      </w:divBdr>
                    </w:div>
                  </w:divsChild>
                </w:div>
                <w:div w:id="1276593322">
                  <w:marLeft w:val="0"/>
                  <w:marRight w:val="0"/>
                  <w:marTop w:val="0"/>
                  <w:marBottom w:val="0"/>
                  <w:divBdr>
                    <w:top w:val="none" w:sz="0" w:space="0" w:color="auto"/>
                    <w:left w:val="none" w:sz="0" w:space="0" w:color="auto"/>
                    <w:bottom w:val="none" w:sz="0" w:space="0" w:color="auto"/>
                    <w:right w:val="none" w:sz="0" w:space="0" w:color="auto"/>
                  </w:divBdr>
                  <w:divsChild>
                    <w:div w:id="610211904">
                      <w:marLeft w:val="0"/>
                      <w:marRight w:val="0"/>
                      <w:marTop w:val="0"/>
                      <w:marBottom w:val="0"/>
                      <w:divBdr>
                        <w:top w:val="none" w:sz="0" w:space="0" w:color="auto"/>
                        <w:left w:val="none" w:sz="0" w:space="0" w:color="auto"/>
                        <w:bottom w:val="none" w:sz="0" w:space="0" w:color="auto"/>
                        <w:right w:val="none" w:sz="0" w:space="0" w:color="auto"/>
                      </w:divBdr>
                    </w:div>
                    <w:div w:id="1041586926">
                      <w:marLeft w:val="0"/>
                      <w:marRight w:val="0"/>
                      <w:marTop w:val="0"/>
                      <w:marBottom w:val="0"/>
                      <w:divBdr>
                        <w:top w:val="none" w:sz="0" w:space="0" w:color="auto"/>
                        <w:left w:val="none" w:sz="0" w:space="0" w:color="auto"/>
                        <w:bottom w:val="none" w:sz="0" w:space="0" w:color="auto"/>
                        <w:right w:val="none" w:sz="0" w:space="0" w:color="auto"/>
                      </w:divBdr>
                    </w:div>
                    <w:div w:id="1853449781">
                      <w:marLeft w:val="0"/>
                      <w:marRight w:val="0"/>
                      <w:marTop w:val="0"/>
                      <w:marBottom w:val="0"/>
                      <w:divBdr>
                        <w:top w:val="none" w:sz="0" w:space="0" w:color="auto"/>
                        <w:left w:val="none" w:sz="0" w:space="0" w:color="auto"/>
                        <w:bottom w:val="none" w:sz="0" w:space="0" w:color="auto"/>
                        <w:right w:val="none" w:sz="0" w:space="0" w:color="auto"/>
                      </w:divBdr>
                    </w:div>
                  </w:divsChild>
                </w:div>
                <w:div w:id="1320380469">
                  <w:marLeft w:val="0"/>
                  <w:marRight w:val="0"/>
                  <w:marTop w:val="0"/>
                  <w:marBottom w:val="0"/>
                  <w:divBdr>
                    <w:top w:val="none" w:sz="0" w:space="0" w:color="auto"/>
                    <w:left w:val="none" w:sz="0" w:space="0" w:color="auto"/>
                    <w:bottom w:val="none" w:sz="0" w:space="0" w:color="auto"/>
                    <w:right w:val="none" w:sz="0" w:space="0" w:color="auto"/>
                  </w:divBdr>
                  <w:divsChild>
                    <w:div w:id="65342366">
                      <w:marLeft w:val="0"/>
                      <w:marRight w:val="0"/>
                      <w:marTop w:val="0"/>
                      <w:marBottom w:val="0"/>
                      <w:divBdr>
                        <w:top w:val="none" w:sz="0" w:space="0" w:color="auto"/>
                        <w:left w:val="none" w:sz="0" w:space="0" w:color="auto"/>
                        <w:bottom w:val="none" w:sz="0" w:space="0" w:color="auto"/>
                        <w:right w:val="none" w:sz="0" w:space="0" w:color="auto"/>
                      </w:divBdr>
                    </w:div>
                    <w:div w:id="855122918">
                      <w:marLeft w:val="0"/>
                      <w:marRight w:val="0"/>
                      <w:marTop w:val="0"/>
                      <w:marBottom w:val="0"/>
                      <w:divBdr>
                        <w:top w:val="none" w:sz="0" w:space="0" w:color="auto"/>
                        <w:left w:val="none" w:sz="0" w:space="0" w:color="auto"/>
                        <w:bottom w:val="none" w:sz="0" w:space="0" w:color="auto"/>
                        <w:right w:val="none" w:sz="0" w:space="0" w:color="auto"/>
                      </w:divBdr>
                    </w:div>
                    <w:div w:id="1940790921">
                      <w:marLeft w:val="0"/>
                      <w:marRight w:val="0"/>
                      <w:marTop w:val="0"/>
                      <w:marBottom w:val="0"/>
                      <w:divBdr>
                        <w:top w:val="none" w:sz="0" w:space="0" w:color="auto"/>
                        <w:left w:val="none" w:sz="0" w:space="0" w:color="auto"/>
                        <w:bottom w:val="none" w:sz="0" w:space="0" w:color="auto"/>
                        <w:right w:val="none" w:sz="0" w:space="0" w:color="auto"/>
                      </w:divBdr>
                    </w:div>
                  </w:divsChild>
                </w:div>
                <w:div w:id="1430269716">
                  <w:marLeft w:val="0"/>
                  <w:marRight w:val="0"/>
                  <w:marTop w:val="0"/>
                  <w:marBottom w:val="0"/>
                  <w:divBdr>
                    <w:top w:val="none" w:sz="0" w:space="0" w:color="auto"/>
                    <w:left w:val="none" w:sz="0" w:space="0" w:color="auto"/>
                    <w:bottom w:val="none" w:sz="0" w:space="0" w:color="auto"/>
                    <w:right w:val="none" w:sz="0" w:space="0" w:color="auto"/>
                  </w:divBdr>
                  <w:divsChild>
                    <w:div w:id="1453015834">
                      <w:marLeft w:val="0"/>
                      <w:marRight w:val="0"/>
                      <w:marTop w:val="0"/>
                      <w:marBottom w:val="0"/>
                      <w:divBdr>
                        <w:top w:val="none" w:sz="0" w:space="0" w:color="auto"/>
                        <w:left w:val="none" w:sz="0" w:space="0" w:color="auto"/>
                        <w:bottom w:val="none" w:sz="0" w:space="0" w:color="auto"/>
                        <w:right w:val="none" w:sz="0" w:space="0" w:color="auto"/>
                      </w:divBdr>
                    </w:div>
                    <w:div w:id="1959753045">
                      <w:marLeft w:val="0"/>
                      <w:marRight w:val="0"/>
                      <w:marTop w:val="0"/>
                      <w:marBottom w:val="0"/>
                      <w:divBdr>
                        <w:top w:val="none" w:sz="0" w:space="0" w:color="auto"/>
                        <w:left w:val="none" w:sz="0" w:space="0" w:color="auto"/>
                        <w:bottom w:val="none" w:sz="0" w:space="0" w:color="auto"/>
                        <w:right w:val="none" w:sz="0" w:space="0" w:color="auto"/>
                      </w:divBdr>
                    </w:div>
                    <w:div w:id="2074237587">
                      <w:marLeft w:val="0"/>
                      <w:marRight w:val="0"/>
                      <w:marTop w:val="0"/>
                      <w:marBottom w:val="0"/>
                      <w:divBdr>
                        <w:top w:val="none" w:sz="0" w:space="0" w:color="auto"/>
                        <w:left w:val="none" w:sz="0" w:space="0" w:color="auto"/>
                        <w:bottom w:val="none" w:sz="0" w:space="0" w:color="auto"/>
                        <w:right w:val="none" w:sz="0" w:space="0" w:color="auto"/>
                      </w:divBdr>
                    </w:div>
                  </w:divsChild>
                </w:div>
                <w:div w:id="1877542783">
                  <w:marLeft w:val="0"/>
                  <w:marRight w:val="0"/>
                  <w:marTop w:val="0"/>
                  <w:marBottom w:val="0"/>
                  <w:divBdr>
                    <w:top w:val="none" w:sz="0" w:space="0" w:color="auto"/>
                    <w:left w:val="none" w:sz="0" w:space="0" w:color="auto"/>
                    <w:bottom w:val="none" w:sz="0" w:space="0" w:color="auto"/>
                    <w:right w:val="none" w:sz="0" w:space="0" w:color="auto"/>
                  </w:divBdr>
                  <w:divsChild>
                    <w:div w:id="1761556834">
                      <w:marLeft w:val="0"/>
                      <w:marRight w:val="0"/>
                      <w:marTop w:val="0"/>
                      <w:marBottom w:val="0"/>
                      <w:divBdr>
                        <w:top w:val="none" w:sz="0" w:space="0" w:color="auto"/>
                        <w:left w:val="none" w:sz="0" w:space="0" w:color="auto"/>
                        <w:bottom w:val="none" w:sz="0" w:space="0" w:color="auto"/>
                        <w:right w:val="none" w:sz="0" w:space="0" w:color="auto"/>
                      </w:divBdr>
                    </w:div>
                  </w:divsChild>
                </w:div>
                <w:div w:id="1962296069">
                  <w:marLeft w:val="0"/>
                  <w:marRight w:val="0"/>
                  <w:marTop w:val="0"/>
                  <w:marBottom w:val="0"/>
                  <w:divBdr>
                    <w:top w:val="none" w:sz="0" w:space="0" w:color="auto"/>
                    <w:left w:val="none" w:sz="0" w:space="0" w:color="auto"/>
                    <w:bottom w:val="none" w:sz="0" w:space="0" w:color="auto"/>
                    <w:right w:val="none" w:sz="0" w:space="0" w:color="auto"/>
                  </w:divBdr>
                  <w:divsChild>
                    <w:div w:id="11250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525546">
          <w:marLeft w:val="0"/>
          <w:marRight w:val="0"/>
          <w:marTop w:val="0"/>
          <w:marBottom w:val="0"/>
          <w:divBdr>
            <w:top w:val="none" w:sz="0" w:space="0" w:color="auto"/>
            <w:left w:val="none" w:sz="0" w:space="0" w:color="auto"/>
            <w:bottom w:val="none" w:sz="0" w:space="0" w:color="auto"/>
            <w:right w:val="none" w:sz="0" w:space="0" w:color="auto"/>
          </w:divBdr>
          <w:divsChild>
            <w:div w:id="844130598">
              <w:marLeft w:val="-75"/>
              <w:marRight w:val="0"/>
              <w:marTop w:val="30"/>
              <w:marBottom w:val="30"/>
              <w:divBdr>
                <w:top w:val="none" w:sz="0" w:space="0" w:color="auto"/>
                <w:left w:val="none" w:sz="0" w:space="0" w:color="auto"/>
                <w:bottom w:val="none" w:sz="0" w:space="0" w:color="auto"/>
                <w:right w:val="none" w:sz="0" w:space="0" w:color="auto"/>
              </w:divBdr>
              <w:divsChild>
                <w:div w:id="880635633">
                  <w:marLeft w:val="0"/>
                  <w:marRight w:val="0"/>
                  <w:marTop w:val="0"/>
                  <w:marBottom w:val="0"/>
                  <w:divBdr>
                    <w:top w:val="none" w:sz="0" w:space="0" w:color="auto"/>
                    <w:left w:val="none" w:sz="0" w:space="0" w:color="auto"/>
                    <w:bottom w:val="none" w:sz="0" w:space="0" w:color="auto"/>
                    <w:right w:val="none" w:sz="0" w:space="0" w:color="auto"/>
                  </w:divBdr>
                  <w:divsChild>
                    <w:div w:id="314183406">
                      <w:marLeft w:val="0"/>
                      <w:marRight w:val="0"/>
                      <w:marTop w:val="0"/>
                      <w:marBottom w:val="0"/>
                      <w:divBdr>
                        <w:top w:val="none" w:sz="0" w:space="0" w:color="auto"/>
                        <w:left w:val="none" w:sz="0" w:space="0" w:color="auto"/>
                        <w:bottom w:val="none" w:sz="0" w:space="0" w:color="auto"/>
                        <w:right w:val="none" w:sz="0" w:space="0" w:color="auto"/>
                      </w:divBdr>
                    </w:div>
                    <w:div w:id="1259413577">
                      <w:marLeft w:val="0"/>
                      <w:marRight w:val="0"/>
                      <w:marTop w:val="0"/>
                      <w:marBottom w:val="0"/>
                      <w:divBdr>
                        <w:top w:val="none" w:sz="0" w:space="0" w:color="auto"/>
                        <w:left w:val="none" w:sz="0" w:space="0" w:color="auto"/>
                        <w:bottom w:val="none" w:sz="0" w:space="0" w:color="auto"/>
                        <w:right w:val="none" w:sz="0" w:space="0" w:color="auto"/>
                      </w:divBdr>
                    </w:div>
                    <w:div w:id="1526477206">
                      <w:marLeft w:val="0"/>
                      <w:marRight w:val="0"/>
                      <w:marTop w:val="0"/>
                      <w:marBottom w:val="0"/>
                      <w:divBdr>
                        <w:top w:val="none" w:sz="0" w:space="0" w:color="auto"/>
                        <w:left w:val="none" w:sz="0" w:space="0" w:color="auto"/>
                        <w:bottom w:val="none" w:sz="0" w:space="0" w:color="auto"/>
                        <w:right w:val="none" w:sz="0" w:space="0" w:color="auto"/>
                      </w:divBdr>
                    </w:div>
                  </w:divsChild>
                </w:div>
                <w:div w:id="1105536349">
                  <w:marLeft w:val="0"/>
                  <w:marRight w:val="0"/>
                  <w:marTop w:val="0"/>
                  <w:marBottom w:val="0"/>
                  <w:divBdr>
                    <w:top w:val="none" w:sz="0" w:space="0" w:color="auto"/>
                    <w:left w:val="none" w:sz="0" w:space="0" w:color="auto"/>
                    <w:bottom w:val="none" w:sz="0" w:space="0" w:color="auto"/>
                    <w:right w:val="none" w:sz="0" w:space="0" w:color="auto"/>
                  </w:divBdr>
                  <w:divsChild>
                    <w:div w:id="800877400">
                      <w:marLeft w:val="0"/>
                      <w:marRight w:val="0"/>
                      <w:marTop w:val="0"/>
                      <w:marBottom w:val="0"/>
                      <w:divBdr>
                        <w:top w:val="none" w:sz="0" w:space="0" w:color="auto"/>
                        <w:left w:val="none" w:sz="0" w:space="0" w:color="auto"/>
                        <w:bottom w:val="none" w:sz="0" w:space="0" w:color="auto"/>
                        <w:right w:val="none" w:sz="0" w:space="0" w:color="auto"/>
                      </w:divBdr>
                    </w:div>
                  </w:divsChild>
                </w:div>
                <w:div w:id="1684942591">
                  <w:marLeft w:val="0"/>
                  <w:marRight w:val="0"/>
                  <w:marTop w:val="0"/>
                  <w:marBottom w:val="0"/>
                  <w:divBdr>
                    <w:top w:val="none" w:sz="0" w:space="0" w:color="auto"/>
                    <w:left w:val="none" w:sz="0" w:space="0" w:color="auto"/>
                    <w:bottom w:val="none" w:sz="0" w:space="0" w:color="auto"/>
                    <w:right w:val="none" w:sz="0" w:space="0" w:color="auto"/>
                  </w:divBdr>
                  <w:divsChild>
                    <w:div w:id="18780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206122">
      <w:bodyDiv w:val="1"/>
      <w:marLeft w:val="0"/>
      <w:marRight w:val="0"/>
      <w:marTop w:val="0"/>
      <w:marBottom w:val="0"/>
      <w:divBdr>
        <w:top w:val="none" w:sz="0" w:space="0" w:color="auto"/>
        <w:left w:val="none" w:sz="0" w:space="0" w:color="auto"/>
        <w:bottom w:val="none" w:sz="0" w:space="0" w:color="auto"/>
        <w:right w:val="none" w:sz="0" w:space="0" w:color="auto"/>
      </w:divBdr>
    </w:div>
    <w:div w:id="1713534277">
      <w:bodyDiv w:val="1"/>
      <w:marLeft w:val="0"/>
      <w:marRight w:val="0"/>
      <w:marTop w:val="0"/>
      <w:marBottom w:val="0"/>
      <w:divBdr>
        <w:top w:val="none" w:sz="0" w:space="0" w:color="auto"/>
        <w:left w:val="none" w:sz="0" w:space="0" w:color="auto"/>
        <w:bottom w:val="none" w:sz="0" w:space="0" w:color="auto"/>
        <w:right w:val="none" w:sz="0" w:space="0" w:color="auto"/>
      </w:divBdr>
    </w:div>
    <w:div w:id="1725257870">
      <w:bodyDiv w:val="1"/>
      <w:marLeft w:val="0"/>
      <w:marRight w:val="0"/>
      <w:marTop w:val="0"/>
      <w:marBottom w:val="0"/>
      <w:divBdr>
        <w:top w:val="none" w:sz="0" w:space="0" w:color="auto"/>
        <w:left w:val="none" w:sz="0" w:space="0" w:color="auto"/>
        <w:bottom w:val="none" w:sz="0" w:space="0" w:color="auto"/>
        <w:right w:val="none" w:sz="0" w:space="0" w:color="auto"/>
      </w:divBdr>
    </w:div>
    <w:div w:id="1757825226">
      <w:bodyDiv w:val="1"/>
      <w:marLeft w:val="0"/>
      <w:marRight w:val="0"/>
      <w:marTop w:val="0"/>
      <w:marBottom w:val="0"/>
      <w:divBdr>
        <w:top w:val="none" w:sz="0" w:space="0" w:color="auto"/>
        <w:left w:val="none" w:sz="0" w:space="0" w:color="auto"/>
        <w:bottom w:val="none" w:sz="0" w:space="0" w:color="auto"/>
        <w:right w:val="none" w:sz="0" w:space="0" w:color="auto"/>
      </w:divBdr>
      <w:divsChild>
        <w:div w:id="183637039">
          <w:marLeft w:val="0"/>
          <w:marRight w:val="0"/>
          <w:marTop w:val="0"/>
          <w:marBottom w:val="0"/>
          <w:divBdr>
            <w:top w:val="none" w:sz="0" w:space="0" w:color="auto"/>
            <w:left w:val="none" w:sz="0" w:space="0" w:color="auto"/>
            <w:bottom w:val="none" w:sz="0" w:space="0" w:color="auto"/>
            <w:right w:val="none" w:sz="0" w:space="0" w:color="auto"/>
          </w:divBdr>
        </w:div>
        <w:div w:id="407965517">
          <w:marLeft w:val="0"/>
          <w:marRight w:val="0"/>
          <w:marTop w:val="0"/>
          <w:marBottom w:val="0"/>
          <w:divBdr>
            <w:top w:val="none" w:sz="0" w:space="0" w:color="auto"/>
            <w:left w:val="none" w:sz="0" w:space="0" w:color="auto"/>
            <w:bottom w:val="none" w:sz="0" w:space="0" w:color="auto"/>
            <w:right w:val="none" w:sz="0" w:space="0" w:color="auto"/>
          </w:divBdr>
        </w:div>
        <w:div w:id="1300526379">
          <w:marLeft w:val="0"/>
          <w:marRight w:val="0"/>
          <w:marTop w:val="0"/>
          <w:marBottom w:val="0"/>
          <w:divBdr>
            <w:top w:val="none" w:sz="0" w:space="0" w:color="auto"/>
            <w:left w:val="none" w:sz="0" w:space="0" w:color="auto"/>
            <w:bottom w:val="none" w:sz="0" w:space="0" w:color="auto"/>
            <w:right w:val="none" w:sz="0" w:space="0" w:color="auto"/>
          </w:divBdr>
        </w:div>
        <w:div w:id="1341856065">
          <w:marLeft w:val="0"/>
          <w:marRight w:val="0"/>
          <w:marTop w:val="0"/>
          <w:marBottom w:val="0"/>
          <w:divBdr>
            <w:top w:val="none" w:sz="0" w:space="0" w:color="auto"/>
            <w:left w:val="none" w:sz="0" w:space="0" w:color="auto"/>
            <w:bottom w:val="none" w:sz="0" w:space="0" w:color="auto"/>
            <w:right w:val="none" w:sz="0" w:space="0" w:color="auto"/>
          </w:divBdr>
        </w:div>
        <w:div w:id="1783960013">
          <w:marLeft w:val="0"/>
          <w:marRight w:val="0"/>
          <w:marTop w:val="0"/>
          <w:marBottom w:val="0"/>
          <w:divBdr>
            <w:top w:val="none" w:sz="0" w:space="0" w:color="auto"/>
            <w:left w:val="none" w:sz="0" w:space="0" w:color="auto"/>
            <w:bottom w:val="none" w:sz="0" w:space="0" w:color="auto"/>
            <w:right w:val="none" w:sz="0" w:space="0" w:color="auto"/>
          </w:divBdr>
        </w:div>
        <w:div w:id="1910724332">
          <w:marLeft w:val="0"/>
          <w:marRight w:val="0"/>
          <w:marTop w:val="0"/>
          <w:marBottom w:val="0"/>
          <w:divBdr>
            <w:top w:val="none" w:sz="0" w:space="0" w:color="auto"/>
            <w:left w:val="none" w:sz="0" w:space="0" w:color="auto"/>
            <w:bottom w:val="none" w:sz="0" w:space="0" w:color="auto"/>
            <w:right w:val="none" w:sz="0" w:space="0" w:color="auto"/>
          </w:divBdr>
          <w:divsChild>
            <w:div w:id="1382366125">
              <w:marLeft w:val="-75"/>
              <w:marRight w:val="0"/>
              <w:marTop w:val="30"/>
              <w:marBottom w:val="30"/>
              <w:divBdr>
                <w:top w:val="none" w:sz="0" w:space="0" w:color="auto"/>
                <w:left w:val="none" w:sz="0" w:space="0" w:color="auto"/>
                <w:bottom w:val="none" w:sz="0" w:space="0" w:color="auto"/>
                <w:right w:val="none" w:sz="0" w:space="0" w:color="auto"/>
              </w:divBdr>
              <w:divsChild>
                <w:div w:id="57363820">
                  <w:marLeft w:val="0"/>
                  <w:marRight w:val="0"/>
                  <w:marTop w:val="0"/>
                  <w:marBottom w:val="0"/>
                  <w:divBdr>
                    <w:top w:val="none" w:sz="0" w:space="0" w:color="auto"/>
                    <w:left w:val="none" w:sz="0" w:space="0" w:color="auto"/>
                    <w:bottom w:val="none" w:sz="0" w:space="0" w:color="auto"/>
                    <w:right w:val="none" w:sz="0" w:space="0" w:color="auto"/>
                  </w:divBdr>
                  <w:divsChild>
                    <w:div w:id="245502140">
                      <w:marLeft w:val="0"/>
                      <w:marRight w:val="0"/>
                      <w:marTop w:val="0"/>
                      <w:marBottom w:val="0"/>
                      <w:divBdr>
                        <w:top w:val="none" w:sz="0" w:space="0" w:color="auto"/>
                        <w:left w:val="none" w:sz="0" w:space="0" w:color="auto"/>
                        <w:bottom w:val="none" w:sz="0" w:space="0" w:color="auto"/>
                        <w:right w:val="none" w:sz="0" w:space="0" w:color="auto"/>
                      </w:divBdr>
                    </w:div>
                  </w:divsChild>
                </w:div>
                <w:div w:id="259411839">
                  <w:marLeft w:val="0"/>
                  <w:marRight w:val="0"/>
                  <w:marTop w:val="0"/>
                  <w:marBottom w:val="0"/>
                  <w:divBdr>
                    <w:top w:val="none" w:sz="0" w:space="0" w:color="auto"/>
                    <w:left w:val="none" w:sz="0" w:space="0" w:color="auto"/>
                    <w:bottom w:val="none" w:sz="0" w:space="0" w:color="auto"/>
                    <w:right w:val="none" w:sz="0" w:space="0" w:color="auto"/>
                  </w:divBdr>
                  <w:divsChild>
                    <w:div w:id="451100173">
                      <w:marLeft w:val="0"/>
                      <w:marRight w:val="0"/>
                      <w:marTop w:val="0"/>
                      <w:marBottom w:val="0"/>
                      <w:divBdr>
                        <w:top w:val="none" w:sz="0" w:space="0" w:color="auto"/>
                        <w:left w:val="none" w:sz="0" w:space="0" w:color="auto"/>
                        <w:bottom w:val="none" w:sz="0" w:space="0" w:color="auto"/>
                        <w:right w:val="none" w:sz="0" w:space="0" w:color="auto"/>
                      </w:divBdr>
                    </w:div>
                  </w:divsChild>
                </w:div>
                <w:div w:id="379598087">
                  <w:marLeft w:val="0"/>
                  <w:marRight w:val="0"/>
                  <w:marTop w:val="0"/>
                  <w:marBottom w:val="0"/>
                  <w:divBdr>
                    <w:top w:val="none" w:sz="0" w:space="0" w:color="auto"/>
                    <w:left w:val="none" w:sz="0" w:space="0" w:color="auto"/>
                    <w:bottom w:val="none" w:sz="0" w:space="0" w:color="auto"/>
                    <w:right w:val="none" w:sz="0" w:space="0" w:color="auto"/>
                  </w:divBdr>
                  <w:divsChild>
                    <w:div w:id="274211326">
                      <w:marLeft w:val="0"/>
                      <w:marRight w:val="0"/>
                      <w:marTop w:val="0"/>
                      <w:marBottom w:val="0"/>
                      <w:divBdr>
                        <w:top w:val="none" w:sz="0" w:space="0" w:color="auto"/>
                        <w:left w:val="none" w:sz="0" w:space="0" w:color="auto"/>
                        <w:bottom w:val="none" w:sz="0" w:space="0" w:color="auto"/>
                        <w:right w:val="none" w:sz="0" w:space="0" w:color="auto"/>
                      </w:divBdr>
                    </w:div>
                  </w:divsChild>
                </w:div>
                <w:div w:id="634412665">
                  <w:marLeft w:val="0"/>
                  <w:marRight w:val="0"/>
                  <w:marTop w:val="0"/>
                  <w:marBottom w:val="0"/>
                  <w:divBdr>
                    <w:top w:val="none" w:sz="0" w:space="0" w:color="auto"/>
                    <w:left w:val="none" w:sz="0" w:space="0" w:color="auto"/>
                    <w:bottom w:val="none" w:sz="0" w:space="0" w:color="auto"/>
                    <w:right w:val="none" w:sz="0" w:space="0" w:color="auto"/>
                  </w:divBdr>
                  <w:divsChild>
                    <w:div w:id="2038386618">
                      <w:marLeft w:val="0"/>
                      <w:marRight w:val="0"/>
                      <w:marTop w:val="0"/>
                      <w:marBottom w:val="0"/>
                      <w:divBdr>
                        <w:top w:val="none" w:sz="0" w:space="0" w:color="auto"/>
                        <w:left w:val="none" w:sz="0" w:space="0" w:color="auto"/>
                        <w:bottom w:val="none" w:sz="0" w:space="0" w:color="auto"/>
                        <w:right w:val="none" w:sz="0" w:space="0" w:color="auto"/>
                      </w:divBdr>
                    </w:div>
                  </w:divsChild>
                </w:div>
                <w:div w:id="708798019">
                  <w:marLeft w:val="0"/>
                  <w:marRight w:val="0"/>
                  <w:marTop w:val="0"/>
                  <w:marBottom w:val="0"/>
                  <w:divBdr>
                    <w:top w:val="none" w:sz="0" w:space="0" w:color="auto"/>
                    <w:left w:val="none" w:sz="0" w:space="0" w:color="auto"/>
                    <w:bottom w:val="none" w:sz="0" w:space="0" w:color="auto"/>
                    <w:right w:val="none" w:sz="0" w:space="0" w:color="auto"/>
                  </w:divBdr>
                  <w:divsChild>
                    <w:div w:id="611594865">
                      <w:marLeft w:val="0"/>
                      <w:marRight w:val="0"/>
                      <w:marTop w:val="0"/>
                      <w:marBottom w:val="0"/>
                      <w:divBdr>
                        <w:top w:val="none" w:sz="0" w:space="0" w:color="auto"/>
                        <w:left w:val="none" w:sz="0" w:space="0" w:color="auto"/>
                        <w:bottom w:val="none" w:sz="0" w:space="0" w:color="auto"/>
                        <w:right w:val="none" w:sz="0" w:space="0" w:color="auto"/>
                      </w:divBdr>
                    </w:div>
                  </w:divsChild>
                </w:div>
                <w:div w:id="770903217">
                  <w:marLeft w:val="0"/>
                  <w:marRight w:val="0"/>
                  <w:marTop w:val="0"/>
                  <w:marBottom w:val="0"/>
                  <w:divBdr>
                    <w:top w:val="none" w:sz="0" w:space="0" w:color="auto"/>
                    <w:left w:val="none" w:sz="0" w:space="0" w:color="auto"/>
                    <w:bottom w:val="none" w:sz="0" w:space="0" w:color="auto"/>
                    <w:right w:val="none" w:sz="0" w:space="0" w:color="auto"/>
                  </w:divBdr>
                  <w:divsChild>
                    <w:div w:id="913467754">
                      <w:marLeft w:val="0"/>
                      <w:marRight w:val="0"/>
                      <w:marTop w:val="0"/>
                      <w:marBottom w:val="0"/>
                      <w:divBdr>
                        <w:top w:val="none" w:sz="0" w:space="0" w:color="auto"/>
                        <w:left w:val="none" w:sz="0" w:space="0" w:color="auto"/>
                        <w:bottom w:val="none" w:sz="0" w:space="0" w:color="auto"/>
                        <w:right w:val="none" w:sz="0" w:space="0" w:color="auto"/>
                      </w:divBdr>
                    </w:div>
                  </w:divsChild>
                </w:div>
                <w:div w:id="919872449">
                  <w:marLeft w:val="0"/>
                  <w:marRight w:val="0"/>
                  <w:marTop w:val="0"/>
                  <w:marBottom w:val="0"/>
                  <w:divBdr>
                    <w:top w:val="none" w:sz="0" w:space="0" w:color="auto"/>
                    <w:left w:val="none" w:sz="0" w:space="0" w:color="auto"/>
                    <w:bottom w:val="none" w:sz="0" w:space="0" w:color="auto"/>
                    <w:right w:val="none" w:sz="0" w:space="0" w:color="auto"/>
                  </w:divBdr>
                  <w:divsChild>
                    <w:div w:id="640698598">
                      <w:marLeft w:val="0"/>
                      <w:marRight w:val="0"/>
                      <w:marTop w:val="0"/>
                      <w:marBottom w:val="0"/>
                      <w:divBdr>
                        <w:top w:val="none" w:sz="0" w:space="0" w:color="auto"/>
                        <w:left w:val="none" w:sz="0" w:space="0" w:color="auto"/>
                        <w:bottom w:val="none" w:sz="0" w:space="0" w:color="auto"/>
                        <w:right w:val="none" w:sz="0" w:space="0" w:color="auto"/>
                      </w:divBdr>
                    </w:div>
                  </w:divsChild>
                </w:div>
                <w:div w:id="977340925">
                  <w:marLeft w:val="0"/>
                  <w:marRight w:val="0"/>
                  <w:marTop w:val="0"/>
                  <w:marBottom w:val="0"/>
                  <w:divBdr>
                    <w:top w:val="none" w:sz="0" w:space="0" w:color="auto"/>
                    <w:left w:val="none" w:sz="0" w:space="0" w:color="auto"/>
                    <w:bottom w:val="none" w:sz="0" w:space="0" w:color="auto"/>
                    <w:right w:val="none" w:sz="0" w:space="0" w:color="auto"/>
                  </w:divBdr>
                  <w:divsChild>
                    <w:div w:id="1150436525">
                      <w:marLeft w:val="0"/>
                      <w:marRight w:val="0"/>
                      <w:marTop w:val="0"/>
                      <w:marBottom w:val="0"/>
                      <w:divBdr>
                        <w:top w:val="none" w:sz="0" w:space="0" w:color="auto"/>
                        <w:left w:val="none" w:sz="0" w:space="0" w:color="auto"/>
                        <w:bottom w:val="none" w:sz="0" w:space="0" w:color="auto"/>
                        <w:right w:val="none" w:sz="0" w:space="0" w:color="auto"/>
                      </w:divBdr>
                    </w:div>
                  </w:divsChild>
                </w:div>
                <w:div w:id="978143509">
                  <w:marLeft w:val="0"/>
                  <w:marRight w:val="0"/>
                  <w:marTop w:val="0"/>
                  <w:marBottom w:val="0"/>
                  <w:divBdr>
                    <w:top w:val="none" w:sz="0" w:space="0" w:color="auto"/>
                    <w:left w:val="none" w:sz="0" w:space="0" w:color="auto"/>
                    <w:bottom w:val="none" w:sz="0" w:space="0" w:color="auto"/>
                    <w:right w:val="none" w:sz="0" w:space="0" w:color="auto"/>
                  </w:divBdr>
                  <w:divsChild>
                    <w:div w:id="532159765">
                      <w:marLeft w:val="0"/>
                      <w:marRight w:val="0"/>
                      <w:marTop w:val="0"/>
                      <w:marBottom w:val="0"/>
                      <w:divBdr>
                        <w:top w:val="none" w:sz="0" w:space="0" w:color="auto"/>
                        <w:left w:val="none" w:sz="0" w:space="0" w:color="auto"/>
                        <w:bottom w:val="none" w:sz="0" w:space="0" w:color="auto"/>
                        <w:right w:val="none" w:sz="0" w:space="0" w:color="auto"/>
                      </w:divBdr>
                    </w:div>
                  </w:divsChild>
                </w:div>
                <w:div w:id="1031035341">
                  <w:marLeft w:val="0"/>
                  <w:marRight w:val="0"/>
                  <w:marTop w:val="0"/>
                  <w:marBottom w:val="0"/>
                  <w:divBdr>
                    <w:top w:val="none" w:sz="0" w:space="0" w:color="auto"/>
                    <w:left w:val="none" w:sz="0" w:space="0" w:color="auto"/>
                    <w:bottom w:val="none" w:sz="0" w:space="0" w:color="auto"/>
                    <w:right w:val="none" w:sz="0" w:space="0" w:color="auto"/>
                  </w:divBdr>
                  <w:divsChild>
                    <w:div w:id="57899739">
                      <w:marLeft w:val="0"/>
                      <w:marRight w:val="0"/>
                      <w:marTop w:val="0"/>
                      <w:marBottom w:val="0"/>
                      <w:divBdr>
                        <w:top w:val="none" w:sz="0" w:space="0" w:color="auto"/>
                        <w:left w:val="none" w:sz="0" w:space="0" w:color="auto"/>
                        <w:bottom w:val="none" w:sz="0" w:space="0" w:color="auto"/>
                        <w:right w:val="none" w:sz="0" w:space="0" w:color="auto"/>
                      </w:divBdr>
                    </w:div>
                  </w:divsChild>
                </w:div>
                <w:div w:id="1228301089">
                  <w:marLeft w:val="0"/>
                  <w:marRight w:val="0"/>
                  <w:marTop w:val="0"/>
                  <w:marBottom w:val="0"/>
                  <w:divBdr>
                    <w:top w:val="none" w:sz="0" w:space="0" w:color="auto"/>
                    <w:left w:val="none" w:sz="0" w:space="0" w:color="auto"/>
                    <w:bottom w:val="none" w:sz="0" w:space="0" w:color="auto"/>
                    <w:right w:val="none" w:sz="0" w:space="0" w:color="auto"/>
                  </w:divBdr>
                  <w:divsChild>
                    <w:div w:id="799421055">
                      <w:marLeft w:val="0"/>
                      <w:marRight w:val="0"/>
                      <w:marTop w:val="0"/>
                      <w:marBottom w:val="0"/>
                      <w:divBdr>
                        <w:top w:val="none" w:sz="0" w:space="0" w:color="auto"/>
                        <w:left w:val="none" w:sz="0" w:space="0" w:color="auto"/>
                        <w:bottom w:val="none" w:sz="0" w:space="0" w:color="auto"/>
                        <w:right w:val="none" w:sz="0" w:space="0" w:color="auto"/>
                      </w:divBdr>
                    </w:div>
                  </w:divsChild>
                </w:div>
                <w:div w:id="1277172239">
                  <w:marLeft w:val="0"/>
                  <w:marRight w:val="0"/>
                  <w:marTop w:val="0"/>
                  <w:marBottom w:val="0"/>
                  <w:divBdr>
                    <w:top w:val="none" w:sz="0" w:space="0" w:color="auto"/>
                    <w:left w:val="none" w:sz="0" w:space="0" w:color="auto"/>
                    <w:bottom w:val="none" w:sz="0" w:space="0" w:color="auto"/>
                    <w:right w:val="none" w:sz="0" w:space="0" w:color="auto"/>
                  </w:divBdr>
                  <w:divsChild>
                    <w:div w:id="1166554781">
                      <w:marLeft w:val="0"/>
                      <w:marRight w:val="0"/>
                      <w:marTop w:val="0"/>
                      <w:marBottom w:val="0"/>
                      <w:divBdr>
                        <w:top w:val="none" w:sz="0" w:space="0" w:color="auto"/>
                        <w:left w:val="none" w:sz="0" w:space="0" w:color="auto"/>
                        <w:bottom w:val="none" w:sz="0" w:space="0" w:color="auto"/>
                        <w:right w:val="none" w:sz="0" w:space="0" w:color="auto"/>
                      </w:divBdr>
                    </w:div>
                  </w:divsChild>
                </w:div>
                <w:div w:id="1315261509">
                  <w:marLeft w:val="0"/>
                  <w:marRight w:val="0"/>
                  <w:marTop w:val="0"/>
                  <w:marBottom w:val="0"/>
                  <w:divBdr>
                    <w:top w:val="none" w:sz="0" w:space="0" w:color="auto"/>
                    <w:left w:val="none" w:sz="0" w:space="0" w:color="auto"/>
                    <w:bottom w:val="none" w:sz="0" w:space="0" w:color="auto"/>
                    <w:right w:val="none" w:sz="0" w:space="0" w:color="auto"/>
                  </w:divBdr>
                  <w:divsChild>
                    <w:div w:id="486946031">
                      <w:marLeft w:val="0"/>
                      <w:marRight w:val="0"/>
                      <w:marTop w:val="0"/>
                      <w:marBottom w:val="0"/>
                      <w:divBdr>
                        <w:top w:val="none" w:sz="0" w:space="0" w:color="auto"/>
                        <w:left w:val="none" w:sz="0" w:space="0" w:color="auto"/>
                        <w:bottom w:val="none" w:sz="0" w:space="0" w:color="auto"/>
                        <w:right w:val="none" w:sz="0" w:space="0" w:color="auto"/>
                      </w:divBdr>
                    </w:div>
                  </w:divsChild>
                </w:div>
                <w:div w:id="1338118564">
                  <w:marLeft w:val="0"/>
                  <w:marRight w:val="0"/>
                  <w:marTop w:val="0"/>
                  <w:marBottom w:val="0"/>
                  <w:divBdr>
                    <w:top w:val="none" w:sz="0" w:space="0" w:color="auto"/>
                    <w:left w:val="none" w:sz="0" w:space="0" w:color="auto"/>
                    <w:bottom w:val="none" w:sz="0" w:space="0" w:color="auto"/>
                    <w:right w:val="none" w:sz="0" w:space="0" w:color="auto"/>
                  </w:divBdr>
                  <w:divsChild>
                    <w:div w:id="1666780386">
                      <w:marLeft w:val="0"/>
                      <w:marRight w:val="0"/>
                      <w:marTop w:val="0"/>
                      <w:marBottom w:val="0"/>
                      <w:divBdr>
                        <w:top w:val="none" w:sz="0" w:space="0" w:color="auto"/>
                        <w:left w:val="none" w:sz="0" w:space="0" w:color="auto"/>
                        <w:bottom w:val="none" w:sz="0" w:space="0" w:color="auto"/>
                        <w:right w:val="none" w:sz="0" w:space="0" w:color="auto"/>
                      </w:divBdr>
                    </w:div>
                  </w:divsChild>
                </w:div>
                <w:div w:id="1387338363">
                  <w:marLeft w:val="0"/>
                  <w:marRight w:val="0"/>
                  <w:marTop w:val="0"/>
                  <w:marBottom w:val="0"/>
                  <w:divBdr>
                    <w:top w:val="none" w:sz="0" w:space="0" w:color="auto"/>
                    <w:left w:val="none" w:sz="0" w:space="0" w:color="auto"/>
                    <w:bottom w:val="none" w:sz="0" w:space="0" w:color="auto"/>
                    <w:right w:val="none" w:sz="0" w:space="0" w:color="auto"/>
                  </w:divBdr>
                  <w:divsChild>
                    <w:div w:id="1245261763">
                      <w:marLeft w:val="0"/>
                      <w:marRight w:val="0"/>
                      <w:marTop w:val="0"/>
                      <w:marBottom w:val="0"/>
                      <w:divBdr>
                        <w:top w:val="none" w:sz="0" w:space="0" w:color="auto"/>
                        <w:left w:val="none" w:sz="0" w:space="0" w:color="auto"/>
                        <w:bottom w:val="none" w:sz="0" w:space="0" w:color="auto"/>
                        <w:right w:val="none" w:sz="0" w:space="0" w:color="auto"/>
                      </w:divBdr>
                    </w:div>
                  </w:divsChild>
                </w:div>
                <w:div w:id="1394963984">
                  <w:marLeft w:val="0"/>
                  <w:marRight w:val="0"/>
                  <w:marTop w:val="0"/>
                  <w:marBottom w:val="0"/>
                  <w:divBdr>
                    <w:top w:val="none" w:sz="0" w:space="0" w:color="auto"/>
                    <w:left w:val="none" w:sz="0" w:space="0" w:color="auto"/>
                    <w:bottom w:val="none" w:sz="0" w:space="0" w:color="auto"/>
                    <w:right w:val="none" w:sz="0" w:space="0" w:color="auto"/>
                  </w:divBdr>
                  <w:divsChild>
                    <w:div w:id="256528348">
                      <w:marLeft w:val="0"/>
                      <w:marRight w:val="0"/>
                      <w:marTop w:val="0"/>
                      <w:marBottom w:val="0"/>
                      <w:divBdr>
                        <w:top w:val="none" w:sz="0" w:space="0" w:color="auto"/>
                        <w:left w:val="none" w:sz="0" w:space="0" w:color="auto"/>
                        <w:bottom w:val="none" w:sz="0" w:space="0" w:color="auto"/>
                        <w:right w:val="none" w:sz="0" w:space="0" w:color="auto"/>
                      </w:divBdr>
                    </w:div>
                  </w:divsChild>
                </w:div>
                <w:div w:id="1420323197">
                  <w:marLeft w:val="0"/>
                  <w:marRight w:val="0"/>
                  <w:marTop w:val="0"/>
                  <w:marBottom w:val="0"/>
                  <w:divBdr>
                    <w:top w:val="none" w:sz="0" w:space="0" w:color="auto"/>
                    <w:left w:val="none" w:sz="0" w:space="0" w:color="auto"/>
                    <w:bottom w:val="none" w:sz="0" w:space="0" w:color="auto"/>
                    <w:right w:val="none" w:sz="0" w:space="0" w:color="auto"/>
                  </w:divBdr>
                  <w:divsChild>
                    <w:div w:id="660088693">
                      <w:marLeft w:val="0"/>
                      <w:marRight w:val="0"/>
                      <w:marTop w:val="0"/>
                      <w:marBottom w:val="0"/>
                      <w:divBdr>
                        <w:top w:val="none" w:sz="0" w:space="0" w:color="auto"/>
                        <w:left w:val="none" w:sz="0" w:space="0" w:color="auto"/>
                        <w:bottom w:val="none" w:sz="0" w:space="0" w:color="auto"/>
                        <w:right w:val="none" w:sz="0" w:space="0" w:color="auto"/>
                      </w:divBdr>
                    </w:div>
                  </w:divsChild>
                </w:div>
                <w:div w:id="1512835426">
                  <w:marLeft w:val="0"/>
                  <w:marRight w:val="0"/>
                  <w:marTop w:val="0"/>
                  <w:marBottom w:val="0"/>
                  <w:divBdr>
                    <w:top w:val="none" w:sz="0" w:space="0" w:color="auto"/>
                    <w:left w:val="none" w:sz="0" w:space="0" w:color="auto"/>
                    <w:bottom w:val="none" w:sz="0" w:space="0" w:color="auto"/>
                    <w:right w:val="none" w:sz="0" w:space="0" w:color="auto"/>
                  </w:divBdr>
                  <w:divsChild>
                    <w:div w:id="1056392432">
                      <w:marLeft w:val="0"/>
                      <w:marRight w:val="0"/>
                      <w:marTop w:val="0"/>
                      <w:marBottom w:val="0"/>
                      <w:divBdr>
                        <w:top w:val="none" w:sz="0" w:space="0" w:color="auto"/>
                        <w:left w:val="none" w:sz="0" w:space="0" w:color="auto"/>
                        <w:bottom w:val="none" w:sz="0" w:space="0" w:color="auto"/>
                        <w:right w:val="none" w:sz="0" w:space="0" w:color="auto"/>
                      </w:divBdr>
                    </w:div>
                  </w:divsChild>
                </w:div>
                <w:div w:id="1573999542">
                  <w:marLeft w:val="0"/>
                  <w:marRight w:val="0"/>
                  <w:marTop w:val="0"/>
                  <w:marBottom w:val="0"/>
                  <w:divBdr>
                    <w:top w:val="none" w:sz="0" w:space="0" w:color="auto"/>
                    <w:left w:val="none" w:sz="0" w:space="0" w:color="auto"/>
                    <w:bottom w:val="none" w:sz="0" w:space="0" w:color="auto"/>
                    <w:right w:val="none" w:sz="0" w:space="0" w:color="auto"/>
                  </w:divBdr>
                  <w:divsChild>
                    <w:div w:id="1583293371">
                      <w:marLeft w:val="0"/>
                      <w:marRight w:val="0"/>
                      <w:marTop w:val="0"/>
                      <w:marBottom w:val="0"/>
                      <w:divBdr>
                        <w:top w:val="none" w:sz="0" w:space="0" w:color="auto"/>
                        <w:left w:val="none" w:sz="0" w:space="0" w:color="auto"/>
                        <w:bottom w:val="none" w:sz="0" w:space="0" w:color="auto"/>
                        <w:right w:val="none" w:sz="0" w:space="0" w:color="auto"/>
                      </w:divBdr>
                    </w:div>
                  </w:divsChild>
                </w:div>
                <w:div w:id="1587492098">
                  <w:marLeft w:val="0"/>
                  <w:marRight w:val="0"/>
                  <w:marTop w:val="0"/>
                  <w:marBottom w:val="0"/>
                  <w:divBdr>
                    <w:top w:val="none" w:sz="0" w:space="0" w:color="auto"/>
                    <w:left w:val="none" w:sz="0" w:space="0" w:color="auto"/>
                    <w:bottom w:val="none" w:sz="0" w:space="0" w:color="auto"/>
                    <w:right w:val="none" w:sz="0" w:space="0" w:color="auto"/>
                  </w:divBdr>
                  <w:divsChild>
                    <w:div w:id="2093892759">
                      <w:marLeft w:val="0"/>
                      <w:marRight w:val="0"/>
                      <w:marTop w:val="0"/>
                      <w:marBottom w:val="0"/>
                      <w:divBdr>
                        <w:top w:val="none" w:sz="0" w:space="0" w:color="auto"/>
                        <w:left w:val="none" w:sz="0" w:space="0" w:color="auto"/>
                        <w:bottom w:val="none" w:sz="0" w:space="0" w:color="auto"/>
                        <w:right w:val="none" w:sz="0" w:space="0" w:color="auto"/>
                      </w:divBdr>
                    </w:div>
                  </w:divsChild>
                </w:div>
                <w:div w:id="1637100778">
                  <w:marLeft w:val="0"/>
                  <w:marRight w:val="0"/>
                  <w:marTop w:val="0"/>
                  <w:marBottom w:val="0"/>
                  <w:divBdr>
                    <w:top w:val="none" w:sz="0" w:space="0" w:color="auto"/>
                    <w:left w:val="none" w:sz="0" w:space="0" w:color="auto"/>
                    <w:bottom w:val="none" w:sz="0" w:space="0" w:color="auto"/>
                    <w:right w:val="none" w:sz="0" w:space="0" w:color="auto"/>
                  </w:divBdr>
                  <w:divsChild>
                    <w:div w:id="6519038">
                      <w:marLeft w:val="0"/>
                      <w:marRight w:val="0"/>
                      <w:marTop w:val="0"/>
                      <w:marBottom w:val="0"/>
                      <w:divBdr>
                        <w:top w:val="none" w:sz="0" w:space="0" w:color="auto"/>
                        <w:left w:val="none" w:sz="0" w:space="0" w:color="auto"/>
                        <w:bottom w:val="none" w:sz="0" w:space="0" w:color="auto"/>
                        <w:right w:val="none" w:sz="0" w:space="0" w:color="auto"/>
                      </w:divBdr>
                    </w:div>
                  </w:divsChild>
                </w:div>
                <w:div w:id="1750149557">
                  <w:marLeft w:val="0"/>
                  <w:marRight w:val="0"/>
                  <w:marTop w:val="0"/>
                  <w:marBottom w:val="0"/>
                  <w:divBdr>
                    <w:top w:val="none" w:sz="0" w:space="0" w:color="auto"/>
                    <w:left w:val="none" w:sz="0" w:space="0" w:color="auto"/>
                    <w:bottom w:val="none" w:sz="0" w:space="0" w:color="auto"/>
                    <w:right w:val="none" w:sz="0" w:space="0" w:color="auto"/>
                  </w:divBdr>
                  <w:divsChild>
                    <w:div w:id="1820806646">
                      <w:marLeft w:val="0"/>
                      <w:marRight w:val="0"/>
                      <w:marTop w:val="0"/>
                      <w:marBottom w:val="0"/>
                      <w:divBdr>
                        <w:top w:val="none" w:sz="0" w:space="0" w:color="auto"/>
                        <w:left w:val="none" w:sz="0" w:space="0" w:color="auto"/>
                        <w:bottom w:val="none" w:sz="0" w:space="0" w:color="auto"/>
                        <w:right w:val="none" w:sz="0" w:space="0" w:color="auto"/>
                      </w:divBdr>
                    </w:div>
                  </w:divsChild>
                </w:div>
                <w:div w:id="1828548983">
                  <w:marLeft w:val="0"/>
                  <w:marRight w:val="0"/>
                  <w:marTop w:val="0"/>
                  <w:marBottom w:val="0"/>
                  <w:divBdr>
                    <w:top w:val="none" w:sz="0" w:space="0" w:color="auto"/>
                    <w:left w:val="none" w:sz="0" w:space="0" w:color="auto"/>
                    <w:bottom w:val="none" w:sz="0" w:space="0" w:color="auto"/>
                    <w:right w:val="none" w:sz="0" w:space="0" w:color="auto"/>
                  </w:divBdr>
                  <w:divsChild>
                    <w:div w:id="1221283999">
                      <w:marLeft w:val="0"/>
                      <w:marRight w:val="0"/>
                      <w:marTop w:val="0"/>
                      <w:marBottom w:val="0"/>
                      <w:divBdr>
                        <w:top w:val="none" w:sz="0" w:space="0" w:color="auto"/>
                        <w:left w:val="none" w:sz="0" w:space="0" w:color="auto"/>
                        <w:bottom w:val="none" w:sz="0" w:space="0" w:color="auto"/>
                        <w:right w:val="none" w:sz="0" w:space="0" w:color="auto"/>
                      </w:divBdr>
                    </w:div>
                    <w:div w:id="1904901912">
                      <w:marLeft w:val="0"/>
                      <w:marRight w:val="0"/>
                      <w:marTop w:val="0"/>
                      <w:marBottom w:val="0"/>
                      <w:divBdr>
                        <w:top w:val="none" w:sz="0" w:space="0" w:color="auto"/>
                        <w:left w:val="none" w:sz="0" w:space="0" w:color="auto"/>
                        <w:bottom w:val="none" w:sz="0" w:space="0" w:color="auto"/>
                        <w:right w:val="none" w:sz="0" w:space="0" w:color="auto"/>
                      </w:divBdr>
                    </w:div>
                  </w:divsChild>
                </w:div>
                <w:div w:id="2119912208">
                  <w:marLeft w:val="0"/>
                  <w:marRight w:val="0"/>
                  <w:marTop w:val="0"/>
                  <w:marBottom w:val="0"/>
                  <w:divBdr>
                    <w:top w:val="none" w:sz="0" w:space="0" w:color="auto"/>
                    <w:left w:val="none" w:sz="0" w:space="0" w:color="auto"/>
                    <w:bottom w:val="none" w:sz="0" w:space="0" w:color="auto"/>
                    <w:right w:val="none" w:sz="0" w:space="0" w:color="auto"/>
                  </w:divBdr>
                  <w:divsChild>
                    <w:div w:id="103639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5850">
      <w:bodyDiv w:val="1"/>
      <w:marLeft w:val="0"/>
      <w:marRight w:val="0"/>
      <w:marTop w:val="0"/>
      <w:marBottom w:val="0"/>
      <w:divBdr>
        <w:top w:val="none" w:sz="0" w:space="0" w:color="auto"/>
        <w:left w:val="none" w:sz="0" w:space="0" w:color="auto"/>
        <w:bottom w:val="none" w:sz="0" w:space="0" w:color="auto"/>
        <w:right w:val="none" w:sz="0" w:space="0" w:color="auto"/>
      </w:divBdr>
    </w:div>
    <w:div w:id="1798135105">
      <w:bodyDiv w:val="1"/>
      <w:marLeft w:val="0"/>
      <w:marRight w:val="0"/>
      <w:marTop w:val="0"/>
      <w:marBottom w:val="0"/>
      <w:divBdr>
        <w:top w:val="none" w:sz="0" w:space="0" w:color="auto"/>
        <w:left w:val="none" w:sz="0" w:space="0" w:color="auto"/>
        <w:bottom w:val="none" w:sz="0" w:space="0" w:color="auto"/>
        <w:right w:val="none" w:sz="0" w:space="0" w:color="auto"/>
      </w:divBdr>
    </w:div>
    <w:div w:id="1820538630">
      <w:bodyDiv w:val="1"/>
      <w:marLeft w:val="0"/>
      <w:marRight w:val="0"/>
      <w:marTop w:val="0"/>
      <w:marBottom w:val="0"/>
      <w:divBdr>
        <w:top w:val="none" w:sz="0" w:space="0" w:color="auto"/>
        <w:left w:val="none" w:sz="0" w:space="0" w:color="auto"/>
        <w:bottom w:val="none" w:sz="0" w:space="0" w:color="auto"/>
        <w:right w:val="none" w:sz="0" w:space="0" w:color="auto"/>
      </w:divBdr>
      <w:divsChild>
        <w:div w:id="82647467">
          <w:marLeft w:val="0"/>
          <w:marRight w:val="0"/>
          <w:marTop w:val="0"/>
          <w:marBottom w:val="0"/>
          <w:divBdr>
            <w:top w:val="none" w:sz="0" w:space="0" w:color="auto"/>
            <w:left w:val="none" w:sz="0" w:space="0" w:color="auto"/>
            <w:bottom w:val="none" w:sz="0" w:space="0" w:color="auto"/>
            <w:right w:val="none" w:sz="0" w:space="0" w:color="auto"/>
          </w:divBdr>
        </w:div>
        <w:div w:id="290329433">
          <w:marLeft w:val="0"/>
          <w:marRight w:val="0"/>
          <w:marTop w:val="0"/>
          <w:marBottom w:val="0"/>
          <w:divBdr>
            <w:top w:val="none" w:sz="0" w:space="0" w:color="auto"/>
            <w:left w:val="none" w:sz="0" w:space="0" w:color="auto"/>
            <w:bottom w:val="none" w:sz="0" w:space="0" w:color="auto"/>
            <w:right w:val="none" w:sz="0" w:space="0" w:color="auto"/>
          </w:divBdr>
        </w:div>
        <w:div w:id="575750223">
          <w:marLeft w:val="0"/>
          <w:marRight w:val="0"/>
          <w:marTop w:val="0"/>
          <w:marBottom w:val="0"/>
          <w:divBdr>
            <w:top w:val="none" w:sz="0" w:space="0" w:color="auto"/>
            <w:left w:val="none" w:sz="0" w:space="0" w:color="auto"/>
            <w:bottom w:val="none" w:sz="0" w:space="0" w:color="auto"/>
            <w:right w:val="none" w:sz="0" w:space="0" w:color="auto"/>
          </w:divBdr>
        </w:div>
        <w:div w:id="620308585">
          <w:marLeft w:val="0"/>
          <w:marRight w:val="0"/>
          <w:marTop w:val="0"/>
          <w:marBottom w:val="0"/>
          <w:divBdr>
            <w:top w:val="none" w:sz="0" w:space="0" w:color="auto"/>
            <w:left w:val="none" w:sz="0" w:space="0" w:color="auto"/>
            <w:bottom w:val="none" w:sz="0" w:space="0" w:color="auto"/>
            <w:right w:val="none" w:sz="0" w:space="0" w:color="auto"/>
          </w:divBdr>
        </w:div>
        <w:div w:id="811562190">
          <w:marLeft w:val="0"/>
          <w:marRight w:val="0"/>
          <w:marTop w:val="0"/>
          <w:marBottom w:val="0"/>
          <w:divBdr>
            <w:top w:val="none" w:sz="0" w:space="0" w:color="auto"/>
            <w:left w:val="none" w:sz="0" w:space="0" w:color="auto"/>
            <w:bottom w:val="none" w:sz="0" w:space="0" w:color="auto"/>
            <w:right w:val="none" w:sz="0" w:space="0" w:color="auto"/>
          </w:divBdr>
        </w:div>
        <w:div w:id="839857816">
          <w:marLeft w:val="0"/>
          <w:marRight w:val="0"/>
          <w:marTop w:val="0"/>
          <w:marBottom w:val="0"/>
          <w:divBdr>
            <w:top w:val="none" w:sz="0" w:space="0" w:color="auto"/>
            <w:left w:val="none" w:sz="0" w:space="0" w:color="auto"/>
            <w:bottom w:val="none" w:sz="0" w:space="0" w:color="auto"/>
            <w:right w:val="none" w:sz="0" w:space="0" w:color="auto"/>
          </w:divBdr>
        </w:div>
        <w:div w:id="858659488">
          <w:marLeft w:val="0"/>
          <w:marRight w:val="0"/>
          <w:marTop w:val="0"/>
          <w:marBottom w:val="0"/>
          <w:divBdr>
            <w:top w:val="none" w:sz="0" w:space="0" w:color="auto"/>
            <w:left w:val="none" w:sz="0" w:space="0" w:color="auto"/>
            <w:bottom w:val="none" w:sz="0" w:space="0" w:color="auto"/>
            <w:right w:val="none" w:sz="0" w:space="0" w:color="auto"/>
          </w:divBdr>
        </w:div>
        <w:div w:id="1058434638">
          <w:marLeft w:val="0"/>
          <w:marRight w:val="0"/>
          <w:marTop w:val="0"/>
          <w:marBottom w:val="0"/>
          <w:divBdr>
            <w:top w:val="none" w:sz="0" w:space="0" w:color="auto"/>
            <w:left w:val="none" w:sz="0" w:space="0" w:color="auto"/>
            <w:bottom w:val="none" w:sz="0" w:space="0" w:color="auto"/>
            <w:right w:val="none" w:sz="0" w:space="0" w:color="auto"/>
          </w:divBdr>
        </w:div>
        <w:div w:id="1328561151">
          <w:marLeft w:val="0"/>
          <w:marRight w:val="0"/>
          <w:marTop w:val="0"/>
          <w:marBottom w:val="0"/>
          <w:divBdr>
            <w:top w:val="none" w:sz="0" w:space="0" w:color="auto"/>
            <w:left w:val="none" w:sz="0" w:space="0" w:color="auto"/>
            <w:bottom w:val="none" w:sz="0" w:space="0" w:color="auto"/>
            <w:right w:val="none" w:sz="0" w:space="0" w:color="auto"/>
          </w:divBdr>
        </w:div>
        <w:div w:id="1398940032">
          <w:marLeft w:val="0"/>
          <w:marRight w:val="0"/>
          <w:marTop w:val="0"/>
          <w:marBottom w:val="0"/>
          <w:divBdr>
            <w:top w:val="none" w:sz="0" w:space="0" w:color="auto"/>
            <w:left w:val="none" w:sz="0" w:space="0" w:color="auto"/>
            <w:bottom w:val="none" w:sz="0" w:space="0" w:color="auto"/>
            <w:right w:val="none" w:sz="0" w:space="0" w:color="auto"/>
          </w:divBdr>
        </w:div>
        <w:div w:id="1620063055">
          <w:marLeft w:val="0"/>
          <w:marRight w:val="0"/>
          <w:marTop w:val="0"/>
          <w:marBottom w:val="0"/>
          <w:divBdr>
            <w:top w:val="none" w:sz="0" w:space="0" w:color="auto"/>
            <w:left w:val="none" w:sz="0" w:space="0" w:color="auto"/>
            <w:bottom w:val="none" w:sz="0" w:space="0" w:color="auto"/>
            <w:right w:val="none" w:sz="0" w:space="0" w:color="auto"/>
          </w:divBdr>
          <w:divsChild>
            <w:div w:id="1903247694">
              <w:marLeft w:val="-75"/>
              <w:marRight w:val="0"/>
              <w:marTop w:val="30"/>
              <w:marBottom w:val="30"/>
              <w:divBdr>
                <w:top w:val="none" w:sz="0" w:space="0" w:color="auto"/>
                <w:left w:val="none" w:sz="0" w:space="0" w:color="auto"/>
                <w:bottom w:val="none" w:sz="0" w:space="0" w:color="auto"/>
                <w:right w:val="none" w:sz="0" w:space="0" w:color="auto"/>
              </w:divBdr>
              <w:divsChild>
                <w:div w:id="490869298">
                  <w:marLeft w:val="0"/>
                  <w:marRight w:val="0"/>
                  <w:marTop w:val="0"/>
                  <w:marBottom w:val="0"/>
                  <w:divBdr>
                    <w:top w:val="none" w:sz="0" w:space="0" w:color="auto"/>
                    <w:left w:val="none" w:sz="0" w:space="0" w:color="auto"/>
                    <w:bottom w:val="none" w:sz="0" w:space="0" w:color="auto"/>
                    <w:right w:val="none" w:sz="0" w:space="0" w:color="auto"/>
                  </w:divBdr>
                  <w:divsChild>
                    <w:div w:id="662707209">
                      <w:marLeft w:val="0"/>
                      <w:marRight w:val="0"/>
                      <w:marTop w:val="0"/>
                      <w:marBottom w:val="0"/>
                      <w:divBdr>
                        <w:top w:val="none" w:sz="0" w:space="0" w:color="auto"/>
                        <w:left w:val="none" w:sz="0" w:space="0" w:color="auto"/>
                        <w:bottom w:val="none" w:sz="0" w:space="0" w:color="auto"/>
                        <w:right w:val="none" w:sz="0" w:space="0" w:color="auto"/>
                      </w:divBdr>
                    </w:div>
                  </w:divsChild>
                </w:div>
                <w:div w:id="602031613">
                  <w:marLeft w:val="0"/>
                  <w:marRight w:val="0"/>
                  <w:marTop w:val="0"/>
                  <w:marBottom w:val="0"/>
                  <w:divBdr>
                    <w:top w:val="none" w:sz="0" w:space="0" w:color="auto"/>
                    <w:left w:val="none" w:sz="0" w:space="0" w:color="auto"/>
                    <w:bottom w:val="none" w:sz="0" w:space="0" w:color="auto"/>
                    <w:right w:val="none" w:sz="0" w:space="0" w:color="auto"/>
                  </w:divBdr>
                  <w:divsChild>
                    <w:div w:id="163324946">
                      <w:marLeft w:val="0"/>
                      <w:marRight w:val="0"/>
                      <w:marTop w:val="0"/>
                      <w:marBottom w:val="0"/>
                      <w:divBdr>
                        <w:top w:val="none" w:sz="0" w:space="0" w:color="auto"/>
                        <w:left w:val="none" w:sz="0" w:space="0" w:color="auto"/>
                        <w:bottom w:val="none" w:sz="0" w:space="0" w:color="auto"/>
                        <w:right w:val="none" w:sz="0" w:space="0" w:color="auto"/>
                      </w:divBdr>
                    </w:div>
                    <w:div w:id="932663843">
                      <w:marLeft w:val="0"/>
                      <w:marRight w:val="0"/>
                      <w:marTop w:val="0"/>
                      <w:marBottom w:val="0"/>
                      <w:divBdr>
                        <w:top w:val="none" w:sz="0" w:space="0" w:color="auto"/>
                        <w:left w:val="none" w:sz="0" w:space="0" w:color="auto"/>
                        <w:bottom w:val="none" w:sz="0" w:space="0" w:color="auto"/>
                        <w:right w:val="none" w:sz="0" w:space="0" w:color="auto"/>
                      </w:divBdr>
                    </w:div>
                    <w:div w:id="1613436464">
                      <w:marLeft w:val="0"/>
                      <w:marRight w:val="0"/>
                      <w:marTop w:val="0"/>
                      <w:marBottom w:val="0"/>
                      <w:divBdr>
                        <w:top w:val="none" w:sz="0" w:space="0" w:color="auto"/>
                        <w:left w:val="none" w:sz="0" w:space="0" w:color="auto"/>
                        <w:bottom w:val="none" w:sz="0" w:space="0" w:color="auto"/>
                        <w:right w:val="none" w:sz="0" w:space="0" w:color="auto"/>
                      </w:divBdr>
                    </w:div>
                  </w:divsChild>
                </w:div>
                <w:div w:id="660735005">
                  <w:marLeft w:val="0"/>
                  <w:marRight w:val="0"/>
                  <w:marTop w:val="0"/>
                  <w:marBottom w:val="0"/>
                  <w:divBdr>
                    <w:top w:val="none" w:sz="0" w:space="0" w:color="auto"/>
                    <w:left w:val="none" w:sz="0" w:space="0" w:color="auto"/>
                    <w:bottom w:val="none" w:sz="0" w:space="0" w:color="auto"/>
                    <w:right w:val="none" w:sz="0" w:space="0" w:color="auto"/>
                  </w:divBdr>
                  <w:divsChild>
                    <w:div w:id="1024089499">
                      <w:marLeft w:val="0"/>
                      <w:marRight w:val="0"/>
                      <w:marTop w:val="0"/>
                      <w:marBottom w:val="0"/>
                      <w:divBdr>
                        <w:top w:val="none" w:sz="0" w:space="0" w:color="auto"/>
                        <w:left w:val="none" w:sz="0" w:space="0" w:color="auto"/>
                        <w:bottom w:val="none" w:sz="0" w:space="0" w:color="auto"/>
                        <w:right w:val="none" w:sz="0" w:space="0" w:color="auto"/>
                      </w:divBdr>
                    </w:div>
                  </w:divsChild>
                </w:div>
                <w:div w:id="685450528">
                  <w:marLeft w:val="0"/>
                  <w:marRight w:val="0"/>
                  <w:marTop w:val="0"/>
                  <w:marBottom w:val="0"/>
                  <w:divBdr>
                    <w:top w:val="none" w:sz="0" w:space="0" w:color="auto"/>
                    <w:left w:val="none" w:sz="0" w:space="0" w:color="auto"/>
                    <w:bottom w:val="none" w:sz="0" w:space="0" w:color="auto"/>
                    <w:right w:val="none" w:sz="0" w:space="0" w:color="auto"/>
                  </w:divBdr>
                  <w:divsChild>
                    <w:div w:id="212009946">
                      <w:marLeft w:val="0"/>
                      <w:marRight w:val="0"/>
                      <w:marTop w:val="0"/>
                      <w:marBottom w:val="0"/>
                      <w:divBdr>
                        <w:top w:val="none" w:sz="0" w:space="0" w:color="auto"/>
                        <w:left w:val="none" w:sz="0" w:space="0" w:color="auto"/>
                        <w:bottom w:val="none" w:sz="0" w:space="0" w:color="auto"/>
                        <w:right w:val="none" w:sz="0" w:space="0" w:color="auto"/>
                      </w:divBdr>
                    </w:div>
                    <w:div w:id="1013188493">
                      <w:marLeft w:val="0"/>
                      <w:marRight w:val="0"/>
                      <w:marTop w:val="0"/>
                      <w:marBottom w:val="0"/>
                      <w:divBdr>
                        <w:top w:val="none" w:sz="0" w:space="0" w:color="auto"/>
                        <w:left w:val="none" w:sz="0" w:space="0" w:color="auto"/>
                        <w:bottom w:val="none" w:sz="0" w:space="0" w:color="auto"/>
                        <w:right w:val="none" w:sz="0" w:space="0" w:color="auto"/>
                      </w:divBdr>
                    </w:div>
                    <w:div w:id="1017075311">
                      <w:marLeft w:val="0"/>
                      <w:marRight w:val="0"/>
                      <w:marTop w:val="0"/>
                      <w:marBottom w:val="0"/>
                      <w:divBdr>
                        <w:top w:val="none" w:sz="0" w:space="0" w:color="auto"/>
                        <w:left w:val="none" w:sz="0" w:space="0" w:color="auto"/>
                        <w:bottom w:val="none" w:sz="0" w:space="0" w:color="auto"/>
                        <w:right w:val="none" w:sz="0" w:space="0" w:color="auto"/>
                      </w:divBdr>
                    </w:div>
                  </w:divsChild>
                </w:div>
                <w:div w:id="982780176">
                  <w:marLeft w:val="0"/>
                  <w:marRight w:val="0"/>
                  <w:marTop w:val="0"/>
                  <w:marBottom w:val="0"/>
                  <w:divBdr>
                    <w:top w:val="none" w:sz="0" w:space="0" w:color="auto"/>
                    <w:left w:val="none" w:sz="0" w:space="0" w:color="auto"/>
                    <w:bottom w:val="none" w:sz="0" w:space="0" w:color="auto"/>
                    <w:right w:val="none" w:sz="0" w:space="0" w:color="auto"/>
                  </w:divBdr>
                  <w:divsChild>
                    <w:div w:id="1683581998">
                      <w:marLeft w:val="0"/>
                      <w:marRight w:val="0"/>
                      <w:marTop w:val="0"/>
                      <w:marBottom w:val="0"/>
                      <w:divBdr>
                        <w:top w:val="none" w:sz="0" w:space="0" w:color="auto"/>
                        <w:left w:val="none" w:sz="0" w:space="0" w:color="auto"/>
                        <w:bottom w:val="none" w:sz="0" w:space="0" w:color="auto"/>
                        <w:right w:val="none" w:sz="0" w:space="0" w:color="auto"/>
                      </w:divBdr>
                    </w:div>
                  </w:divsChild>
                </w:div>
                <w:div w:id="1176572354">
                  <w:marLeft w:val="0"/>
                  <w:marRight w:val="0"/>
                  <w:marTop w:val="0"/>
                  <w:marBottom w:val="0"/>
                  <w:divBdr>
                    <w:top w:val="none" w:sz="0" w:space="0" w:color="auto"/>
                    <w:left w:val="none" w:sz="0" w:space="0" w:color="auto"/>
                    <w:bottom w:val="none" w:sz="0" w:space="0" w:color="auto"/>
                    <w:right w:val="none" w:sz="0" w:space="0" w:color="auto"/>
                  </w:divBdr>
                  <w:divsChild>
                    <w:div w:id="350299247">
                      <w:marLeft w:val="0"/>
                      <w:marRight w:val="0"/>
                      <w:marTop w:val="0"/>
                      <w:marBottom w:val="0"/>
                      <w:divBdr>
                        <w:top w:val="none" w:sz="0" w:space="0" w:color="auto"/>
                        <w:left w:val="none" w:sz="0" w:space="0" w:color="auto"/>
                        <w:bottom w:val="none" w:sz="0" w:space="0" w:color="auto"/>
                        <w:right w:val="none" w:sz="0" w:space="0" w:color="auto"/>
                      </w:divBdr>
                    </w:div>
                    <w:div w:id="984701405">
                      <w:marLeft w:val="0"/>
                      <w:marRight w:val="0"/>
                      <w:marTop w:val="0"/>
                      <w:marBottom w:val="0"/>
                      <w:divBdr>
                        <w:top w:val="none" w:sz="0" w:space="0" w:color="auto"/>
                        <w:left w:val="none" w:sz="0" w:space="0" w:color="auto"/>
                        <w:bottom w:val="none" w:sz="0" w:space="0" w:color="auto"/>
                        <w:right w:val="none" w:sz="0" w:space="0" w:color="auto"/>
                      </w:divBdr>
                    </w:div>
                  </w:divsChild>
                </w:div>
                <w:div w:id="1219392684">
                  <w:marLeft w:val="0"/>
                  <w:marRight w:val="0"/>
                  <w:marTop w:val="0"/>
                  <w:marBottom w:val="0"/>
                  <w:divBdr>
                    <w:top w:val="none" w:sz="0" w:space="0" w:color="auto"/>
                    <w:left w:val="none" w:sz="0" w:space="0" w:color="auto"/>
                    <w:bottom w:val="none" w:sz="0" w:space="0" w:color="auto"/>
                    <w:right w:val="none" w:sz="0" w:space="0" w:color="auto"/>
                  </w:divBdr>
                  <w:divsChild>
                    <w:div w:id="1215773482">
                      <w:marLeft w:val="0"/>
                      <w:marRight w:val="0"/>
                      <w:marTop w:val="0"/>
                      <w:marBottom w:val="0"/>
                      <w:divBdr>
                        <w:top w:val="none" w:sz="0" w:space="0" w:color="auto"/>
                        <w:left w:val="none" w:sz="0" w:space="0" w:color="auto"/>
                        <w:bottom w:val="none" w:sz="0" w:space="0" w:color="auto"/>
                        <w:right w:val="none" w:sz="0" w:space="0" w:color="auto"/>
                      </w:divBdr>
                    </w:div>
                  </w:divsChild>
                </w:div>
                <w:div w:id="1371300657">
                  <w:marLeft w:val="0"/>
                  <w:marRight w:val="0"/>
                  <w:marTop w:val="0"/>
                  <w:marBottom w:val="0"/>
                  <w:divBdr>
                    <w:top w:val="none" w:sz="0" w:space="0" w:color="auto"/>
                    <w:left w:val="none" w:sz="0" w:space="0" w:color="auto"/>
                    <w:bottom w:val="none" w:sz="0" w:space="0" w:color="auto"/>
                    <w:right w:val="none" w:sz="0" w:space="0" w:color="auto"/>
                  </w:divBdr>
                  <w:divsChild>
                    <w:div w:id="583536930">
                      <w:marLeft w:val="0"/>
                      <w:marRight w:val="0"/>
                      <w:marTop w:val="0"/>
                      <w:marBottom w:val="0"/>
                      <w:divBdr>
                        <w:top w:val="none" w:sz="0" w:space="0" w:color="auto"/>
                        <w:left w:val="none" w:sz="0" w:space="0" w:color="auto"/>
                        <w:bottom w:val="none" w:sz="0" w:space="0" w:color="auto"/>
                        <w:right w:val="none" w:sz="0" w:space="0" w:color="auto"/>
                      </w:divBdr>
                    </w:div>
                  </w:divsChild>
                </w:div>
                <w:div w:id="1378121918">
                  <w:marLeft w:val="0"/>
                  <w:marRight w:val="0"/>
                  <w:marTop w:val="0"/>
                  <w:marBottom w:val="0"/>
                  <w:divBdr>
                    <w:top w:val="none" w:sz="0" w:space="0" w:color="auto"/>
                    <w:left w:val="none" w:sz="0" w:space="0" w:color="auto"/>
                    <w:bottom w:val="none" w:sz="0" w:space="0" w:color="auto"/>
                    <w:right w:val="none" w:sz="0" w:space="0" w:color="auto"/>
                  </w:divBdr>
                  <w:divsChild>
                    <w:div w:id="272320886">
                      <w:marLeft w:val="0"/>
                      <w:marRight w:val="0"/>
                      <w:marTop w:val="0"/>
                      <w:marBottom w:val="0"/>
                      <w:divBdr>
                        <w:top w:val="none" w:sz="0" w:space="0" w:color="auto"/>
                        <w:left w:val="none" w:sz="0" w:space="0" w:color="auto"/>
                        <w:bottom w:val="none" w:sz="0" w:space="0" w:color="auto"/>
                        <w:right w:val="none" w:sz="0" w:space="0" w:color="auto"/>
                      </w:divBdr>
                    </w:div>
                  </w:divsChild>
                </w:div>
                <w:div w:id="1386248633">
                  <w:marLeft w:val="0"/>
                  <w:marRight w:val="0"/>
                  <w:marTop w:val="0"/>
                  <w:marBottom w:val="0"/>
                  <w:divBdr>
                    <w:top w:val="none" w:sz="0" w:space="0" w:color="auto"/>
                    <w:left w:val="none" w:sz="0" w:space="0" w:color="auto"/>
                    <w:bottom w:val="none" w:sz="0" w:space="0" w:color="auto"/>
                    <w:right w:val="none" w:sz="0" w:space="0" w:color="auto"/>
                  </w:divBdr>
                  <w:divsChild>
                    <w:div w:id="1681859378">
                      <w:marLeft w:val="0"/>
                      <w:marRight w:val="0"/>
                      <w:marTop w:val="0"/>
                      <w:marBottom w:val="0"/>
                      <w:divBdr>
                        <w:top w:val="none" w:sz="0" w:space="0" w:color="auto"/>
                        <w:left w:val="none" w:sz="0" w:space="0" w:color="auto"/>
                        <w:bottom w:val="none" w:sz="0" w:space="0" w:color="auto"/>
                        <w:right w:val="none" w:sz="0" w:space="0" w:color="auto"/>
                      </w:divBdr>
                    </w:div>
                  </w:divsChild>
                </w:div>
                <w:div w:id="1423139386">
                  <w:marLeft w:val="0"/>
                  <w:marRight w:val="0"/>
                  <w:marTop w:val="0"/>
                  <w:marBottom w:val="0"/>
                  <w:divBdr>
                    <w:top w:val="none" w:sz="0" w:space="0" w:color="auto"/>
                    <w:left w:val="none" w:sz="0" w:space="0" w:color="auto"/>
                    <w:bottom w:val="none" w:sz="0" w:space="0" w:color="auto"/>
                    <w:right w:val="none" w:sz="0" w:space="0" w:color="auto"/>
                  </w:divBdr>
                  <w:divsChild>
                    <w:div w:id="512695183">
                      <w:marLeft w:val="0"/>
                      <w:marRight w:val="0"/>
                      <w:marTop w:val="0"/>
                      <w:marBottom w:val="0"/>
                      <w:divBdr>
                        <w:top w:val="none" w:sz="0" w:space="0" w:color="auto"/>
                        <w:left w:val="none" w:sz="0" w:space="0" w:color="auto"/>
                        <w:bottom w:val="none" w:sz="0" w:space="0" w:color="auto"/>
                        <w:right w:val="none" w:sz="0" w:space="0" w:color="auto"/>
                      </w:divBdr>
                    </w:div>
                  </w:divsChild>
                </w:div>
                <w:div w:id="1693073455">
                  <w:marLeft w:val="0"/>
                  <w:marRight w:val="0"/>
                  <w:marTop w:val="0"/>
                  <w:marBottom w:val="0"/>
                  <w:divBdr>
                    <w:top w:val="none" w:sz="0" w:space="0" w:color="auto"/>
                    <w:left w:val="none" w:sz="0" w:space="0" w:color="auto"/>
                    <w:bottom w:val="none" w:sz="0" w:space="0" w:color="auto"/>
                    <w:right w:val="none" w:sz="0" w:space="0" w:color="auto"/>
                  </w:divBdr>
                  <w:divsChild>
                    <w:div w:id="1932010995">
                      <w:marLeft w:val="0"/>
                      <w:marRight w:val="0"/>
                      <w:marTop w:val="0"/>
                      <w:marBottom w:val="0"/>
                      <w:divBdr>
                        <w:top w:val="none" w:sz="0" w:space="0" w:color="auto"/>
                        <w:left w:val="none" w:sz="0" w:space="0" w:color="auto"/>
                        <w:bottom w:val="none" w:sz="0" w:space="0" w:color="auto"/>
                        <w:right w:val="none" w:sz="0" w:space="0" w:color="auto"/>
                      </w:divBdr>
                    </w:div>
                  </w:divsChild>
                </w:div>
                <w:div w:id="1701122093">
                  <w:marLeft w:val="0"/>
                  <w:marRight w:val="0"/>
                  <w:marTop w:val="0"/>
                  <w:marBottom w:val="0"/>
                  <w:divBdr>
                    <w:top w:val="none" w:sz="0" w:space="0" w:color="auto"/>
                    <w:left w:val="none" w:sz="0" w:space="0" w:color="auto"/>
                    <w:bottom w:val="none" w:sz="0" w:space="0" w:color="auto"/>
                    <w:right w:val="none" w:sz="0" w:space="0" w:color="auto"/>
                  </w:divBdr>
                  <w:divsChild>
                    <w:div w:id="1851673291">
                      <w:marLeft w:val="0"/>
                      <w:marRight w:val="0"/>
                      <w:marTop w:val="0"/>
                      <w:marBottom w:val="0"/>
                      <w:divBdr>
                        <w:top w:val="none" w:sz="0" w:space="0" w:color="auto"/>
                        <w:left w:val="none" w:sz="0" w:space="0" w:color="auto"/>
                        <w:bottom w:val="none" w:sz="0" w:space="0" w:color="auto"/>
                        <w:right w:val="none" w:sz="0" w:space="0" w:color="auto"/>
                      </w:divBdr>
                    </w:div>
                  </w:divsChild>
                </w:div>
                <w:div w:id="1920015579">
                  <w:marLeft w:val="0"/>
                  <w:marRight w:val="0"/>
                  <w:marTop w:val="0"/>
                  <w:marBottom w:val="0"/>
                  <w:divBdr>
                    <w:top w:val="none" w:sz="0" w:space="0" w:color="auto"/>
                    <w:left w:val="none" w:sz="0" w:space="0" w:color="auto"/>
                    <w:bottom w:val="none" w:sz="0" w:space="0" w:color="auto"/>
                    <w:right w:val="none" w:sz="0" w:space="0" w:color="auto"/>
                  </w:divBdr>
                  <w:divsChild>
                    <w:div w:id="2124616264">
                      <w:marLeft w:val="0"/>
                      <w:marRight w:val="0"/>
                      <w:marTop w:val="0"/>
                      <w:marBottom w:val="0"/>
                      <w:divBdr>
                        <w:top w:val="none" w:sz="0" w:space="0" w:color="auto"/>
                        <w:left w:val="none" w:sz="0" w:space="0" w:color="auto"/>
                        <w:bottom w:val="none" w:sz="0" w:space="0" w:color="auto"/>
                        <w:right w:val="none" w:sz="0" w:space="0" w:color="auto"/>
                      </w:divBdr>
                    </w:div>
                  </w:divsChild>
                </w:div>
                <w:div w:id="1978097527">
                  <w:marLeft w:val="0"/>
                  <w:marRight w:val="0"/>
                  <w:marTop w:val="0"/>
                  <w:marBottom w:val="0"/>
                  <w:divBdr>
                    <w:top w:val="none" w:sz="0" w:space="0" w:color="auto"/>
                    <w:left w:val="none" w:sz="0" w:space="0" w:color="auto"/>
                    <w:bottom w:val="none" w:sz="0" w:space="0" w:color="auto"/>
                    <w:right w:val="none" w:sz="0" w:space="0" w:color="auto"/>
                  </w:divBdr>
                  <w:divsChild>
                    <w:div w:id="7841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008775">
          <w:marLeft w:val="0"/>
          <w:marRight w:val="0"/>
          <w:marTop w:val="0"/>
          <w:marBottom w:val="0"/>
          <w:divBdr>
            <w:top w:val="none" w:sz="0" w:space="0" w:color="auto"/>
            <w:left w:val="none" w:sz="0" w:space="0" w:color="auto"/>
            <w:bottom w:val="none" w:sz="0" w:space="0" w:color="auto"/>
            <w:right w:val="none" w:sz="0" w:space="0" w:color="auto"/>
          </w:divBdr>
        </w:div>
        <w:div w:id="1809711165">
          <w:marLeft w:val="0"/>
          <w:marRight w:val="0"/>
          <w:marTop w:val="0"/>
          <w:marBottom w:val="0"/>
          <w:divBdr>
            <w:top w:val="none" w:sz="0" w:space="0" w:color="auto"/>
            <w:left w:val="none" w:sz="0" w:space="0" w:color="auto"/>
            <w:bottom w:val="none" w:sz="0" w:space="0" w:color="auto"/>
            <w:right w:val="none" w:sz="0" w:space="0" w:color="auto"/>
          </w:divBdr>
        </w:div>
        <w:div w:id="1994599760">
          <w:marLeft w:val="0"/>
          <w:marRight w:val="0"/>
          <w:marTop w:val="0"/>
          <w:marBottom w:val="0"/>
          <w:divBdr>
            <w:top w:val="none" w:sz="0" w:space="0" w:color="auto"/>
            <w:left w:val="none" w:sz="0" w:space="0" w:color="auto"/>
            <w:bottom w:val="none" w:sz="0" w:space="0" w:color="auto"/>
            <w:right w:val="none" w:sz="0" w:space="0" w:color="auto"/>
          </w:divBdr>
        </w:div>
      </w:divsChild>
    </w:div>
    <w:div w:id="1822192876">
      <w:bodyDiv w:val="1"/>
      <w:marLeft w:val="0"/>
      <w:marRight w:val="0"/>
      <w:marTop w:val="0"/>
      <w:marBottom w:val="0"/>
      <w:divBdr>
        <w:top w:val="none" w:sz="0" w:space="0" w:color="auto"/>
        <w:left w:val="none" w:sz="0" w:space="0" w:color="auto"/>
        <w:bottom w:val="none" w:sz="0" w:space="0" w:color="auto"/>
        <w:right w:val="none" w:sz="0" w:space="0" w:color="auto"/>
      </w:divBdr>
    </w:div>
    <w:div w:id="1822691718">
      <w:bodyDiv w:val="1"/>
      <w:marLeft w:val="0"/>
      <w:marRight w:val="0"/>
      <w:marTop w:val="0"/>
      <w:marBottom w:val="0"/>
      <w:divBdr>
        <w:top w:val="none" w:sz="0" w:space="0" w:color="auto"/>
        <w:left w:val="none" w:sz="0" w:space="0" w:color="auto"/>
        <w:bottom w:val="none" w:sz="0" w:space="0" w:color="auto"/>
        <w:right w:val="none" w:sz="0" w:space="0" w:color="auto"/>
      </w:divBdr>
    </w:div>
    <w:div w:id="1842310182">
      <w:bodyDiv w:val="1"/>
      <w:marLeft w:val="0"/>
      <w:marRight w:val="0"/>
      <w:marTop w:val="0"/>
      <w:marBottom w:val="0"/>
      <w:divBdr>
        <w:top w:val="none" w:sz="0" w:space="0" w:color="auto"/>
        <w:left w:val="none" w:sz="0" w:space="0" w:color="auto"/>
        <w:bottom w:val="none" w:sz="0" w:space="0" w:color="auto"/>
        <w:right w:val="none" w:sz="0" w:space="0" w:color="auto"/>
      </w:divBdr>
    </w:div>
    <w:div w:id="1858693829">
      <w:bodyDiv w:val="1"/>
      <w:marLeft w:val="0"/>
      <w:marRight w:val="0"/>
      <w:marTop w:val="0"/>
      <w:marBottom w:val="0"/>
      <w:divBdr>
        <w:top w:val="none" w:sz="0" w:space="0" w:color="auto"/>
        <w:left w:val="none" w:sz="0" w:space="0" w:color="auto"/>
        <w:bottom w:val="none" w:sz="0" w:space="0" w:color="auto"/>
        <w:right w:val="none" w:sz="0" w:space="0" w:color="auto"/>
      </w:divBdr>
    </w:div>
    <w:div w:id="1882092352">
      <w:bodyDiv w:val="1"/>
      <w:marLeft w:val="0"/>
      <w:marRight w:val="0"/>
      <w:marTop w:val="0"/>
      <w:marBottom w:val="0"/>
      <w:divBdr>
        <w:top w:val="none" w:sz="0" w:space="0" w:color="auto"/>
        <w:left w:val="none" w:sz="0" w:space="0" w:color="auto"/>
        <w:bottom w:val="none" w:sz="0" w:space="0" w:color="auto"/>
        <w:right w:val="none" w:sz="0" w:space="0" w:color="auto"/>
      </w:divBdr>
    </w:div>
    <w:div w:id="1896116783">
      <w:bodyDiv w:val="1"/>
      <w:marLeft w:val="0"/>
      <w:marRight w:val="0"/>
      <w:marTop w:val="0"/>
      <w:marBottom w:val="0"/>
      <w:divBdr>
        <w:top w:val="none" w:sz="0" w:space="0" w:color="auto"/>
        <w:left w:val="none" w:sz="0" w:space="0" w:color="auto"/>
        <w:bottom w:val="none" w:sz="0" w:space="0" w:color="auto"/>
        <w:right w:val="none" w:sz="0" w:space="0" w:color="auto"/>
      </w:divBdr>
    </w:div>
    <w:div w:id="1916937474">
      <w:bodyDiv w:val="1"/>
      <w:marLeft w:val="0"/>
      <w:marRight w:val="0"/>
      <w:marTop w:val="0"/>
      <w:marBottom w:val="0"/>
      <w:divBdr>
        <w:top w:val="none" w:sz="0" w:space="0" w:color="auto"/>
        <w:left w:val="none" w:sz="0" w:space="0" w:color="auto"/>
        <w:bottom w:val="none" w:sz="0" w:space="0" w:color="auto"/>
        <w:right w:val="none" w:sz="0" w:space="0" w:color="auto"/>
      </w:divBdr>
    </w:div>
    <w:div w:id="1925413684">
      <w:bodyDiv w:val="1"/>
      <w:marLeft w:val="0"/>
      <w:marRight w:val="0"/>
      <w:marTop w:val="0"/>
      <w:marBottom w:val="0"/>
      <w:divBdr>
        <w:top w:val="none" w:sz="0" w:space="0" w:color="auto"/>
        <w:left w:val="none" w:sz="0" w:space="0" w:color="auto"/>
        <w:bottom w:val="none" w:sz="0" w:space="0" w:color="auto"/>
        <w:right w:val="none" w:sz="0" w:space="0" w:color="auto"/>
      </w:divBdr>
    </w:div>
    <w:div w:id="1946498087">
      <w:bodyDiv w:val="1"/>
      <w:marLeft w:val="0"/>
      <w:marRight w:val="0"/>
      <w:marTop w:val="0"/>
      <w:marBottom w:val="0"/>
      <w:divBdr>
        <w:top w:val="none" w:sz="0" w:space="0" w:color="auto"/>
        <w:left w:val="none" w:sz="0" w:space="0" w:color="auto"/>
        <w:bottom w:val="none" w:sz="0" w:space="0" w:color="auto"/>
        <w:right w:val="none" w:sz="0" w:space="0" w:color="auto"/>
      </w:divBdr>
    </w:div>
    <w:div w:id="1977562662">
      <w:bodyDiv w:val="1"/>
      <w:marLeft w:val="0"/>
      <w:marRight w:val="0"/>
      <w:marTop w:val="0"/>
      <w:marBottom w:val="0"/>
      <w:divBdr>
        <w:top w:val="none" w:sz="0" w:space="0" w:color="auto"/>
        <w:left w:val="none" w:sz="0" w:space="0" w:color="auto"/>
        <w:bottom w:val="none" w:sz="0" w:space="0" w:color="auto"/>
        <w:right w:val="none" w:sz="0" w:space="0" w:color="auto"/>
      </w:divBdr>
    </w:div>
    <w:div w:id="2007437974">
      <w:bodyDiv w:val="1"/>
      <w:marLeft w:val="0"/>
      <w:marRight w:val="0"/>
      <w:marTop w:val="0"/>
      <w:marBottom w:val="0"/>
      <w:divBdr>
        <w:top w:val="none" w:sz="0" w:space="0" w:color="auto"/>
        <w:left w:val="none" w:sz="0" w:space="0" w:color="auto"/>
        <w:bottom w:val="none" w:sz="0" w:space="0" w:color="auto"/>
        <w:right w:val="none" w:sz="0" w:space="0" w:color="auto"/>
      </w:divBdr>
    </w:div>
    <w:div w:id="2025015295">
      <w:bodyDiv w:val="1"/>
      <w:marLeft w:val="0"/>
      <w:marRight w:val="0"/>
      <w:marTop w:val="0"/>
      <w:marBottom w:val="0"/>
      <w:divBdr>
        <w:top w:val="none" w:sz="0" w:space="0" w:color="auto"/>
        <w:left w:val="none" w:sz="0" w:space="0" w:color="auto"/>
        <w:bottom w:val="none" w:sz="0" w:space="0" w:color="auto"/>
        <w:right w:val="none" w:sz="0" w:space="0" w:color="auto"/>
      </w:divBdr>
    </w:div>
    <w:div w:id="2033677974">
      <w:bodyDiv w:val="1"/>
      <w:marLeft w:val="0"/>
      <w:marRight w:val="0"/>
      <w:marTop w:val="0"/>
      <w:marBottom w:val="0"/>
      <w:divBdr>
        <w:top w:val="none" w:sz="0" w:space="0" w:color="auto"/>
        <w:left w:val="none" w:sz="0" w:space="0" w:color="auto"/>
        <w:bottom w:val="none" w:sz="0" w:space="0" w:color="auto"/>
        <w:right w:val="none" w:sz="0" w:space="0" w:color="auto"/>
      </w:divBdr>
    </w:div>
    <w:div w:id="2039041560">
      <w:bodyDiv w:val="1"/>
      <w:marLeft w:val="0"/>
      <w:marRight w:val="0"/>
      <w:marTop w:val="0"/>
      <w:marBottom w:val="0"/>
      <w:divBdr>
        <w:top w:val="none" w:sz="0" w:space="0" w:color="auto"/>
        <w:left w:val="none" w:sz="0" w:space="0" w:color="auto"/>
        <w:bottom w:val="none" w:sz="0" w:space="0" w:color="auto"/>
        <w:right w:val="none" w:sz="0" w:space="0" w:color="auto"/>
      </w:divBdr>
    </w:div>
    <w:div w:id="2054188160">
      <w:bodyDiv w:val="1"/>
      <w:marLeft w:val="0"/>
      <w:marRight w:val="0"/>
      <w:marTop w:val="0"/>
      <w:marBottom w:val="0"/>
      <w:divBdr>
        <w:top w:val="none" w:sz="0" w:space="0" w:color="auto"/>
        <w:left w:val="none" w:sz="0" w:space="0" w:color="auto"/>
        <w:bottom w:val="none" w:sz="0" w:space="0" w:color="auto"/>
        <w:right w:val="none" w:sz="0" w:space="0" w:color="auto"/>
      </w:divBdr>
    </w:div>
    <w:div w:id="2060200241">
      <w:bodyDiv w:val="1"/>
      <w:marLeft w:val="0"/>
      <w:marRight w:val="0"/>
      <w:marTop w:val="0"/>
      <w:marBottom w:val="0"/>
      <w:divBdr>
        <w:top w:val="none" w:sz="0" w:space="0" w:color="auto"/>
        <w:left w:val="none" w:sz="0" w:space="0" w:color="auto"/>
        <w:bottom w:val="none" w:sz="0" w:space="0" w:color="auto"/>
        <w:right w:val="none" w:sz="0" w:space="0" w:color="auto"/>
      </w:divBdr>
    </w:div>
    <w:div w:id="2061590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4.xml"/><Relationship Id="rId39" Type="http://schemas.openxmlformats.org/officeDocument/2006/relationships/hyperlink" Target="https://europa.eu/!jV77BQ" TargetMode="External"/><Relationship Id="rId21" Type="http://schemas.openxmlformats.org/officeDocument/2006/relationships/image" Target="media/image5.png"/><Relationship Id="rId34" Type="http://schemas.openxmlformats.org/officeDocument/2006/relationships/chart" Target="charts/chart5.xml"/><Relationship Id="rId42" Type="http://schemas.openxmlformats.org/officeDocument/2006/relationships/hyperlink" Target="https://europa.eu/!BJ66th" TargetMode="External"/><Relationship Id="rId47" Type="http://schemas.openxmlformats.org/officeDocument/2006/relationships/hyperlink" Target="https://defence-industry-space.ec.europa.eu/document/download/f1e6ba44-4720-4f14-a991-a3a7f3afb475_en?filename=Staff%20Working%20Document%20on%20EDIP.PDF" TargetMode="External"/><Relationship Id="rId50" Type="http://schemas.openxmlformats.org/officeDocument/2006/relationships/hyperlink" Target="https://ec.europa.eu/info/law/better-regulation/have-your-say/initiatives/13948-Mid-term-evaluation-of-the-Space-Programme_en" TargetMode="External"/><Relationship Id="rId55"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6.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hyperlink" Target="https://commission.europa.eu/about/departments-and-executive-agencies/economic-and-financial-affairs/evaluation-reports-economic-and-financial-affairs-policies-and-spending-activities/interim-evaluation-investeu-programme_en" TargetMode="External"/><Relationship Id="rId45" Type="http://schemas.openxmlformats.org/officeDocument/2006/relationships/hyperlink" Target="https://eur-lex.europa.eu/legal-content/EN/TXT/?uri=CELEX:52018SC0312" TargetMode="Externa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svg"/><Relationship Id="rId27" Type="http://schemas.openxmlformats.org/officeDocument/2006/relationships/footer" Target="footer5.xm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hyperlink" Target="https://europa.eu/!Xg96fp" TargetMode="External"/><Relationship Id="rId48" Type="http://schemas.openxmlformats.org/officeDocument/2006/relationships/hyperlink" Target="https://ec.europa.eu/info/law/better-regulation/have-your-say/initiatives/13189-EU-space-policy-space-based-secure-connectivity-initiative_en" TargetMode="External"/><Relationship Id="rId5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ec.europa.eu/transparency/documents-register/detail?ref=SWD(2018)289&amp;lang=e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hyperlink" Target="https://europa.eu/!PD77Xj" TargetMode="External"/><Relationship Id="rId20" Type="http://schemas.openxmlformats.org/officeDocument/2006/relationships/image" Target="media/image4.png"/><Relationship Id="rId41" Type="http://schemas.openxmlformats.org/officeDocument/2006/relationships/hyperlink" Target="https://europa.eu/!Px33mc"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c.europa.eu/info/law/better-regulation/have-your-say/initiatives/14521-EUs-next-long-term-budget-MFF-EU-funding-for-competitiveness_en" TargetMode="External"/><Relationship Id="rId28" Type="http://schemas.openxmlformats.org/officeDocument/2006/relationships/header" Target="header6.xml"/><Relationship Id="rId36" Type="http://schemas.openxmlformats.org/officeDocument/2006/relationships/chart" Target="charts/chart7.xml"/><Relationship Id="rId49" Type="http://schemas.openxmlformats.org/officeDocument/2006/relationships/hyperlink" Target="https://ec.europa.eu/info/law/better-regulation/have-your-say/initiatives/1806-Multiannual-Financial-Framework-Space-programme-2021-2027_en"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hyperlink" Target="https://eur-lex.europa.eu/legal-content/EN/TXT/?uri=celex:52018SC0292" TargetMode="External"/><Relationship Id="rId52" Type="http://schemas.openxmlformats.org/officeDocument/2006/relationships/hyperlink" Target="https://eur-lex.europa.eu/legal-content/EN/TXT/?qid=1540389285918&amp;uri=CELEX%3A52018SC0320"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single-market-economy.ec.europa.eu/publications/2025-annual-single-market-and-competitiveness-report_en" TargetMode="External"/><Relationship Id="rId18" Type="http://schemas.openxmlformats.org/officeDocument/2006/relationships/hyperlink" Target="https://op.europa.eu/webpub/eca/special-reports/eu-financial-landscape-05-2023/en/" TargetMode="External"/><Relationship Id="rId26" Type="http://schemas.openxmlformats.org/officeDocument/2006/relationships/hyperlink" Target="https://data.europa.eu/doi/10.2777/965670" TargetMode="External"/><Relationship Id="rId39" Type="http://schemas.openxmlformats.org/officeDocument/2006/relationships/hyperlink" Target="https://www.eca.europa.eu/en/publications/SR-2023-17" TargetMode="External"/><Relationship Id="rId21" Type="http://schemas.openxmlformats.org/officeDocument/2006/relationships/hyperlink" Target="https://advancedskills.eu/wp-content/uploads/2023/10/D2.2_LEADS_GAP_ANALYSIS_v1.0.pdf" TargetMode="External"/><Relationship Id="rId34" Type="http://schemas.openxmlformats.org/officeDocument/2006/relationships/hyperlink" Target="https://digital-strategy.ec.europa.eu/en/library/2023-report-state-digital-decade" TargetMode="External"/><Relationship Id="rId42" Type="http://schemas.openxmlformats.org/officeDocument/2006/relationships/hyperlink" Target="https://data.europa.eu/doi/10.2777/499132" TargetMode="External"/><Relationship Id="rId47" Type="http://schemas.openxmlformats.org/officeDocument/2006/relationships/hyperlink" Target="https://employment-social-affairs.ec.europa.eu/policies-and-activities/skills-and-qualifications/european-skills-agenda_en" TargetMode="External"/><Relationship Id="rId50" Type="http://schemas.openxmlformats.org/officeDocument/2006/relationships/hyperlink" Target="https://data.europa.eu/doi/10.2777/2295765" TargetMode="External"/><Relationship Id="rId7" Type="http://schemas.openxmlformats.org/officeDocument/2006/relationships/hyperlink" Target="https://apply07.grants.gov/apply/opportunities/instructions/PKG00283822-instructions.pdf?utm_source=chatgpt.com" TargetMode="External"/><Relationship Id="rId2" Type="http://schemas.openxmlformats.org/officeDocument/2006/relationships/hyperlink" Target="https://commission.europa.eu/topics/strengthening-european-competitiveness/eu-competitiveness-looking-ahead_en" TargetMode="External"/><Relationship Id="rId16" Type="http://schemas.openxmlformats.org/officeDocument/2006/relationships/hyperlink" Target="https://www.weforum.org/stories/2024/10/sustainable-financing-models-help-fight-against-antimicrobial-resistance/" TargetMode="External"/><Relationship Id="rId29" Type="http://schemas.openxmlformats.org/officeDocument/2006/relationships/hyperlink" Target="https://commission.europa.eu/document/download/ec1409c1-d4b4-4882-8bdd-3519f86bbb92_en?filename=The%20future%20of%20European%20competitiveness_%20In-depth%20analysis%20and%20recommendations_0.pdf" TargetMode="External"/><Relationship Id="rId11" Type="http://schemas.openxmlformats.org/officeDocument/2006/relationships/hyperlink" Target="https://commission.europa.eu/topics/strengthening-european-competitiveness/eu-competitiveness-looking-ahead_en" TargetMode="External"/><Relationship Id="rId24" Type="http://schemas.openxmlformats.org/officeDocument/2006/relationships/hyperlink" Target="https://data.europa.eu/doi/10.2777/965670" TargetMode="External"/><Relationship Id="rId32" Type="http://schemas.openxmlformats.org/officeDocument/2006/relationships/hyperlink" Target="https://data.europa.eu/doi/10.2777/965670" TargetMode="External"/><Relationship Id="rId37" Type="http://schemas.openxmlformats.org/officeDocument/2006/relationships/hyperlink" Target="https://commission.europa.eu/document/download/97e481fd-2dc3-412d-be4c-f152a8232961_en?filename=The%20future%20of%20European%20competitiveness%20_%20A%20competitiveness%20strategy%20for%20Europe.pdf" TargetMode="External"/><Relationship Id="rId40" Type="http://schemas.openxmlformats.org/officeDocument/2006/relationships/hyperlink" Target="https://op.europa.eu/en/publication-detail/-/publication/864c619c-e386-11ef-be2a-01aa75ed71a1/language-en" TargetMode="External"/><Relationship Id="rId45" Type="http://schemas.openxmlformats.org/officeDocument/2006/relationships/hyperlink" Target="file:///C:/Users/pasquna/Downloads/)%20https:/data.europa.eu/doi/10.2777/845650" TargetMode="External"/><Relationship Id="rId53" Type="http://schemas.openxmlformats.org/officeDocument/2006/relationships/hyperlink" Target="https://data.europa.eu/doi/10.2777/67934" TargetMode="External"/><Relationship Id="rId5" Type="http://schemas.openxmlformats.org/officeDocument/2006/relationships/hyperlink" Target="https://commission.europa.eu/topics/strengthening-european-competitiveness/eu-competitiveness-looking-ahead_en" TargetMode="External"/><Relationship Id="rId10" Type="http://schemas.openxmlformats.org/officeDocument/2006/relationships/hyperlink" Target="https://commission.europa.eu/document/download/ec1409c1-d4b4-4882-8bdd-3519f86bbb92_en?filename=The%20future%20of%20European%20competitiveness_%20In-depth%20analysis%20and%20recommendations_0.pdf" TargetMode="External"/><Relationship Id="rId19" Type="http://schemas.openxmlformats.org/officeDocument/2006/relationships/hyperlink" Target="https://commission.europa.eu/topics/strengthening-european-competitiveness/eu-competitiveness-looking-ahead_en" TargetMode="External"/><Relationship Id="rId31" Type="http://schemas.openxmlformats.org/officeDocument/2006/relationships/hyperlink" Target="https://data.europa.eu/doi/10.2777/3117336" TargetMode="External"/><Relationship Id="rId44" Type="http://schemas.openxmlformats.org/officeDocument/2006/relationships/hyperlink" Target="https://www.eca.europa.eu/en/publications/sr-2025-07" TargetMode="External"/><Relationship Id="rId52" Type="http://schemas.openxmlformats.org/officeDocument/2006/relationships/hyperlink" Target="https://data.europa.eu/doi/10.2777/845650" TargetMode="External"/><Relationship Id="rId4" Type="http://schemas.openxmlformats.org/officeDocument/2006/relationships/hyperlink" Target="https://commission.europa.eu/topics/strengthening-european-competitiveness/eu-competitiveness-looking-ahead_en" TargetMode="External"/><Relationship Id="rId9" Type="http://schemas.openxmlformats.org/officeDocument/2006/relationships/hyperlink" Target="https://ec.europa.eu/invest-in-research/action/history_en.htm" TargetMode="External"/><Relationship Id="rId14" Type="http://schemas.openxmlformats.org/officeDocument/2006/relationships/hyperlink" Target="https://commission.europa.eu/topics/strengthening-european-competitiveness/eu-competitiveness-looking-ahead_en" TargetMode="External"/><Relationship Id="rId22" Type="http://schemas.openxmlformats.org/officeDocument/2006/relationships/hyperlink" Target="https://commission.europa.eu/topics/strengthening-european-competitiveness/eu-competitiveness-looking-ahead_en" TargetMode="External"/><Relationship Id="rId27" Type="http://schemas.openxmlformats.org/officeDocument/2006/relationships/hyperlink" Target="https://data.europa.eu/doi/10.2777/646835" TargetMode="External"/><Relationship Id="rId30" Type="http://schemas.openxmlformats.org/officeDocument/2006/relationships/hyperlink" Target="https://data.europa.eu/doi/10.2777/3869663" TargetMode="External"/><Relationship Id="rId35" Type="http://schemas.openxmlformats.org/officeDocument/2006/relationships/hyperlink" Target="https://www.eca.europa.eu/en/publications/SR-2025-12" TargetMode="External"/><Relationship Id="rId43" Type="http://schemas.openxmlformats.org/officeDocument/2006/relationships/hyperlink" Target="https://data.europa.eu/doi/10.2777/682623" TargetMode="External"/><Relationship Id="rId48" Type="http://schemas.openxmlformats.org/officeDocument/2006/relationships/hyperlink" Target="https://data.europa.eu/doi/10.2777/616617" TargetMode="External"/><Relationship Id="rId8" Type="http://schemas.openxmlformats.org/officeDocument/2006/relationships/hyperlink" Target="https://commission.europa.eu/topics/strengthening-european-competitiveness/eu-competitiveness-looking-ahead_en" TargetMode="External"/><Relationship Id="rId51" Type="http://schemas.openxmlformats.org/officeDocument/2006/relationships/hyperlink" Target="https://data.europa.eu/doi/10.2777/797281" TargetMode="External"/><Relationship Id="rId3" Type="http://schemas.openxmlformats.org/officeDocument/2006/relationships/hyperlink" Target="https://www.imf.org/en/Blogs/Articles/2024/07/15/europe-can-better-support-venture-capital-to-boost-growth-and-productivity" TargetMode="External"/><Relationship Id="rId12" Type="http://schemas.openxmlformats.org/officeDocument/2006/relationships/hyperlink" Target="https://data.europa.eu/doi/10.2777/3869663" TargetMode="External"/><Relationship Id="rId17" Type="http://schemas.openxmlformats.org/officeDocument/2006/relationships/hyperlink" Target="https://commission.europa.eu/topics/strengthening-european-competitiveness/eu-competitiveness-looking-ahead_en" TargetMode="External"/><Relationship Id="rId25" Type="http://schemas.openxmlformats.org/officeDocument/2006/relationships/hyperlink" Target="https://commission.europa.eu/document/download/ec1409c1-d4b4-4882-8bdd-3519f86bbb92_en?filename=The%20future%20of%20European%20competitiveness_%20In-depth%20analysis%20and%20recommendations_0.pdf" TargetMode="External"/><Relationship Id="rId33" Type="http://schemas.openxmlformats.org/officeDocument/2006/relationships/hyperlink" Target="https://commission.europa.eu/strategy-and-policy/eu-budget/performance-and-reporting/horizontal-priorities/digital-tracking_en" TargetMode="External"/><Relationship Id="rId38" Type="http://schemas.openxmlformats.org/officeDocument/2006/relationships/hyperlink" Target="https://environment.ec.europa.eu/publications/proposal-revised-urban-wastewater-treatment-directive_en" TargetMode="External"/><Relationship Id="rId46" Type="http://schemas.openxmlformats.org/officeDocument/2006/relationships/hyperlink" Target="https://data.europa.eu/doi/10.2777/646835" TargetMode="External"/><Relationship Id="rId20" Type="http://schemas.openxmlformats.org/officeDocument/2006/relationships/hyperlink" Target="https://year-of-skills.europa.eu/publications/european-year-skills-skills-shortages-recruitment-and-retention-strategies-small-and-medium-sized_en?prefLang=el" TargetMode="External"/><Relationship Id="rId41" Type="http://schemas.openxmlformats.org/officeDocument/2006/relationships/hyperlink" Target="https://ec.europa.eu/commission/presscorner/api/files/document/print/en/speech_25_471/SPEECH_25_471_EN.pdf" TargetMode="External"/><Relationship Id="rId54" Type="http://schemas.openxmlformats.org/officeDocument/2006/relationships/hyperlink" Target="https://data.europa.eu/doi/10.2777/499132" TargetMode="External"/><Relationship Id="rId1" Type="http://schemas.openxmlformats.org/officeDocument/2006/relationships/hyperlink" Target="https://commission.europa.eu/topics/strengthening-european-competitiveness/eu-competitiveness-looking-ahead_en" TargetMode="External"/><Relationship Id="rId6" Type="http://schemas.openxmlformats.org/officeDocument/2006/relationships/hyperlink" Target="https://commission.europa.eu/topics/strengthening-european-competitiveness/eu-competitiveness-looking-ahead_en" TargetMode="External"/><Relationship Id="rId15" Type="http://schemas.openxmlformats.org/officeDocument/2006/relationships/hyperlink" Target="https://www.eib.org/attachments/lucalli/20240101_financing_sustainable_liquid_fuel_projects_in_europe_en.pdf" TargetMode="External"/><Relationship Id="rId23" Type="http://schemas.openxmlformats.org/officeDocument/2006/relationships/hyperlink" Target="https://doi.org/10.1787/fa5494aa" TargetMode="External"/><Relationship Id="rId28" Type="http://schemas.openxmlformats.org/officeDocument/2006/relationships/hyperlink" Target="https://publications.jrc.ec.europa.eu/repository/handle/JRC128093" TargetMode="External"/><Relationship Id="rId36" Type="http://schemas.openxmlformats.org/officeDocument/2006/relationships/hyperlink" Target="https://commission.europa.eu/document/download/97e481fd-2dc3-412d-be4c-f152a8232961_en?filename=The%20future%20of%20European%20competitiveness%20_%20A%20competitiveness%20strategy%20for%20Europe.pdf" TargetMode="External"/><Relationship Id="rId49" Type="http://schemas.openxmlformats.org/officeDocument/2006/relationships/hyperlink" Target="https://www.ecb.europa.eu/pub/pdf/scpops/ecb.op367~16f0cba571.en.pdf?b4586da27ae891061b5e1671a7087c6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orota.sokolovska\Downloads\COMP%20PC%20tables_08%200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orota.sokolovska\Downloads\COMP%20PC%20tables_08%200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orota.sokolovska\Downloads\COMP%20PC%20tables_08%200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net1.cec.eu.int\JRC\DDG2\B\7\4.%20TEDAM\OngoingEmpiricalProjects\Next%20MFF\COMPETITIVENESS%20FUND\RHOMOLO_newdata08_v1\RHOMOLO_results\RHOMOLO_output_files\Comp%20Fund%20Elaborations_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N=2 034</a:t>
            </a:r>
          </a:p>
        </c:rich>
      </c:tx>
      <c:layout>
        <c:manualLayout>
          <c:xMode val="edge"/>
          <c:yMode val="edge"/>
          <c:x val="0.44590789787640184"/>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7160509894940823E-2"/>
          <c:y val="0.11934617107030898"/>
          <c:w val="0.5802325329168565"/>
          <c:h val="0.83139274518584882"/>
        </c:manualLayout>
      </c:layout>
      <c:barChart>
        <c:barDir val="col"/>
        <c:grouping val="clustered"/>
        <c:varyColors val="0"/>
        <c:ser>
          <c:idx val="0"/>
          <c:order val="0"/>
          <c:tx>
            <c:strRef>
              <c:f>'About you'!$A$2</c:f>
              <c:strCache>
                <c:ptCount val="1"/>
                <c:pt idx="0">
                  <c:v>EU Citizen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'About you'!$B$2</c:f>
              <c:numCache>
                <c:formatCode>General</c:formatCode>
                <c:ptCount val="1"/>
                <c:pt idx="0">
                  <c:v>520</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A27C-4636-9573-D8C65A95BB55}"/>
            </c:ext>
          </c:extLst>
        </c:ser>
        <c:ser>
          <c:idx val="1"/>
          <c:order val="1"/>
          <c:tx>
            <c:strRef>
              <c:f>'About you'!$A$3</c:f>
              <c:strCache>
                <c:ptCount val="1"/>
                <c:pt idx="0">
                  <c:v>Academic/Research Institution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'About you'!$B$3</c:f>
              <c:numCache>
                <c:formatCode>General</c:formatCode>
                <c:ptCount val="1"/>
                <c:pt idx="0">
                  <c:v>450</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A27C-4636-9573-D8C65A95BB55}"/>
            </c:ext>
          </c:extLst>
        </c:ser>
        <c:ser>
          <c:idx val="2"/>
          <c:order val="2"/>
          <c:tx>
            <c:strRef>
              <c:f>'About you'!$A$4</c:f>
              <c:strCache>
                <c:ptCount val="1"/>
                <c:pt idx="0">
                  <c:v>Public authority</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'About you'!$B$4</c:f>
              <c:numCache>
                <c:formatCode>General</c:formatCode>
                <c:ptCount val="1"/>
                <c:pt idx="0">
                  <c:v>259</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A27C-4636-9573-D8C65A95BB55}"/>
            </c:ext>
          </c:extLst>
        </c:ser>
        <c:ser>
          <c:idx val="3"/>
          <c:order val="3"/>
          <c:tx>
            <c:strRef>
              <c:f>'About you'!$A$5</c:f>
              <c:strCache>
                <c:ptCount val="1"/>
                <c:pt idx="0">
                  <c:v>Company/business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'About you'!$B$5</c:f>
              <c:numCache>
                <c:formatCode>General</c:formatCode>
                <c:ptCount val="1"/>
                <c:pt idx="0">
                  <c:v>218</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3-A27C-4636-9573-D8C65A95BB55}"/>
            </c:ext>
          </c:extLst>
        </c:ser>
        <c:ser>
          <c:idx val="4"/>
          <c:order val="4"/>
          <c:tx>
            <c:strRef>
              <c:f>'About you'!$A$6</c:f>
              <c:strCache>
                <c:ptCount val="1"/>
                <c:pt idx="0">
                  <c:v>NGO (Non-governmental organisation)</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'About you'!$B$6</c:f>
              <c:numCache>
                <c:formatCode>General</c:formatCode>
                <c:ptCount val="1"/>
                <c:pt idx="0">
                  <c:v>204</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4-A27C-4636-9573-D8C65A95BB55}"/>
            </c:ext>
          </c:extLst>
        </c:ser>
        <c:ser>
          <c:idx val="5"/>
          <c:order val="5"/>
          <c:tx>
            <c:strRef>
              <c:f>'About you'!$A$7</c:f>
              <c:strCache>
                <c:ptCount val="1"/>
                <c:pt idx="0">
                  <c:v>Business Association</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'About you'!$B$7</c:f>
              <c:numCache>
                <c:formatCode>General</c:formatCode>
                <c:ptCount val="1"/>
                <c:pt idx="0">
                  <c:v>178</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5-A27C-4636-9573-D8C65A95BB55}"/>
            </c:ext>
          </c:extLst>
        </c:ser>
        <c:ser>
          <c:idx val="6"/>
          <c:order val="6"/>
          <c:tx>
            <c:strRef>
              <c:f>'About you'!$A$8</c:f>
              <c:strCache>
                <c:ptCount val="1"/>
                <c:pt idx="0">
                  <c:v>Other</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'About you'!$B$8</c:f>
              <c:numCache>
                <c:formatCode>General</c:formatCode>
                <c:ptCount val="1"/>
                <c:pt idx="0">
                  <c:v>146</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6-A27C-4636-9573-D8C65A95BB55}"/>
            </c:ext>
          </c:extLst>
        </c:ser>
        <c:ser>
          <c:idx val="7"/>
          <c:order val="7"/>
          <c:tx>
            <c:strRef>
              <c:f>'About you'!$A$9</c:f>
              <c:strCache>
                <c:ptCount val="1"/>
                <c:pt idx="0">
                  <c:v>Non-EU Citizen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'About you'!$B$9</c:f>
              <c:numCache>
                <c:formatCode>General</c:formatCode>
                <c:ptCount val="1"/>
                <c:pt idx="0">
                  <c:v>23</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7-A27C-4636-9573-D8C65A95BB55}"/>
            </c:ext>
          </c:extLst>
        </c:ser>
        <c:ser>
          <c:idx val="8"/>
          <c:order val="8"/>
          <c:tx>
            <c:strRef>
              <c:f>'About you'!$A$10</c:f>
              <c:strCache>
                <c:ptCount val="1"/>
                <c:pt idx="0">
                  <c:v>Environmental Organisation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'About you'!$B$10</c:f>
              <c:numCache>
                <c:formatCode>General</c:formatCode>
                <c:ptCount val="1"/>
                <c:pt idx="0">
                  <c:v>18</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8-A27C-4636-9573-D8C65A95BB55}"/>
            </c:ext>
          </c:extLst>
        </c:ser>
        <c:ser>
          <c:idx val="9"/>
          <c:order val="9"/>
          <c:tx>
            <c:strRef>
              <c:f>'About you'!$A$11</c:f>
              <c:strCache>
                <c:ptCount val="1"/>
                <c:pt idx="0">
                  <c:v>Trade Union</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'About you'!$B$11</c:f>
              <c:numCache>
                <c:formatCode>General</c:formatCode>
                <c:ptCount val="1"/>
                <c:pt idx="0">
                  <c:v>16</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9-A27C-4636-9573-D8C65A95BB55}"/>
            </c:ext>
          </c:extLst>
        </c:ser>
        <c:ser>
          <c:idx val="10"/>
          <c:order val="10"/>
          <c:tx>
            <c:strRef>
              <c:f>'About you'!$A$12</c:f>
              <c:strCache>
                <c:ptCount val="1"/>
                <c:pt idx="0">
                  <c:v>Consumer Organisation</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'About you'!$B$12</c:f>
              <c:numCache>
                <c:formatCode>General</c:formatCode>
                <c:ptCount val="1"/>
                <c:pt idx="0">
                  <c:v>2</c:v>
                </c:pt>
              </c:numCache>
            </c:numRef>
          </c:val>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A-A27C-4636-9573-D8C65A95BB55}"/>
            </c:ext>
          </c:extLst>
        </c:ser>
        <c:dLbls>
          <c:dLblPos val="outEnd"/>
          <c:showLegendKey val="0"/>
          <c:showVal val="1"/>
          <c:showCatName val="0"/>
          <c:showSerName val="0"/>
          <c:showPercent val="0"/>
          <c:showBubbleSize val="0"/>
        </c:dLbls>
        <c:gapWidth val="219"/>
        <c:axId val="1197184655"/>
        <c:axId val="1197189935"/>
      </c:barChart>
      <c:catAx>
        <c:axId val="1197184655"/>
        <c:scaling>
          <c:orientation val="minMax"/>
        </c:scaling>
        <c:delete val="1"/>
        <c:axPos val="b"/>
        <c:numFmt formatCode="General" sourceLinked="1"/>
        <c:majorTickMark val="none"/>
        <c:minorTickMark val="none"/>
        <c:tickLblPos val="nextTo"/>
        <c:crossAx val="1197189935"/>
        <c:crosses val="autoZero"/>
        <c:auto val="1"/>
        <c:lblAlgn val="ctr"/>
        <c:lblOffset val="100"/>
        <c:noMultiLvlLbl val="0"/>
      </c:catAx>
      <c:valAx>
        <c:axId val="11971899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184655"/>
        <c:crosses val="autoZero"/>
        <c:crossBetween val="between"/>
      </c:valAx>
      <c:spPr>
        <a:noFill/>
        <a:ln>
          <a:noFill/>
        </a:ln>
        <a:effectLst/>
      </c:spPr>
    </c:plotArea>
    <c:legend>
      <c:legendPos val="r"/>
      <c:layout>
        <c:manualLayout>
          <c:xMode val="edge"/>
          <c:yMode val="edge"/>
          <c:x val="0.68524562012393075"/>
          <c:y val="3.5906992817120433E-2"/>
          <c:w val="0.30098027519287363"/>
          <c:h val="0.96409300718287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a:t>N=2 034</a:t>
            </a:r>
          </a:p>
        </c:rich>
      </c:tx>
      <c:layout>
        <c:manualLayout>
          <c:xMode val="edge"/>
          <c:yMode val="edge"/>
          <c:x val="0.4514003718285215"/>
          <c:y val="0"/>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4652960046660832E-2"/>
          <c:y val="0.26388927261285322"/>
          <c:w val="0.8998840769903762"/>
          <c:h val="0.45029086276496139"/>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'About you'!$A$16:$A$20</c:f>
              <c:strCache>
                <c:ptCount val="5"/>
                <c:pt idx="0">
                  <c:v>Beneficiary</c:v>
                </c:pt>
                <c:pt idx="1">
                  <c:v>Non-applicant</c:v>
                </c:pt>
                <c:pt idx="2">
                  <c:v>Unsuccessful applicant</c:v>
                </c:pt>
                <c:pt idx="3">
                  <c:v>Unknown</c:v>
                </c:pt>
                <c:pt idx="4">
                  <c:v>Applicant (outcome unknown)</c:v>
                </c:pt>
              </c:strCache>
            </c:strRef>
          </c:cat>
          <c:val>
            <c:numRef>
              <c:f>'About you'!$C$16:$C$20</c:f>
              <c:numCache>
                <c:formatCode>0%</c:formatCode>
                <c:ptCount val="5"/>
                <c:pt idx="0">
                  <c:v>0.56489675516224203</c:v>
                </c:pt>
                <c:pt idx="1">
                  <c:v>0.31809242871189802</c:v>
                </c:pt>
                <c:pt idx="2">
                  <c:v>5.6047197640118E-2</c:v>
                </c:pt>
                <c:pt idx="3">
                  <c:v>4.4739429695181902E-2</c:v>
                </c:pt>
                <c:pt idx="4">
                  <c:v>1.62241887905605E-2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B5FD-4441-9318-FA5F04890808}"/>
            </c:ext>
          </c:extLst>
        </c:ser>
        <c:dLbls>
          <c:dLblPos val="outEnd"/>
          <c:showLegendKey val="0"/>
          <c:showVal val="1"/>
          <c:showCatName val="0"/>
          <c:showSerName val="0"/>
          <c:showPercent val="0"/>
          <c:showBubbleSize val="0"/>
        </c:dLbls>
        <c:gapWidth val="219"/>
        <c:overlap val="-27"/>
        <c:axId val="1100054415"/>
        <c:axId val="1100042895"/>
      </c:barChart>
      <c:catAx>
        <c:axId val="1100054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042895"/>
        <c:crosses val="autoZero"/>
        <c:auto val="1"/>
        <c:lblAlgn val="ctr"/>
        <c:lblOffset val="100"/>
        <c:noMultiLvlLbl val="0"/>
      </c:catAx>
      <c:valAx>
        <c:axId val="11000428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054415"/>
        <c:crosses val="autoZero"/>
        <c:crossBetween val="between"/>
      </c:valAx>
      <c:spPr>
        <a:noFill/>
        <a:ln>
          <a:noFill/>
        </a:ln>
        <a:effectLst/>
      </c:spPr>
    </c:plotArea>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Which funds have you applied for? (N=1 270)</a:t>
            </a:r>
          </a:p>
        </c:rich>
      </c:tx>
      <c:layout>
        <c:manualLayout>
          <c:xMode val="edge"/>
          <c:yMode val="edge"/>
          <c:x val="0.24010629650922841"/>
          <c:y val="1.955034213098729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824174616076401"/>
          <c:y val="0.13514173998044965"/>
          <c:w val="0.46606621814754273"/>
          <c:h val="0.77697947214076246"/>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 I (Introduction)'!$A$9:$A$19,'Part I (Introduction)'!$A$21)</c:f>
              <c:strCache>
                <c:ptCount val="12"/>
                <c:pt idx="0">
                  <c:v>ITER</c:v>
                </c:pt>
                <c:pt idx="1">
                  <c:v>IRIS</c:v>
                </c:pt>
                <c:pt idx="2">
                  <c:v>InvestEU</c:v>
                </c:pt>
                <c:pt idx="3">
                  <c:v>European Space Programme (incl. Cassini Initiative)</c:v>
                </c:pt>
                <c:pt idx="4">
                  <c:v>Euratom Research and Training Programme</c:v>
                </c:pt>
                <c:pt idx="5">
                  <c:v>Innovation Fund</c:v>
                </c:pt>
                <c:pt idx="6">
                  <c:v>European Defence Fund</c:v>
                </c:pt>
                <c:pt idx="7">
                  <c:v>EU4Health</c:v>
                </c:pt>
                <c:pt idx="8">
                  <c:v>Connecting Europe Facility</c:v>
                </c:pt>
                <c:pt idx="9">
                  <c:v>Digital Europe</c:v>
                </c:pt>
                <c:pt idx="10">
                  <c:v>LIFE</c:v>
                </c:pt>
                <c:pt idx="11">
                  <c:v>Horizon Europe</c:v>
                </c:pt>
              </c:strCache>
            </c:strRef>
          </c:cat>
          <c:val>
            <c:numRef>
              <c:f>('Part I (Introduction)'!$C$9:$C$19,'Part I (Introduction)'!$C$21)</c:f>
              <c:numCache>
                <c:formatCode>0%</c:formatCode>
                <c:ptCount val="12"/>
                <c:pt idx="0">
                  <c:v>0.01</c:v>
                </c:pt>
                <c:pt idx="1">
                  <c:v>0.01</c:v>
                </c:pt>
                <c:pt idx="2">
                  <c:v>0.02</c:v>
                </c:pt>
                <c:pt idx="3">
                  <c:v>0.04</c:v>
                </c:pt>
                <c:pt idx="4">
                  <c:v>0.04</c:v>
                </c:pt>
                <c:pt idx="5">
                  <c:v>0.06</c:v>
                </c:pt>
                <c:pt idx="6">
                  <c:v>0.09</c:v>
                </c:pt>
                <c:pt idx="7">
                  <c:v>0.1</c:v>
                </c:pt>
                <c:pt idx="8">
                  <c:v>0.12</c:v>
                </c:pt>
                <c:pt idx="9">
                  <c:v>0.19</c:v>
                </c:pt>
                <c:pt idx="10">
                  <c:v>0.28999999999999998</c:v>
                </c:pt>
                <c:pt idx="11">
                  <c:v>0.79</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F78E-42D4-BF3A-A5BC088399B1}"/>
            </c:ext>
          </c:extLst>
        </c:ser>
        <c:dLbls>
          <c:dLblPos val="outEnd"/>
          <c:showLegendKey val="0"/>
          <c:showVal val="1"/>
          <c:showCatName val="0"/>
          <c:showSerName val="0"/>
          <c:showPercent val="0"/>
          <c:showBubbleSize val="0"/>
        </c:dLbls>
        <c:gapWidth val="182"/>
        <c:axId val="1197176975"/>
        <c:axId val="1197177455"/>
      </c:barChart>
      <c:catAx>
        <c:axId val="1197176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1197177455"/>
        <c:crosses val="autoZero"/>
        <c:auto val="1"/>
        <c:lblAlgn val="ctr"/>
        <c:lblOffset val="100"/>
        <c:noMultiLvlLbl val="0"/>
      </c:catAx>
      <c:valAx>
        <c:axId val="11971774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176975"/>
        <c:crosses val="autoZero"/>
        <c:crossBetween val="between"/>
        <c:majorUnit val="0.2"/>
      </c:valAx>
      <c:spPr>
        <a:noFill/>
        <a:ln>
          <a:noFill/>
        </a:ln>
        <a:effectLst/>
      </c:spPr>
    </c:plotArea>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Q6. How would you describe your experience?</a:t>
            </a:r>
          </a:p>
        </c:rich>
      </c:tx>
      <c:layout>
        <c:manualLayout>
          <c:xMode val="edge"/>
          <c:yMode val="edge"/>
          <c:x val="0.24660415744454431"/>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126279359884104"/>
          <c:y val="8.9721185302626058E-2"/>
          <c:w val="0.48761288995604679"/>
          <c:h val="0.74012040756363007"/>
        </c:manualLayout>
      </c:layout>
      <c:barChart>
        <c:barDir val="bar"/>
        <c:grouping val="percentStacked"/>
        <c:varyColors val="0"/>
        <c:ser>
          <c:idx val="0"/>
          <c:order val="0"/>
          <c:tx>
            <c:strRef>
              <c:f>Sheet1!$B$1</c:f>
              <c:strCache>
                <c:ptCount val="1"/>
                <c:pt idx="0">
                  <c:v>Very positive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The duration of the procedure (N=1 227)</c:v>
                </c:pt>
                <c:pt idx="1">
                  <c:v>The application procedure (N=1 222)</c:v>
                </c:pt>
                <c:pt idx="2">
                  <c:v>The disbursement of the funding (N=1 208)</c:v>
                </c:pt>
                <c:pt idx="3">
                  <c:v>The evaluation of your proposal (N=1 218)</c:v>
                </c:pt>
                <c:pt idx="4">
                  <c:v>The implementation of the project (N=1 220)</c:v>
                </c:pt>
                <c:pt idx="5">
                  <c:v>The relevance and clarity of the calls (N=1 227)</c:v>
                </c:pt>
                <c:pt idx="6">
                  <c:v>Identifying the funding opportunity (N=1 232)</c:v>
                </c:pt>
              </c:strCache>
            </c:strRef>
          </c:cat>
          <c:val>
            <c:numRef>
              <c:f>Sheet1!$B$2:$B$8</c:f>
              <c:numCache>
                <c:formatCode>0%</c:formatCode>
                <c:ptCount val="7"/>
                <c:pt idx="0">
                  <c:v>0.11</c:v>
                </c:pt>
                <c:pt idx="1">
                  <c:v>0.11</c:v>
                </c:pt>
                <c:pt idx="2">
                  <c:v>0.2</c:v>
                </c:pt>
                <c:pt idx="3">
                  <c:v>0.14000000000000001</c:v>
                </c:pt>
                <c:pt idx="4">
                  <c:v>0.2</c:v>
                </c:pt>
                <c:pt idx="5">
                  <c:v>0.17</c:v>
                </c:pt>
                <c:pt idx="6">
                  <c:v>0.24</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8C2B-47C7-9529-BA519309F5BF}"/>
            </c:ext>
          </c:extLst>
        </c:ser>
        <c:ser>
          <c:idx val="1"/>
          <c:order val="1"/>
          <c:tx>
            <c:strRef>
              <c:f>Sheet1!$C$1</c:f>
              <c:strCache>
                <c:ptCount val="1"/>
                <c:pt idx="0">
                  <c:v>Positive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The duration of the procedure (N=1 227)</c:v>
                </c:pt>
                <c:pt idx="1">
                  <c:v>The application procedure (N=1 222)</c:v>
                </c:pt>
                <c:pt idx="2">
                  <c:v>The disbursement of the funding (N=1 208)</c:v>
                </c:pt>
                <c:pt idx="3">
                  <c:v>The evaluation of your proposal (N=1 218)</c:v>
                </c:pt>
                <c:pt idx="4">
                  <c:v>The implementation of the project (N=1 220)</c:v>
                </c:pt>
                <c:pt idx="5">
                  <c:v>The relevance and clarity of the calls (N=1 227)</c:v>
                </c:pt>
                <c:pt idx="6">
                  <c:v>Identifying the funding opportunity (N=1 232)</c:v>
                </c:pt>
              </c:strCache>
            </c:strRef>
          </c:cat>
          <c:val>
            <c:numRef>
              <c:f>Sheet1!$C$2:$C$8</c:f>
              <c:numCache>
                <c:formatCode>0%</c:formatCode>
                <c:ptCount val="7"/>
                <c:pt idx="0">
                  <c:v>0.49</c:v>
                </c:pt>
                <c:pt idx="1">
                  <c:v>0.55000000000000004</c:v>
                </c:pt>
                <c:pt idx="2">
                  <c:v>0.56999999999999995</c:v>
                </c:pt>
                <c:pt idx="3">
                  <c:v>0.63</c:v>
                </c:pt>
                <c:pt idx="4">
                  <c:v>0.61</c:v>
                </c:pt>
                <c:pt idx="5">
                  <c:v>0.65</c:v>
                </c:pt>
                <c:pt idx="6">
                  <c:v>0.64</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8C2B-47C7-9529-BA519309F5BF}"/>
            </c:ext>
          </c:extLst>
        </c:ser>
        <c:ser>
          <c:idx val="2"/>
          <c:order val="2"/>
          <c:tx>
            <c:strRef>
              <c:f>Sheet1!$D$1</c:f>
              <c:strCache>
                <c:ptCount val="1"/>
                <c:pt idx="0">
                  <c:v>Negative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The duration of the procedure (N=1 227)</c:v>
                </c:pt>
                <c:pt idx="1">
                  <c:v>The application procedure (N=1 222)</c:v>
                </c:pt>
                <c:pt idx="2">
                  <c:v>The disbursement of the funding (N=1 208)</c:v>
                </c:pt>
                <c:pt idx="3">
                  <c:v>The evaluation of your proposal (N=1 218)</c:v>
                </c:pt>
                <c:pt idx="4">
                  <c:v>The implementation of the project (N=1 220)</c:v>
                </c:pt>
                <c:pt idx="5">
                  <c:v>The relevance and clarity of the calls (N=1 227)</c:v>
                </c:pt>
                <c:pt idx="6">
                  <c:v>Identifying the funding opportunity (N=1 232)</c:v>
                </c:pt>
              </c:strCache>
            </c:strRef>
          </c:cat>
          <c:val>
            <c:numRef>
              <c:f>Sheet1!$D$2:$D$8</c:f>
              <c:numCache>
                <c:formatCode>0%</c:formatCode>
                <c:ptCount val="7"/>
                <c:pt idx="0">
                  <c:v>0.3</c:v>
                </c:pt>
                <c:pt idx="1">
                  <c:v>0.25</c:v>
                </c:pt>
                <c:pt idx="2">
                  <c:v>0.06</c:v>
                </c:pt>
                <c:pt idx="3">
                  <c:v>0.13</c:v>
                </c:pt>
                <c:pt idx="4">
                  <c:v>0.05</c:v>
                </c:pt>
                <c:pt idx="5">
                  <c:v>0.14000000000000001</c:v>
                </c:pt>
                <c:pt idx="6">
                  <c:v>7.0000000000000007E-2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8C2B-47C7-9529-BA519309F5BF}"/>
            </c:ext>
          </c:extLst>
        </c:ser>
        <c:ser>
          <c:idx val="3"/>
          <c:order val="3"/>
          <c:tx>
            <c:strRef>
              <c:f>Sheet1!$E$1</c:f>
              <c:strCache>
                <c:ptCount val="1"/>
                <c:pt idx="0">
                  <c:v>Very negative</c:v>
                </c:pt>
              </c:strCache>
            </c:strRef>
          </c:tx>
          <c:spPr>
            <a:solidFill>
              <a:schemeClr val="accent6">
                <a:lumMod val="60000"/>
              </a:schemeClr>
            </a:solidFill>
            <a:ln>
              <a:noFill/>
            </a:ln>
            <a:effectLst/>
          </c:spPr>
          <c:invertIfNegative val="0"/>
          <c:dLbls>
            <c:dLbl>
              <c:idx val="0"/>
              <c:layout>
                <c:manualLayout>
                  <c:x val="-4.5428733674050502E-3"/>
                  <c:y val="-1.4550096466308564E-16"/>
                </c:manualLayout>
              </c:layout>
              <c:dLblPos val="ctr"/>
              <c:showLegendKey val="0"/>
              <c:showVal val="1"/>
              <c:showCatName val="0"/>
              <c:showSerName val="0"/>
              <c:showPercent val="0"/>
              <c:showBubbleSize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3-8C2B-47C7-9529-BA519309F5BF}"/>
                </c:ext>
              </c:extLst>
            </c:dLbl>
            <c:dLbl>
              <c:idx val="1"/>
              <c:layout>
                <c:manualLayout>
                  <c:x val="-6.814310051107492E-3"/>
                  <c:y val="-7.275048233154282E-17"/>
                </c:manualLayout>
              </c:layout>
              <c:dLblPos val="ctr"/>
              <c:showLegendKey val="0"/>
              <c:showVal val="1"/>
              <c:showCatName val="0"/>
              <c:showSerName val="0"/>
              <c:showPercent val="0"/>
              <c:showBubbleSize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4-8C2B-47C7-9529-BA519309F5BF}"/>
                </c:ext>
              </c:extLst>
            </c:dLbl>
            <c:dLbl>
              <c:idx val="2"/>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5-8C2B-47C7-9529-BA519309F5BF}"/>
                </c:ext>
              </c:extLst>
            </c:dLbl>
            <c:dLbl>
              <c:idx val="3"/>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6-8C2B-47C7-9529-BA519309F5BF}"/>
                </c:ext>
              </c:extLst>
            </c:dLbl>
            <c:dLbl>
              <c:idx val="4"/>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7-8C2B-47C7-9529-BA519309F5BF}"/>
                </c:ext>
              </c:extLst>
            </c:dLbl>
            <c:dLbl>
              <c:idx val="5"/>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8-8C2B-47C7-9529-BA519309F5BF}"/>
                </c:ext>
              </c:extLst>
            </c:dLbl>
            <c:dLbl>
              <c:idx val="6"/>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9-8C2B-47C7-9529-BA519309F5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The duration of the procedure (N=1 227)</c:v>
                </c:pt>
                <c:pt idx="1">
                  <c:v>The application procedure (N=1 222)</c:v>
                </c:pt>
                <c:pt idx="2">
                  <c:v>The disbursement of the funding (N=1 208)</c:v>
                </c:pt>
                <c:pt idx="3">
                  <c:v>The evaluation of your proposal (N=1 218)</c:v>
                </c:pt>
                <c:pt idx="4">
                  <c:v>The implementation of the project (N=1 220)</c:v>
                </c:pt>
                <c:pt idx="5">
                  <c:v>The relevance and clarity of the calls (N=1 227)</c:v>
                </c:pt>
                <c:pt idx="6">
                  <c:v>Identifying the funding opportunity (N=1 232)</c:v>
                </c:pt>
              </c:strCache>
            </c:strRef>
          </c:cat>
          <c:val>
            <c:numRef>
              <c:f>Sheet1!$E$2:$E$8</c:f>
              <c:numCache>
                <c:formatCode>0%</c:formatCode>
                <c:ptCount val="7"/>
                <c:pt idx="0">
                  <c:v>0.05</c:v>
                </c:pt>
                <c:pt idx="1">
                  <c:v>0.04</c:v>
                </c:pt>
                <c:pt idx="2">
                  <c:v>0.01</c:v>
                </c:pt>
                <c:pt idx="3">
                  <c:v>0.02</c:v>
                </c:pt>
                <c:pt idx="4">
                  <c:v>0</c:v>
                </c:pt>
                <c:pt idx="5">
                  <c:v>0</c:v>
                </c:pt>
                <c:pt idx="6">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A-8C2B-47C7-9529-BA519309F5BF}"/>
            </c:ext>
          </c:extLst>
        </c:ser>
        <c:ser>
          <c:idx val="4"/>
          <c:order val="4"/>
          <c:tx>
            <c:strRef>
              <c:f>Sheet1!$F$1</c:f>
              <c:strCache>
                <c:ptCount val="1"/>
                <c:pt idx="0">
                  <c:v>No opinion</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The duration of the procedure (N=1 227)</c:v>
                </c:pt>
                <c:pt idx="1">
                  <c:v>The application procedure (N=1 222)</c:v>
                </c:pt>
                <c:pt idx="2">
                  <c:v>The disbursement of the funding (N=1 208)</c:v>
                </c:pt>
                <c:pt idx="3">
                  <c:v>The evaluation of your proposal (N=1 218)</c:v>
                </c:pt>
                <c:pt idx="4">
                  <c:v>The implementation of the project (N=1 220)</c:v>
                </c:pt>
                <c:pt idx="5">
                  <c:v>The relevance and clarity of the calls (N=1 227)</c:v>
                </c:pt>
                <c:pt idx="6">
                  <c:v>Identifying the funding opportunity (N=1 232)</c:v>
                </c:pt>
              </c:strCache>
            </c:strRef>
          </c:cat>
          <c:val>
            <c:numRef>
              <c:f>Sheet1!$F$2:$F$8</c:f>
              <c:numCache>
                <c:formatCode>0%</c:formatCode>
                <c:ptCount val="7"/>
                <c:pt idx="0">
                  <c:v>0.05</c:v>
                </c:pt>
                <c:pt idx="1">
                  <c:v>0.05</c:v>
                </c:pt>
                <c:pt idx="2">
                  <c:v>0.16</c:v>
                </c:pt>
                <c:pt idx="3">
                  <c:v>0.08</c:v>
                </c:pt>
                <c:pt idx="4">
                  <c:v>0.14000000000000001</c:v>
                </c:pt>
                <c:pt idx="5">
                  <c:v>0.04</c:v>
                </c:pt>
                <c:pt idx="6">
                  <c:v>0.05</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B-8C2B-47C7-9529-BA519309F5BF}"/>
            </c:ext>
          </c:extLst>
        </c:ser>
        <c:dLbls>
          <c:dLblPos val="ctr"/>
          <c:showLegendKey val="0"/>
          <c:showVal val="1"/>
          <c:showCatName val="0"/>
          <c:showSerName val="0"/>
          <c:showPercent val="0"/>
          <c:showBubbleSize val="0"/>
        </c:dLbls>
        <c:gapWidth val="135"/>
        <c:overlap val="100"/>
        <c:axId val="1128175280"/>
        <c:axId val="1128170960"/>
      </c:barChart>
      <c:catAx>
        <c:axId val="112817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170960"/>
        <c:crosses val="autoZero"/>
        <c:auto val="1"/>
        <c:lblAlgn val="ctr"/>
        <c:lblOffset val="100"/>
        <c:noMultiLvlLbl val="0"/>
      </c:catAx>
      <c:valAx>
        <c:axId val="11281709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175280"/>
        <c:crosses val="autoZero"/>
        <c:crossBetween val="between"/>
        <c:majorUnit val="0.2"/>
      </c:valAx>
      <c:spPr>
        <a:noFill/>
        <a:ln>
          <a:noFill/>
        </a:ln>
        <a:effectLst/>
      </c:spPr>
    </c:plotArea>
    <c:legend>
      <c:legendPos val="b"/>
      <c:layout>
        <c:manualLayout>
          <c:xMode val="edge"/>
          <c:yMode val="edge"/>
          <c:x val="0.14996078641788174"/>
          <c:y val="0.92728731452448088"/>
          <c:w val="0.71370686841316888"/>
          <c:h val="7.27130746522950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i="0" u="none" strike="noStrike" kern="1200" spc="0" baseline="0">
                <a:solidFill>
                  <a:sysClr val="windowText" lastClr="000000">
                    <a:lumMod val="65000"/>
                    <a:lumOff val="35000"/>
                  </a:sysClr>
                </a:solidFill>
              </a:rPr>
              <a:t>Q10. The Commission has preliminarily identified the following challenges linked to competitiveness. How important are these challenges in your view?</a:t>
            </a:r>
          </a:p>
        </c:rich>
      </c:tx>
      <c:layout>
        <c:manualLayout>
          <c:xMode val="edge"/>
          <c:yMode val="edge"/>
          <c:x val="0.14982046515018957"/>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8457403762029744"/>
          <c:y val="0.1071736055963908"/>
          <c:w val="0.46332531350247885"/>
          <c:h val="0.84288883874201792"/>
        </c:manualLayout>
      </c:layout>
      <c:barChart>
        <c:barDir val="bar"/>
        <c:grouping val="clustered"/>
        <c:varyColors val="0"/>
        <c:ser>
          <c:idx val="0"/>
          <c:order val="0"/>
          <c:tx>
            <c:strRef>
              <c:f>Sheet1!$B$1</c:f>
              <c:strCache>
                <c:ptCount val="1"/>
                <c:pt idx="0">
                  <c:v>Series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Lack of fertilisation between civil and military research and development (N=1 943)</c:v>
                </c:pt>
                <c:pt idx="1">
                  <c:v>Challenges related to the effective protection of EU funds against illegal activities (N=1 940)</c:v>
                </c:pt>
                <c:pt idx="2">
                  <c:v>Disparities in innovation and industrial capacity across Member States (N=1 954)</c:v>
                </c:pt>
                <c:pt idx="3">
                  <c:v>Insufficient private investment, including by institutional investors (N=1 951)</c:v>
                </c:pt>
                <c:pt idx="4">
                  <c:v>Mismatch between skills and labour market demands (N=1 954)</c:v>
                </c:pt>
                <c:pt idx="5">
                  <c:v>Access to finance for small businesses and for scale-up companies (N=1 962)</c:v>
                </c:pt>
                <c:pt idx="6">
                  <c:v>Attracting world class researchers, skilled workers and entrepreneurs from abroad (N=1 957)</c:v>
                </c:pt>
                <c:pt idx="7">
                  <c:v>Insufficient focus of EU funding on EU strategic priorities (N=1 961)</c:v>
                </c:pt>
                <c:pt idx="8">
                  <c:v>Insufficient innovation and manufacturing capacity for strategic technologies (N=1 956)</c:v>
                </c:pt>
                <c:pt idx="9">
                  <c:v>Lack of coherence between EU, national and regional policies for competitiveness (N=1 964)</c:v>
                </c:pt>
                <c:pt idx="10">
                  <c:v>Digitalisation and diffusion of advanced technologies in key sectors (N=1 946)</c:v>
                </c:pt>
                <c:pt idx="11">
                  <c:v>Incapacity to translate innovation into marketable technologies (N=1 963)</c:v>
                </c:pt>
                <c:pt idx="12">
                  <c:v>Excessive dependence of the EU on non-EU countries (N=1 957)</c:v>
                </c:pt>
                <c:pt idx="13">
                  <c:v>Climate resilience and costs associated with decarbonisation (N=1 971)</c:v>
                </c:pt>
                <c:pt idx="14">
                  <c:v>The innovation and technological gap for the EU in strategic technologies (N=1 973)</c:v>
                </c:pt>
                <c:pt idx="15">
                  <c:v>Underinvestment in research and innovation (N=1 974)</c:v>
                </c:pt>
              </c:strCache>
            </c:strRef>
          </c:cat>
          <c:val>
            <c:numRef>
              <c:f>Sheet1!$B$2:$B$17</c:f>
              <c:numCache>
                <c:formatCode>0%</c:formatCode>
                <c:ptCount val="16"/>
                <c:pt idx="0">
                  <c:v>0.28999999999999998</c:v>
                </c:pt>
                <c:pt idx="1">
                  <c:v>0.45</c:v>
                </c:pt>
                <c:pt idx="2">
                  <c:v>0.57999999999999996</c:v>
                </c:pt>
                <c:pt idx="3">
                  <c:v>0.62</c:v>
                </c:pt>
                <c:pt idx="4">
                  <c:v>0.62</c:v>
                </c:pt>
                <c:pt idx="5">
                  <c:v>0.65</c:v>
                </c:pt>
                <c:pt idx="6">
                  <c:v>0.65</c:v>
                </c:pt>
                <c:pt idx="7">
                  <c:v>0.66</c:v>
                </c:pt>
                <c:pt idx="8">
                  <c:v>0.7</c:v>
                </c:pt>
                <c:pt idx="9">
                  <c:v>0.71</c:v>
                </c:pt>
                <c:pt idx="10">
                  <c:v>0.72</c:v>
                </c:pt>
                <c:pt idx="11">
                  <c:v>0.72</c:v>
                </c:pt>
                <c:pt idx="12">
                  <c:v>0.76</c:v>
                </c:pt>
                <c:pt idx="13">
                  <c:v>0.77</c:v>
                </c:pt>
                <c:pt idx="14">
                  <c:v>0.81</c:v>
                </c:pt>
                <c:pt idx="15">
                  <c:v>0.91</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FA43-4091-8913-F429B2F84BE4}"/>
            </c:ext>
          </c:extLst>
        </c:ser>
        <c:dLbls>
          <c:dLblPos val="outEnd"/>
          <c:showLegendKey val="0"/>
          <c:showVal val="1"/>
          <c:showCatName val="0"/>
          <c:showSerName val="0"/>
          <c:showPercent val="0"/>
          <c:showBubbleSize val="0"/>
        </c:dLbls>
        <c:gapWidth val="182"/>
        <c:axId val="1078715568"/>
        <c:axId val="1078718448"/>
      </c:barChart>
      <c:catAx>
        <c:axId val="1078715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8718448"/>
        <c:crosses val="autoZero"/>
        <c:auto val="1"/>
        <c:lblAlgn val="ctr"/>
        <c:lblOffset val="100"/>
        <c:noMultiLvlLbl val="0"/>
      </c:catAx>
      <c:valAx>
        <c:axId val="1078718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8715568"/>
        <c:crosses val="autoZero"/>
        <c:crossBetween val="between"/>
        <c:majorUnit val="0.2"/>
      </c:valAx>
      <c:spPr>
        <a:noFill/>
        <a:ln>
          <a:noFill/>
        </a:ln>
        <a:effectLst/>
      </c:spPr>
    </c:plotArea>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Q13. The Commission has identified a number of possible measures for EU funding to better support EU competitiveness. To what extent do you think such measures could have a positive impact?</a:t>
            </a:r>
          </a:p>
        </c:rich>
      </c:tx>
      <c:layout>
        <c:manualLayout>
          <c:xMode val="edge"/>
          <c:yMode val="edge"/>
          <c:x val="0.11354166666666665"/>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37058909303004"/>
          <c:y val="0.11533628036906081"/>
          <c:w val="0.48419346019247594"/>
          <c:h val="0.7979991071437651"/>
        </c:manualLayout>
      </c:layout>
      <c:barChart>
        <c:barDir val="bar"/>
        <c:grouping val="percentStacked"/>
        <c:varyColors val="0"/>
        <c:ser>
          <c:idx val="0"/>
          <c:order val="0"/>
          <c:tx>
            <c:strRef>
              <c:f>Sheet1!$B$1</c:f>
              <c:strCache>
                <c:ptCount val="1"/>
                <c:pt idx="0">
                  <c:v>To a large extent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Reducing the number of EU funding programmes (N=1 952)</c:v>
                </c:pt>
                <c:pt idx="1">
                  <c:v>Preventing and combat fraud and corruption better (N=1 912)</c:v>
                </c:pt>
                <c:pt idx="2">
                  <c:v>Strengthen business advisory support services for successful applicants (N=1 931)</c:v>
                </c:pt>
                <c:pt idx="3">
                  <c:v>Place greater focus on achieving results, incl. via performance-based funding (N=1 927)</c:v>
                </c:pt>
                <c:pt idx="4">
                  <c:v>Applying common rules, timelines and eligibility criteria to all relevant EU funds (N=1 958)</c:v>
                </c:pt>
                <c:pt idx="5">
                  <c:v>Aligning industrial and research policies and investment at EU and national levels (N=1 948)</c:v>
                </c:pt>
                <c:pt idx="6">
                  <c:v>Better feedback to applicants (N=1 932)</c:v>
                </c:pt>
                <c:pt idx="7">
                  <c:v>Increase international collaboration with like-minded non-EU partners (N=1 950)</c:v>
                </c:pt>
                <c:pt idx="8">
                  <c:v>More flexibility in resource allocation to react to crises and emerging needs (N=1 932)</c:v>
                </c:pt>
                <c:pt idx="9">
                  <c:v>User-friendly IT tools (N=1 942)</c:v>
                </c:pt>
                <c:pt idx="10">
                  <c:v>Targeted tools and measures to limit EU dependencies in strategic sectors (N=1 938)</c:v>
                </c:pt>
                <c:pt idx="11">
                  <c:v>Continuity in EU funding from research to manufacturing (N=1 939)</c:v>
                </c:pt>
                <c:pt idx="12">
                  <c:v>Increased focus of funding on key current and future strategic priorities (N=1 951)</c:v>
                </c:pt>
              </c:strCache>
            </c:strRef>
          </c:cat>
          <c:val>
            <c:numRef>
              <c:f>Sheet1!$B$2:$B$14</c:f>
              <c:numCache>
                <c:formatCode>0%</c:formatCode>
                <c:ptCount val="13"/>
                <c:pt idx="0">
                  <c:v>0.15</c:v>
                </c:pt>
                <c:pt idx="1">
                  <c:v>0.24</c:v>
                </c:pt>
                <c:pt idx="2">
                  <c:v>0.23</c:v>
                </c:pt>
                <c:pt idx="3">
                  <c:v>0.33</c:v>
                </c:pt>
                <c:pt idx="4">
                  <c:v>0.43</c:v>
                </c:pt>
                <c:pt idx="5">
                  <c:v>0.43</c:v>
                </c:pt>
                <c:pt idx="6">
                  <c:v>0.4</c:v>
                </c:pt>
                <c:pt idx="7">
                  <c:v>0.35</c:v>
                </c:pt>
                <c:pt idx="8">
                  <c:v>0.45</c:v>
                </c:pt>
                <c:pt idx="9">
                  <c:v>0.4</c:v>
                </c:pt>
                <c:pt idx="10">
                  <c:v>0.5</c:v>
                </c:pt>
                <c:pt idx="11">
                  <c:v>0.52</c:v>
                </c:pt>
                <c:pt idx="12">
                  <c:v>0.5</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390C-4942-A802-E42797766C46}"/>
            </c:ext>
          </c:extLst>
        </c:ser>
        <c:ser>
          <c:idx val="1"/>
          <c:order val="1"/>
          <c:tx>
            <c:strRef>
              <c:f>Sheet1!$C$1</c:f>
              <c:strCache>
                <c:ptCount val="1"/>
                <c:pt idx="0">
                  <c:v>Somewhat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Reducing the number of EU funding programmes (N=1 952)</c:v>
                </c:pt>
                <c:pt idx="1">
                  <c:v>Preventing and combat fraud and corruption better (N=1 912)</c:v>
                </c:pt>
                <c:pt idx="2">
                  <c:v>Strengthen business advisory support services for successful applicants (N=1 931)</c:v>
                </c:pt>
                <c:pt idx="3">
                  <c:v>Place greater focus on achieving results, incl. via performance-based funding (N=1 927)</c:v>
                </c:pt>
                <c:pt idx="4">
                  <c:v>Applying common rules, timelines and eligibility criteria to all relevant EU funds (N=1 958)</c:v>
                </c:pt>
                <c:pt idx="5">
                  <c:v>Aligning industrial and research policies and investment at EU and national levels (N=1 948)</c:v>
                </c:pt>
                <c:pt idx="6">
                  <c:v>Better feedback to applicants (N=1 932)</c:v>
                </c:pt>
                <c:pt idx="7">
                  <c:v>Increase international collaboration with like-minded non-EU partners (N=1 950)</c:v>
                </c:pt>
                <c:pt idx="8">
                  <c:v>More flexibility in resource allocation to react to crises and emerging needs (N=1 932)</c:v>
                </c:pt>
                <c:pt idx="9">
                  <c:v>User-friendly IT tools (N=1 942)</c:v>
                </c:pt>
                <c:pt idx="10">
                  <c:v>Targeted tools and measures to limit EU dependencies in strategic sectors (N=1 938)</c:v>
                </c:pt>
                <c:pt idx="11">
                  <c:v>Continuity in EU funding from research to manufacturing (N=1 939)</c:v>
                </c:pt>
                <c:pt idx="12">
                  <c:v>Increased focus of funding on key current and future strategic priorities (N=1 951)</c:v>
                </c:pt>
              </c:strCache>
            </c:strRef>
          </c:cat>
          <c:val>
            <c:numRef>
              <c:f>Sheet1!$C$2:$C$14</c:f>
              <c:numCache>
                <c:formatCode>0%</c:formatCode>
                <c:ptCount val="13"/>
                <c:pt idx="0">
                  <c:v>0.28000000000000003</c:v>
                </c:pt>
                <c:pt idx="1">
                  <c:v>0.33</c:v>
                </c:pt>
                <c:pt idx="2">
                  <c:v>0.37</c:v>
                </c:pt>
                <c:pt idx="3">
                  <c:v>0.32</c:v>
                </c:pt>
                <c:pt idx="4">
                  <c:v>0.33</c:v>
                </c:pt>
                <c:pt idx="5">
                  <c:v>0.34</c:v>
                </c:pt>
                <c:pt idx="6">
                  <c:v>0.38</c:v>
                </c:pt>
                <c:pt idx="7">
                  <c:v>0.44</c:v>
                </c:pt>
                <c:pt idx="8">
                  <c:v>0.34</c:v>
                </c:pt>
                <c:pt idx="9">
                  <c:v>0.4</c:v>
                </c:pt>
                <c:pt idx="10">
                  <c:v>0.32</c:v>
                </c:pt>
                <c:pt idx="11">
                  <c:v>0.31</c:v>
                </c:pt>
                <c:pt idx="12">
                  <c:v>0.37</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390C-4942-A802-E42797766C46}"/>
            </c:ext>
          </c:extLst>
        </c:ser>
        <c:ser>
          <c:idx val="2"/>
          <c:order val="2"/>
          <c:tx>
            <c:strRef>
              <c:f>Sheet1!$D$1</c:f>
              <c:strCache>
                <c:ptCount val="1"/>
                <c:pt idx="0">
                  <c:v>Very little</c:v>
                </c:pt>
              </c:strCache>
            </c:strRef>
          </c:tx>
          <c:spPr>
            <a:solidFill>
              <a:schemeClr val="accent4"/>
            </a:solidFill>
            <a:ln>
              <a:noFill/>
            </a:ln>
            <a:effectLst/>
          </c:spPr>
          <c:invertIfNegative val="0"/>
          <c:dLbls>
            <c:dLbl>
              <c:idx val="8"/>
              <c:layout>
                <c:manualLayout>
                  <c:x val="-4.6296296296296294E-3"/>
                  <c:y val="-4.735405281557223E-17"/>
                </c:manualLayout>
              </c:layout>
              <c:dLblPos val="ctr"/>
              <c:showLegendKey val="0"/>
              <c:showVal val="1"/>
              <c:showCatName val="0"/>
              <c:showSerName val="0"/>
              <c:showPercent val="0"/>
              <c:showBubbleSize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2-390C-4942-A802-E42797766C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Reducing the number of EU funding programmes (N=1 952)</c:v>
                </c:pt>
                <c:pt idx="1">
                  <c:v>Preventing and combat fraud and corruption better (N=1 912)</c:v>
                </c:pt>
                <c:pt idx="2">
                  <c:v>Strengthen business advisory support services for successful applicants (N=1 931)</c:v>
                </c:pt>
                <c:pt idx="3">
                  <c:v>Place greater focus on achieving results, incl. via performance-based funding (N=1 927)</c:v>
                </c:pt>
                <c:pt idx="4">
                  <c:v>Applying common rules, timelines and eligibility criteria to all relevant EU funds (N=1 958)</c:v>
                </c:pt>
                <c:pt idx="5">
                  <c:v>Aligning industrial and research policies and investment at EU and national levels (N=1 948)</c:v>
                </c:pt>
                <c:pt idx="6">
                  <c:v>Better feedback to applicants (N=1 932)</c:v>
                </c:pt>
                <c:pt idx="7">
                  <c:v>Increase international collaboration with like-minded non-EU partners (N=1 950)</c:v>
                </c:pt>
                <c:pt idx="8">
                  <c:v>More flexibility in resource allocation to react to crises and emerging needs (N=1 932)</c:v>
                </c:pt>
                <c:pt idx="9">
                  <c:v>User-friendly IT tools (N=1 942)</c:v>
                </c:pt>
                <c:pt idx="10">
                  <c:v>Targeted tools and measures to limit EU dependencies in strategic sectors (N=1 938)</c:v>
                </c:pt>
                <c:pt idx="11">
                  <c:v>Continuity in EU funding from research to manufacturing (N=1 939)</c:v>
                </c:pt>
                <c:pt idx="12">
                  <c:v>Increased focus of funding on key current and future strategic priorities (N=1 951)</c:v>
                </c:pt>
              </c:strCache>
            </c:strRef>
          </c:cat>
          <c:val>
            <c:numRef>
              <c:f>Sheet1!$D$2:$D$14</c:f>
              <c:numCache>
                <c:formatCode>0%</c:formatCode>
                <c:ptCount val="13"/>
                <c:pt idx="0">
                  <c:v>0.23</c:v>
                </c:pt>
                <c:pt idx="1">
                  <c:v>0.23</c:v>
                </c:pt>
                <c:pt idx="2">
                  <c:v>0.23</c:v>
                </c:pt>
                <c:pt idx="3">
                  <c:v>0.19</c:v>
                </c:pt>
                <c:pt idx="4">
                  <c:v>0.11</c:v>
                </c:pt>
                <c:pt idx="5">
                  <c:v>0.09</c:v>
                </c:pt>
                <c:pt idx="6">
                  <c:v>0.13</c:v>
                </c:pt>
                <c:pt idx="7">
                  <c:v>0.11</c:v>
                </c:pt>
                <c:pt idx="8">
                  <c:v>0.12</c:v>
                </c:pt>
                <c:pt idx="9">
                  <c:v>0.12</c:v>
                </c:pt>
                <c:pt idx="10">
                  <c:v>0.08</c:v>
                </c:pt>
                <c:pt idx="11">
                  <c:v>0.06</c:v>
                </c:pt>
                <c:pt idx="12">
                  <c:v>7.0000000000000007E-2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3-390C-4942-A802-E42797766C46}"/>
            </c:ext>
          </c:extLst>
        </c:ser>
        <c:ser>
          <c:idx val="3"/>
          <c:order val="3"/>
          <c:tx>
            <c:strRef>
              <c:f>Sheet1!$E$1</c:f>
              <c:strCache>
                <c:ptCount val="1"/>
                <c:pt idx="0">
                  <c:v>Not at all</c:v>
                </c:pt>
              </c:strCache>
            </c:strRef>
          </c:tx>
          <c:spPr>
            <a:solidFill>
              <a:schemeClr val="accent6">
                <a:lumMod val="60000"/>
              </a:schemeClr>
            </a:solidFill>
            <a:ln>
              <a:noFill/>
            </a:ln>
            <a:effectLst/>
          </c:spPr>
          <c:invertIfNegative val="0"/>
          <c:dLbls>
            <c:dLbl>
              <c:idx val="5"/>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4-390C-4942-A802-E42797766C46}"/>
                </c:ext>
              </c:extLst>
            </c:dLbl>
            <c:dLbl>
              <c:idx val="6"/>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5-390C-4942-A802-E42797766C46}"/>
                </c:ext>
              </c:extLst>
            </c:dLbl>
            <c:dLbl>
              <c:idx val="7"/>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6-390C-4942-A802-E42797766C46}"/>
                </c:ext>
              </c:extLst>
            </c:dLbl>
            <c:dLbl>
              <c:idx val="8"/>
              <c:layout>
                <c:manualLayout>
                  <c:x val="-9.2592592592594287E-3"/>
                  <c:y val="-4.735405281557223E-17"/>
                </c:manualLayout>
              </c:layout>
              <c:dLblPos val="ctr"/>
              <c:showLegendKey val="0"/>
              <c:showVal val="1"/>
              <c:showCatName val="0"/>
              <c:showSerName val="0"/>
              <c:showPercent val="0"/>
              <c:showBubbleSize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7-390C-4942-A802-E42797766C46}"/>
                </c:ext>
              </c:extLst>
            </c:dLbl>
            <c:dLbl>
              <c:idx val="9"/>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8-390C-4942-A802-E42797766C46}"/>
                </c:ext>
              </c:extLst>
            </c:dLbl>
            <c:dLbl>
              <c:idx val="10"/>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9-390C-4942-A802-E42797766C46}"/>
                </c:ext>
              </c:extLst>
            </c:dLbl>
            <c:dLbl>
              <c:idx val="11"/>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A-390C-4942-A802-E42797766C46}"/>
                </c:ext>
              </c:extLst>
            </c:dLbl>
            <c:dLbl>
              <c:idx val="12"/>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B-390C-4942-A802-E42797766C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Reducing the number of EU funding programmes (N=1 952)</c:v>
                </c:pt>
                <c:pt idx="1">
                  <c:v>Preventing and combat fraud and corruption better (N=1 912)</c:v>
                </c:pt>
                <c:pt idx="2">
                  <c:v>Strengthen business advisory support services for successful applicants (N=1 931)</c:v>
                </c:pt>
                <c:pt idx="3">
                  <c:v>Place greater focus on achieving results, incl. via performance-based funding (N=1 927)</c:v>
                </c:pt>
                <c:pt idx="4">
                  <c:v>Applying common rules, timelines and eligibility criteria to all relevant EU funds (N=1 958)</c:v>
                </c:pt>
                <c:pt idx="5">
                  <c:v>Aligning industrial and research policies and investment at EU and national levels (N=1 948)</c:v>
                </c:pt>
                <c:pt idx="6">
                  <c:v>Better feedback to applicants (N=1 932)</c:v>
                </c:pt>
                <c:pt idx="7">
                  <c:v>Increase international collaboration with like-minded non-EU partners (N=1 950)</c:v>
                </c:pt>
                <c:pt idx="8">
                  <c:v>More flexibility in resource allocation to react to crises and emerging needs (N=1 932)</c:v>
                </c:pt>
                <c:pt idx="9">
                  <c:v>User-friendly IT tools (N=1 942)</c:v>
                </c:pt>
                <c:pt idx="10">
                  <c:v>Targeted tools and measures to limit EU dependencies in strategic sectors (N=1 938)</c:v>
                </c:pt>
                <c:pt idx="11">
                  <c:v>Continuity in EU funding from research to manufacturing (N=1 939)</c:v>
                </c:pt>
                <c:pt idx="12">
                  <c:v>Increased focus of funding on key current and future strategic priorities (N=1 951)</c:v>
                </c:pt>
              </c:strCache>
            </c:strRef>
          </c:cat>
          <c:val>
            <c:numRef>
              <c:f>Sheet1!$E$2:$E$14</c:f>
              <c:numCache>
                <c:formatCode>0%</c:formatCode>
                <c:ptCount val="13"/>
                <c:pt idx="0">
                  <c:v>0.26</c:v>
                </c:pt>
                <c:pt idx="1">
                  <c:v>0.05</c:v>
                </c:pt>
                <c:pt idx="2">
                  <c:v>0.06</c:v>
                </c:pt>
                <c:pt idx="3">
                  <c:v>0.09</c:v>
                </c:pt>
                <c:pt idx="4">
                  <c:v>7.0000000000000007E-2</c:v>
                </c:pt>
                <c:pt idx="5">
                  <c:v>0.02</c:v>
                </c:pt>
                <c:pt idx="6">
                  <c:v>0.02</c:v>
                </c:pt>
                <c:pt idx="7">
                  <c:v>0.03</c:v>
                </c:pt>
                <c:pt idx="8">
                  <c:v>0.05</c:v>
                </c:pt>
                <c:pt idx="9">
                  <c:v>0.03</c:v>
                </c:pt>
                <c:pt idx="10">
                  <c:v>0.01</c:v>
                </c:pt>
                <c:pt idx="11">
                  <c:v>0.02</c:v>
                </c:pt>
                <c:pt idx="12">
                  <c:v>0.03</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C-390C-4942-A802-E42797766C46}"/>
            </c:ext>
          </c:extLst>
        </c:ser>
        <c:ser>
          <c:idx val="4"/>
          <c:order val="4"/>
          <c:tx>
            <c:strRef>
              <c:f>Sheet1!$F$1</c:f>
              <c:strCache>
                <c:ptCount val="1"/>
                <c:pt idx="0">
                  <c:v>Don’t know/ not applicable</c:v>
                </c:pt>
              </c:strCache>
            </c:strRef>
          </c:tx>
          <c:spPr>
            <a:solidFill>
              <a:schemeClr val="accent5">
                <a:lumMod val="60000"/>
              </a:schemeClr>
            </a:solidFill>
            <a:ln>
              <a:noFill/>
            </a:ln>
            <a:effectLst/>
          </c:spPr>
          <c:invertIfNegative val="0"/>
          <c:dLbls>
            <c:dLbl>
              <c:idx val="12"/>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D-390C-4942-A802-E42797766C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Reducing the number of EU funding programmes (N=1 952)</c:v>
                </c:pt>
                <c:pt idx="1">
                  <c:v>Preventing and combat fraud and corruption better (N=1 912)</c:v>
                </c:pt>
                <c:pt idx="2">
                  <c:v>Strengthen business advisory support services for successful applicants (N=1 931)</c:v>
                </c:pt>
                <c:pt idx="3">
                  <c:v>Place greater focus on achieving results, incl. via performance-based funding (N=1 927)</c:v>
                </c:pt>
                <c:pt idx="4">
                  <c:v>Applying common rules, timelines and eligibility criteria to all relevant EU funds (N=1 958)</c:v>
                </c:pt>
                <c:pt idx="5">
                  <c:v>Aligning industrial and research policies and investment at EU and national levels (N=1 948)</c:v>
                </c:pt>
                <c:pt idx="6">
                  <c:v>Better feedback to applicants (N=1 932)</c:v>
                </c:pt>
                <c:pt idx="7">
                  <c:v>Increase international collaboration with like-minded non-EU partners (N=1 950)</c:v>
                </c:pt>
                <c:pt idx="8">
                  <c:v>More flexibility in resource allocation to react to crises and emerging needs (N=1 932)</c:v>
                </c:pt>
                <c:pt idx="9">
                  <c:v>User-friendly IT tools (N=1 942)</c:v>
                </c:pt>
                <c:pt idx="10">
                  <c:v>Targeted tools and measures to limit EU dependencies in strategic sectors (N=1 938)</c:v>
                </c:pt>
                <c:pt idx="11">
                  <c:v>Continuity in EU funding from research to manufacturing (N=1 939)</c:v>
                </c:pt>
                <c:pt idx="12">
                  <c:v>Increased focus of funding on key current and future strategic priorities (N=1 951)</c:v>
                </c:pt>
              </c:strCache>
            </c:strRef>
          </c:cat>
          <c:val>
            <c:numRef>
              <c:f>Sheet1!$F$2:$F$14</c:f>
              <c:numCache>
                <c:formatCode>0%</c:formatCode>
                <c:ptCount val="13"/>
                <c:pt idx="0">
                  <c:v>0.08</c:v>
                </c:pt>
                <c:pt idx="1">
                  <c:v>0.15</c:v>
                </c:pt>
                <c:pt idx="2">
                  <c:v>0.11</c:v>
                </c:pt>
                <c:pt idx="3">
                  <c:v>7.0000000000000007E-2</c:v>
                </c:pt>
                <c:pt idx="4">
                  <c:v>0.06</c:v>
                </c:pt>
                <c:pt idx="5">
                  <c:v>0.12</c:v>
                </c:pt>
                <c:pt idx="6">
                  <c:v>7.0000000000000007E-2</c:v>
                </c:pt>
                <c:pt idx="7">
                  <c:v>7.0000000000000007E-2</c:v>
                </c:pt>
                <c:pt idx="8">
                  <c:v>0.04</c:v>
                </c:pt>
                <c:pt idx="9">
                  <c:v>0.05</c:v>
                </c:pt>
                <c:pt idx="10">
                  <c:v>0.09</c:v>
                </c:pt>
                <c:pt idx="11">
                  <c:v>0.09</c:v>
                </c:pt>
                <c:pt idx="12">
                  <c:v>0.03</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E-390C-4942-A802-E42797766C46}"/>
            </c:ext>
          </c:extLst>
        </c:ser>
        <c:dLbls>
          <c:dLblPos val="ctr"/>
          <c:showLegendKey val="0"/>
          <c:showVal val="1"/>
          <c:showCatName val="0"/>
          <c:showSerName val="0"/>
          <c:showPercent val="0"/>
          <c:showBubbleSize val="0"/>
        </c:dLbls>
        <c:gapWidth val="135"/>
        <c:overlap val="100"/>
        <c:axId val="1460157952"/>
        <c:axId val="1460158432"/>
      </c:barChart>
      <c:catAx>
        <c:axId val="1460157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158432"/>
        <c:crosses val="autoZero"/>
        <c:auto val="1"/>
        <c:lblAlgn val="ctr"/>
        <c:lblOffset val="100"/>
        <c:noMultiLvlLbl val="0"/>
      </c:catAx>
      <c:valAx>
        <c:axId val="1460158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157952"/>
        <c:crosses val="autoZero"/>
        <c:crossBetween val="between"/>
        <c:majorUnit val="0.2"/>
      </c:valAx>
      <c:spPr>
        <a:noFill/>
        <a:ln>
          <a:noFill/>
        </a:ln>
        <a:effectLst/>
      </c:spPr>
    </c:plotArea>
    <c:legend>
      <c:legendPos val="b"/>
      <c:layout>
        <c:manualLayout>
          <c:xMode val="edge"/>
          <c:yMode val="edge"/>
          <c:x val="7.0833333333333345E-2"/>
          <c:y val="0.95942039596852025"/>
          <c:w val="0.9"/>
          <c:h val="3.86143033941756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Q12. To what extent does the current EU budget contribute to addressing the following challenges?</a:t>
            </a:r>
          </a:p>
        </c:rich>
      </c:tx>
      <c:layout>
        <c:manualLayout>
          <c:xMode val="edge"/>
          <c:yMode val="edge"/>
          <c:x val="0.1247034726622622"/>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8751963875628085"/>
          <c:y val="9.4321977287909156E-2"/>
          <c:w val="0.46437203525256682"/>
          <c:h val="0.81234595174601176"/>
        </c:manualLayout>
      </c:layout>
      <c:barChart>
        <c:barDir val="bar"/>
        <c:grouping val="percentStacked"/>
        <c:varyColors val="0"/>
        <c:ser>
          <c:idx val="0"/>
          <c:order val="0"/>
          <c:tx>
            <c:strRef>
              <c:f>Sheet1!$B$1</c:f>
              <c:strCache>
                <c:ptCount val="1"/>
                <c:pt idx="0">
                  <c:v>To a large extent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Fertilisation between civil and military research and development (N=1 634)</c:v>
                </c:pt>
                <c:pt idx="1">
                  <c:v>Reducing excessive dependencies in critical inputs, raw materials and strategic technologies (N=1 748)</c:v>
                </c:pt>
                <c:pt idx="2">
                  <c:v>Insufficient mobilisation of private financing (N=1 711)</c:v>
                </c:pt>
                <c:pt idx="3">
                  <c:v>Demand-side public initiatives for innovation and strategic technologies (N=1 704)</c:v>
                </c:pt>
                <c:pt idx="4">
                  <c:v>Ensuring continuity in EU funding across the stages from research to manufacturing (N=1 756)</c:v>
                </c:pt>
                <c:pt idx="5">
                  <c:v>Support for small businesses and for scale up companies from research to manufacturing (N=1 737)</c:v>
                </c:pt>
                <c:pt idx="6">
                  <c:v>Disparities in innovation and industrial capacity and resources across Member States (N=1 748)</c:v>
                </c:pt>
                <c:pt idx="7">
                  <c:v>Attracting world class researchers, skilled workers and entrepreneurs from abroad (N=1 759)</c:v>
                </c:pt>
                <c:pt idx="8">
                  <c:v>Translation of innovation into marketable technologies (N=1 781)</c:v>
                </c:pt>
                <c:pt idx="9">
                  <c:v>Providing world class technological and research infrastructure across the EU (N=1 806)</c:v>
                </c:pt>
                <c:pt idx="10">
                  <c:v>Decarbonisation and environmental sustainability of strategic sectors (N=1 794)</c:v>
                </c:pt>
                <c:pt idx="11">
                  <c:v>Digitalisation and diffusion of advanced technologies in key sectors (N=1 751)</c:v>
                </c:pt>
                <c:pt idx="12">
                  <c:v>Facilitating collaboration between research and industry (N=1 806)</c:v>
                </c:pt>
              </c:strCache>
            </c:strRef>
          </c:cat>
          <c:val>
            <c:numRef>
              <c:f>Sheet1!$B$2:$B$14</c:f>
              <c:numCache>
                <c:formatCode>0%</c:formatCode>
                <c:ptCount val="13"/>
                <c:pt idx="0">
                  <c:v>7.0000000000000007E-2</c:v>
                </c:pt>
                <c:pt idx="1">
                  <c:v>0.12</c:v>
                </c:pt>
                <c:pt idx="2">
                  <c:v>0.11</c:v>
                </c:pt>
                <c:pt idx="3">
                  <c:v>0.12</c:v>
                </c:pt>
                <c:pt idx="4">
                  <c:v>0.14000000000000001</c:v>
                </c:pt>
                <c:pt idx="5">
                  <c:v>0.15</c:v>
                </c:pt>
                <c:pt idx="6">
                  <c:v>0.14000000000000001</c:v>
                </c:pt>
                <c:pt idx="7">
                  <c:v>0.16</c:v>
                </c:pt>
                <c:pt idx="8">
                  <c:v>0.15</c:v>
                </c:pt>
                <c:pt idx="9">
                  <c:v>0.24</c:v>
                </c:pt>
                <c:pt idx="10">
                  <c:v>0.28999999999999998</c:v>
                </c:pt>
                <c:pt idx="11">
                  <c:v>0.24</c:v>
                </c:pt>
                <c:pt idx="12">
                  <c:v>0.33</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32B0-4348-942C-04662BC3404F}"/>
            </c:ext>
          </c:extLst>
        </c:ser>
        <c:ser>
          <c:idx val="1"/>
          <c:order val="1"/>
          <c:tx>
            <c:strRef>
              <c:f>Sheet1!$C$1</c:f>
              <c:strCache>
                <c:ptCount val="1"/>
                <c:pt idx="0">
                  <c:v>Somewhat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Fertilisation between civil and military research and development (N=1 634)</c:v>
                </c:pt>
                <c:pt idx="1">
                  <c:v>Reducing excessive dependencies in critical inputs, raw materials and strategic technologies (N=1 748)</c:v>
                </c:pt>
                <c:pt idx="2">
                  <c:v>Insufficient mobilisation of private financing (N=1 711)</c:v>
                </c:pt>
                <c:pt idx="3">
                  <c:v>Demand-side public initiatives for innovation and strategic technologies (N=1 704)</c:v>
                </c:pt>
                <c:pt idx="4">
                  <c:v>Ensuring continuity in EU funding across the stages from research to manufacturing (N=1 756)</c:v>
                </c:pt>
                <c:pt idx="5">
                  <c:v>Support for small businesses and for scale up companies from research to manufacturing (N=1 737)</c:v>
                </c:pt>
                <c:pt idx="6">
                  <c:v>Disparities in innovation and industrial capacity and resources across Member States (N=1 748)</c:v>
                </c:pt>
                <c:pt idx="7">
                  <c:v>Attracting world class researchers, skilled workers and entrepreneurs from abroad (N=1 759)</c:v>
                </c:pt>
                <c:pt idx="8">
                  <c:v>Translation of innovation into marketable technologies (N=1 781)</c:v>
                </c:pt>
                <c:pt idx="9">
                  <c:v>Providing world class technological and research infrastructure across the EU (N=1 806)</c:v>
                </c:pt>
                <c:pt idx="10">
                  <c:v>Decarbonisation and environmental sustainability of strategic sectors (N=1 794)</c:v>
                </c:pt>
                <c:pt idx="11">
                  <c:v>Digitalisation and diffusion of advanced technologies in key sectors (N=1 751)</c:v>
                </c:pt>
                <c:pt idx="12">
                  <c:v>Facilitating collaboration between research and industry (N=1 806)</c:v>
                </c:pt>
              </c:strCache>
            </c:strRef>
          </c:cat>
          <c:val>
            <c:numRef>
              <c:f>Sheet1!$C$2:$C$14</c:f>
              <c:numCache>
                <c:formatCode>0%</c:formatCode>
                <c:ptCount val="13"/>
                <c:pt idx="0">
                  <c:v>0.33</c:v>
                </c:pt>
                <c:pt idx="1">
                  <c:v>0.37</c:v>
                </c:pt>
                <c:pt idx="2">
                  <c:v>0.41</c:v>
                </c:pt>
                <c:pt idx="3">
                  <c:v>0.49</c:v>
                </c:pt>
                <c:pt idx="4">
                  <c:v>0.47</c:v>
                </c:pt>
                <c:pt idx="5">
                  <c:v>0.5</c:v>
                </c:pt>
                <c:pt idx="6">
                  <c:v>0.56000000000000005</c:v>
                </c:pt>
                <c:pt idx="7">
                  <c:v>0.55000000000000004</c:v>
                </c:pt>
                <c:pt idx="8">
                  <c:v>0.59</c:v>
                </c:pt>
                <c:pt idx="9">
                  <c:v>0.54</c:v>
                </c:pt>
                <c:pt idx="10">
                  <c:v>0.51</c:v>
                </c:pt>
                <c:pt idx="11">
                  <c:v>0.57999999999999996</c:v>
                </c:pt>
                <c:pt idx="12">
                  <c:v>0.55000000000000004</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32B0-4348-942C-04662BC3404F}"/>
            </c:ext>
          </c:extLst>
        </c:ser>
        <c:ser>
          <c:idx val="2"/>
          <c:order val="2"/>
          <c:tx>
            <c:strRef>
              <c:f>Sheet1!$D$1</c:f>
              <c:strCache>
                <c:ptCount val="1"/>
                <c:pt idx="0">
                  <c:v>Very little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Fertilisation between civil and military research and development (N=1 634)</c:v>
                </c:pt>
                <c:pt idx="1">
                  <c:v>Reducing excessive dependencies in critical inputs, raw materials and strategic technologies (N=1 748)</c:v>
                </c:pt>
                <c:pt idx="2">
                  <c:v>Insufficient mobilisation of private financing (N=1 711)</c:v>
                </c:pt>
                <c:pt idx="3">
                  <c:v>Demand-side public initiatives for innovation and strategic technologies (N=1 704)</c:v>
                </c:pt>
                <c:pt idx="4">
                  <c:v>Ensuring continuity in EU funding across the stages from research to manufacturing (N=1 756)</c:v>
                </c:pt>
                <c:pt idx="5">
                  <c:v>Support for small businesses and for scale up companies from research to manufacturing (N=1 737)</c:v>
                </c:pt>
                <c:pt idx="6">
                  <c:v>Disparities in innovation and industrial capacity and resources across Member States (N=1 748)</c:v>
                </c:pt>
                <c:pt idx="7">
                  <c:v>Attracting world class researchers, skilled workers and entrepreneurs from abroad (N=1 759)</c:v>
                </c:pt>
                <c:pt idx="8">
                  <c:v>Translation of innovation into marketable technologies (N=1 781)</c:v>
                </c:pt>
                <c:pt idx="9">
                  <c:v>Providing world class technological and research infrastructure across the EU (N=1 806)</c:v>
                </c:pt>
                <c:pt idx="10">
                  <c:v>Decarbonisation and environmental sustainability of strategic sectors (N=1 794)</c:v>
                </c:pt>
                <c:pt idx="11">
                  <c:v>Digitalisation and diffusion of advanced technologies in key sectors (N=1 751)</c:v>
                </c:pt>
                <c:pt idx="12">
                  <c:v>Facilitating collaboration between research and industry (N=1 806)</c:v>
                </c:pt>
              </c:strCache>
            </c:strRef>
          </c:cat>
          <c:val>
            <c:numRef>
              <c:f>Sheet1!$D$2:$D$14</c:f>
              <c:numCache>
                <c:formatCode>0%</c:formatCode>
                <c:ptCount val="13"/>
                <c:pt idx="0">
                  <c:v>0.45</c:v>
                </c:pt>
                <c:pt idx="1">
                  <c:v>0.45</c:v>
                </c:pt>
                <c:pt idx="2">
                  <c:v>0.41</c:v>
                </c:pt>
                <c:pt idx="3">
                  <c:v>0.33</c:v>
                </c:pt>
                <c:pt idx="4">
                  <c:v>0.34</c:v>
                </c:pt>
                <c:pt idx="5">
                  <c:v>0.3</c:v>
                </c:pt>
                <c:pt idx="6">
                  <c:v>0.26</c:v>
                </c:pt>
                <c:pt idx="7">
                  <c:v>0.26</c:v>
                </c:pt>
                <c:pt idx="8">
                  <c:v>0.23</c:v>
                </c:pt>
                <c:pt idx="9">
                  <c:v>0.18</c:v>
                </c:pt>
                <c:pt idx="10">
                  <c:v>0.17</c:v>
                </c:pt>
                <c:pt idx="11">
                  <c:v>0.15</c:v>
                </c:pt>
                <c:pt idx="12">
                  <c:v>0.11</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32B0-4348-942C-04662BC3404F}"/>
            </c:ext>
          </c:extLst>
        </c:ser>
        <c:ser>
          <c:idx val="3"/>
          <c:order val="3"/>
          <c:tx>
            <c:strRef>
              <c:f>Sheet1!$E$1</c:f>
              <c:strCache>
                <c:ptCount val="1"/>
                <c:pt idx="0">
                  <c:v>Not at all</c:v>
                </c:pt>
              </c:strCache>
            </c:strRef>
          </c:tx>
          <c:spPr>
            <a:solidFill>
              <a:schemeClr val="accent6">
                <a:lumMod val="60000"/>
              </a:schemeClr>
            </a:solidFill>
            <a:ln>
              <a:noFill/>
            </a:ln>
            <a:effectLst/>
          </c:spPr>
          <c:invertIfNegative val="0"/>
          <c:dLbls>
            <c:dLbl>
              <c:idx val="12"/>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3-32B0-4348-942C-04662BC340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Fertilisation between civil and military research and development (N=1 634)</c:v>
                </c:pt>
                <c:pt idx="1">
                  <c:v>Reducing excessive dependencies in critical inputs, raw materials and strategic technologies (N=1 748)</c:v>
                </c:pt>
                <c:pt idx="2">
                  <c:v>Insufficient mobilisation of private financing (N=1 711)</c:v>
                </c:pt>
                <c:pt idx="3">
                  <c:v>Demand-side public initiatives for innovation and strategic technologies (N=1 704)</c:v>
                </c:pt>
                <c:pt idx="4">
                  <c:v>Ensuring continuity in EU funding across the stages from research to manufacturing (N=1 756)</c:v>
                </c:pt>
                <c:pt idx="5">
                  <c:v>Support for small businesses and for scale up companies from research to manufacturing (N=1 737)</c:v>
                </c:pt>
                <c:pt idx="6">
                  <c:v>Disparities in innovation and industrial capacity and resources across Member States (N=1 748)</c:v>
                </c:pt>
                <c:pt idx="7">
                  <c:v>Attracting world class researchers, skilled workers and entrepreneurs from abroad (N=1 759)</c:v>
                </c:pt>
                <c:pt idx="8">
                  <c:v>Translation of innovation into marketable technologies (N=1 781)</c:v>
                </c:pt>
                <c:pt idx="9">
                  <c:v>Providing world class technological and research infrastructure across the EU (N=1 806)</c:v>
                </c:pt>
                <c:pt idx="10">
                  <c:v>Decarbonisation and environmental sustainability of strategic sectors (N=1 794)</c:v>
                </c:pt>
                <c:pt idx="11">
                  <c:v>Digitalisation and diffusion of advanced technologies in key sectors (N=1 751)</c:v>
                </c:pt>
                <c:pt idx="12">
                  <c:v>Facilitating collaboration between research and industry (N=1 806)</c:v>
                </c:pt>
              </c:strCache>
            </c:strRef>
          </c:cat>
          <c:val>
            <c:numRef>
              <c:f>Sheet1!$E$2:$E$14</c:f>
              <c:numCache>
                <c:formatCode>0%</c:formatCode>
                <c:ptCount val="13"/>
                <c:pt idx="0">
                  <c:v>0.15</c:v>
                </c:pt>
                <c:pt idx="1">
                  <c:v>0.06</c:v>
                </c:pt>
                <c:pt idx="2">
                  <c:v>7.0000000000000007E-2</c:v>
                </c:pt>
                <c:pt idx="3">
                  <c:v>0.06</c:v>
                </c:pt>
                <c:pt idx="4">
                  <c:v>0.05</c:v>
                </c:pt>
                <c:pt idx="5">
                  <c:v>0.05</c:v>
                </c:pt>
                <c:pt idx="6">
                  <c:v>0.04</c:v>
                </c:pt>
                <c:pt idx="7">
                  <c:v>0.03</c:v>
                </c:pt>
                <c:pt idx="8">
                  <c:v>0.03</c:v>
                </c:pt>
                <c:pt idx="9">
                  <c:v>0.04</c:v>
                </c:pt>
                <c:pt idx="10">
                  <c:v>0.03</c:v>
                </c:pt>
                <c:pt idx="11">
                  <c:v>0.03</c:v>
                </c:pt>
                <c:pt idx="12">
                  <c:v>0.01</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4-32B0-4348-942C-04662BC3404F}"/>
            </c:ext>
          </c:extLst>
        </c:ser>
        <c:dLbls>
          <c:dLblPos val="ctr"/>
          <c:showLegendKey val="0"/>
          <c:showVal val="1"/>
          <c:showCatName val="0"/>
          <c:showSerName val="0"/>
          <c:showPercent val="0"/>
          <c:showBubbleSize val="0"/>
        </c:dLbls>
        <c:gapWidth val="135"/>
        <c:overlap val="100"/>
        <c:axId val="1460161792"/>
        <c:axId val="1460156512"/>
      </c:barChart>
      <c:catAx>
        <c:axId val="1460161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156512"/>
        <c:crosses val="autoZero"/>
        <c:auto val="1"/>
        <c:lblAlgn val="ctr"/>
        <c:lblOffset val="100"/>
        <c:noMultiLvlLbl val="0"/>
      </c:catAx>
      <c:valAx>
        <c:axId val="1460156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161792"/>
        <c:crosses val="autoZero"/>
        <c:crossBetween val="between"/>
        <c:majorUnit val="0.2"/>
      </c:valAx>
      <c:spPr>
        <a:noFill/>
        <a:ln>
          <a:noFill/>
        </a:ln>
        <a:effectLst/>
      </c:spPr>
    </c:plotArea>
    <c:legend>
      <c:legendPos val="b"/>
      <c:layout>
        <c:manualLayout>
          <c:xMode val="edge"/>
          <c:yMode val="edge"/>
          <c:x val="0.24509639084470003"/>
          <c:y val="0.95738269189297232"/>
          <c:w val="0.56110554311522209"/>
          <c:h val="4.26172353455818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Q11. Which development stages for technologies and products should be supported by the next MFF to support EU competitiveness?</a:t>
            </a:r>
          </a:p>
        </c:rich>
      </c:tx>
      <c:layout>
        <c:manualLayout>
          <c:xMode val="edge"/>
          <c:yMode val="edge"/>
          <c:x val="0.11900517312831357"/>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516357160209783"/>
          <c:y val="0.16745230078563411"/>
          <c:w val="0.49730375694871171"/>
          <c:h val="0.64880122307943833"/>
        </c:manualLayout>
      </c:layout>
      <c:barChart>
        <c:barDir val="bar"/>
        <c:grouping val="percentStacked"/>
        <c:varyColors val="0"/>
        <c:ser>
          <c:idx val="0"/>
          <c:order val="0"/>
          <c:tx>
            <c:strRef>
              <c:f>Sheet1!$B$1</c:f>
              <c:strCache>
                <c:ptCount val="1"/>
                <c:pt idx="0">
                  <c:v>To a large extent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Manufacturing capacities (N=1 924)</c:v>
                </c:pt>
                <c:pt idx="1">
                  <c:v>Industrial deployment (N=1 932)</c:v>
                </c:pt>
                <c:pt idx="2">
                  <c:v>Scaling up (N=1 942)</c:v>
                </c:pt>
                <c:pt idx="3">
                  <c:v>Fundamental research (N=1 936)</c:v>
                </c:pt>
                <c:pt idx="4">
                  <c:v>Early-stage development of technologies (N=1 946)</c:v>
                </c:pt>
                <c:pt idx="5">
                  <c:v>Applied research (N=1 954)</c:v>
                </c:pt>
              </c:strCache>
            </c:strRef>
          </c:cat>
          <c:val>
            <c:numRef>
              <c:f>Sheet1!$B$2:$B$7</c:f>
              <c:numCache>
                <c:formatCode>0%</c:formatCode>
                <c:ptCount val="6"/>
                <c:pt idx="0">
                  <c:v>0.28000000000000003</c:v>
                </c:pt>
                <c:pt idx="1">
                  <c:v>0.38</c:v>
                </c:pt>
                <c:pt idx="2">
                  <c:v>0.48</c:v>
                </c:pt>
                <c:pt idx="3">
                  <c:v>0.54</c:v>
                </c:pt>
                <c:pt idx="4">
                  <c:v>0.56000000000000005</c:v>
                </c:pt>
                <c:pt idx="5">
                  <c:v>0.72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D44C-4AC1-BDA9-9EA2FC8BB559}"/>
            </c:ext>
          </c:extLst>
        </c:ser>
        <c:ser>
          <c:idx val="1"/>
          <c:order val="1"/>
          <c:tx>
            <c:strRef>
              <c:f>Sheet1!$C$1</c:f>
              <c:strCache>
                <c:ptCount val="1"/>
                <c:pt idx="0">
                  <c:v>Somewhat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Manufacturing capacities (N=1 924)</c:v>
                </c:pt>
                <c:pt idx="1">
                  <c:v>Industrial deployment (N=1 932)</c:v>
                </c:pt>
                <c:pt idx="2">
                  <c:v>Scaling up (N=1 942)</c:v>
                </c:pt>
                <c:pt idx="3">
                  <c:v>Fundamental research (N=1 936)</c:v>
                </c:pt>
                <c:pt idx="4">
                  <c:v>Early-stage development of technologies (N=1 946)</c:v>
                </c:pt>
                <c:pt idx="5">
                  <c:v>Applied research (N=1 954)</c:v>
                </c:pt>
              </c:strCache>
            </c:strRef>
          </c:cat>
          <c:val>
            <c:numRef>
              <c:f>Sheet1!$C$2:$C$7</c:f>
              <c:numCache>
                <c:formatCode>0%</c:formatCode>
                <c:ptCount val="6"/>
                <c:pt idx="0">
                  <c:v>0.38</c:v>
                </c:pt>
                <c:pt idx="1">
                  <c:v>0.36</c:v>
                </c:pt>
                <c:pt idx="2">
                  <c:v>0.36</c:v>
                </c:pt>
                <c:pt idx="3">
                  <c:v>0.33</c:v>
                </c:pt>
                <c:pt idx="4">
                  <c:v>0.35</c:v>
                </c:pt>
                <c:pt idx="5">
                  <c:v>0.21</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D44C-4AC1-BDA9-9EA2FC8BB559}"/>
            </c:ext>
          </c:extLst>
        </c:ser>
        <c:ser>
          <c:idx val="2"/>
          <c:order val="2"/>
          <c:tx>
            <c:strRef>
              <c:f>Sheet1!$D$1</c:f>
              <c:strCache>
                <c:ptCount val="1"/>
                <c:pt idx="0">
                  <c:v>Very little</c:v>
                </c:pt>
              </c:strCache>
            </c:strRef>
          </c:tx>
          <c:spPr>
            <a:solidFill>
              <a:schemeClr val="accent4"/>
            </a:solidFill>
            <a:ln>
              <a:noFill/>
            </a:ln>
            <a:effectLst/>
          </c:spPr>
          <c:invertIfNegative val="0"/>
          <c:dLbls>
            <c:dLbl>
              <c:idx val="4"/>
              <c:layout>
                <c:manualLayout>
                  <c:x val="-4.5372050816696917E-3"/>
                  <c:y val="-4.7032123005512542E-17"/>
                </c:manualLayout>
              </c:layout>
              <c:dLblPos val="ctr"/>
              <c:showLegendKey val="0"/>
              <c:showVal val="1"/>
              <c:showCatName val="0"/>
              <c:showSerName val="0"/>
              <c:showPercent val="0"/>
              <c:showBubbleSize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2-D44C-4AC1-BDA9-9EA2FC8BB559}"/>
                </c:ext>
              </c:extLst>
            </c:dLbl>
            <c:dLbl>
              <c:idx val="5"/>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3-D44C-4AC1-BDA9-9EA2FC8BB5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Manufacturing capacities (N=1 924)</c:v>
                </c:pt>
                <c:pt idx="1">
                  <c:v>Industrial deployment (N=1 932)</c:v>
                </c:pt>
                <c:pt idx="2">
                  <c:v>Scaling up (N=1 942)</c:v>
                </c:pt>
                <c:pt idx="3">
                  <c:v>Fundamental research (N=1 936)</c:v>
                </c:pt>
                <c:pt idx="4">
                  <c:v>Early-stage development of technologies (N=1 946)</c:v>
                </c:pt>
                <c:pt idx="5">
                  <c:v>Applied research (N=1 954)</c:v>
                </c:pt>
              </c:strCache>
            </c:strRef>
          </c:cat>
          <c:val>
            <c:numRef>
              <c:f>Sheet1!$D$2:$D$7</c:f>
              <c:numCache>
                <c:formatCode>0%</c:formatCode>
                <c:ptCount val="6"/>
                <c:pt idx="0">
                  <c:v>0.17</c:v>
                </c:pt>
                <c:pt idx="1">
                  <c:v>0.12</c:v>
                </c:pt>
                <c:pt idx="2">
                  <c:v>0.08</c:v>
                </c:pt>
                <c:pt idx="3">
                  <c:v>0.05</c:v>
                </c:pt>
                <c:pt idx="4">
                  <c:v>0.03</c:v>
                </c:pt>
                <c:pt idx="5">
                  <c:v>0.01</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4-D44C-4AC1-BDA9-9EA2FC8BB559}"/>
            </c:ext>
          </c:extLst>
        </c:ser>
        <c:ser>
          <c:idx val="3"/>
          <c:order val="3"/>
          <c:tx>
            <c:strRef>
              <c:f>Sheet1!$E$1</c:f>
              <c:strCache>
                <c:ptCount val="1"/>
                <c:pt idx="0">
                  <c:v>Not at all</c:v>
                </c:pt>
              </c:strCache>
            </c:strRef>
          </c:tx>
          <c:spPr>
            <a:solidFill>
              <a:schemeClr val="accent6">
                <a:lumMod val="60000"/>
              </a:schemeClr>
            </a:solidFill>
            <a:ln>
              <a:noFill/>
            </a:ln>
            <a:effectLst/>
          </c:spPr>
          <c:invertIfNegative val="0"/>
          <c:dLbls>
            <c:dLbl>
              <c:idx val="2"/>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5-D44C-4AC1-BDA9-9EA2FC8BB559}"/>
                </c:ext>
              </c:extLst>
            </c:dLbl>
            <c:dLbl>
              <c:idx val="3"/>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6-D44C-4AC1-BDA9-9EA2FC8BB559}"/>
                </c:ext>
              </c:extLst>
            </c:dLbl>
            <c:dLbl>
              <c:idx val="4"/>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7-D44C-4AC1-BDA9-9EA2FC8BB559}"/>
                </c:ext>
              </c:extLst>
            </c:dLbl>
            <c:dLbl>
              <c:idx val="5"/>
              <c:delete val="1"/>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8-D44C-4AC1-BDA9-9EA2FC8BB5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Manufacturing capacities (N=1 924)</c:v>
                </c:pt>
                <c:pt idx="1">
                  <c:v>Industrial deployment (N=1 932)</c:v>
                </c:pt>
                <c:pt idx="2">
                  <c:v>Scaling up (N=1 942)</c:v>
                </c:pt>
                <c:pt idx="3">
                  <c:v>Fundamental research (N=1 936)</c:v>
                </c:pt>
                <c:pt idx="4">
                  <c:v>Early-stage development of technologies (N=1 946)</c:v>
                </c:pt>
                <c:pt idx="5">
                  <c:v>Applied research (N=1 954)</c:v>
                </c:pt>
              </c:strCache>
            </c:strRef>
          </c:cat>
          <c:val>
            <c:numRef>
              <c:f>Sheet1!$E$2:$E$7</c:f>
              <c:numCache>
                <c:formatCode>0%</c:formatCode>
                <c:ptCount val="6"/>
                <c:pt idx="0">
                  <c:v>0.04</c:v>
                </c:pt>
                <c:pt idx="1">
                  <c:v>0.03</c:v>
                </c:pt>
                <c:pt idx="2">
                  <c:v>0.01</c:v>
                </c:pt>
                <c:pt idx="3">
                  <c:v>0.01</c:v>
                </c:pt>
                <c:pt idx="4">
                  <c:v>0</c:v>
                </c:pt>
                <c:pt idx="5">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9-D44C-4AC1-BDA9-9EA2FC8BB559}"/>
            </c:ext>
          </c:extLst>
        </c:ser>
        <c:ser>
          <c:idx val="4"/>
          <c:order val="4"/>
          <c:tx>
            <c:strRef>
              <c:f>Sheet1!$F$1</c:f>
              <c:strCache>
                <c:ptCount val="1"/>
                <c:pt idx="0">
                  <c:v>Don’t know/not applicable</c:v>
                </c:pt>
              </c:strCache>
            </c:strRef>
          </c:tx>
          <c:spPr>
            <a:solidFill>
              <a:schemeClr val="accent5">
                <a:lumMod val="60000"/>
              </a:schemeClr>
            </a:solidFill>
            <a:ln>
              <a:noFill/>
            </a:ln>
            <a:effectLst/>
          </c:spPr>
          <c:invertIfNegative val="0"/>
          <c:dLbls>
            <c:dLbl>
              <c:idx val="4"/>
              <c:layout>
                <c:manualLayout>
                  <c:x val="2.2686025408346793E-3"/>
                  <c:y val="-4.7032123005512542E-17"/>
                </c:manualLayout>
              </c:layout>
              <c:dLblPos val="ctr"/>
              <c:showLegendKey val="0"/>
              <c:showVal val="1"/>
              <c:showCatName val="0"/>
              <c:showSerName val="0"/>
              <c:showPercent val="0"/>
              <c:showBubbleSize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 xmlns:c16="http://schemas.microsoft.com/office/drawing/2014/chart" uri="{C3380CC4-5D6E-409C-BE32-E72D297353CC}">
                  <c16:uniqueId val="{0000000A-D44C-4AC1-BDA9-9EA2FC8BB5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Manufacturing capacities (N=1 924)</c:v>
                </c:pt>
                <c:pt idx="1">
                  <c:v>Industrial deployment (N=1 932)</c:v>
                </c:pt>
                <c:pt idx="2">
                  <c:v>Scaling up (N=1 942)</c:v>
                </c:pt>
                <c:pt idx="3">
                  <c:v>Fundamental research (N=1 936)</c:v>
                </c:pt>
                <c:pt idx="4">
                  <c:v>Early-stage development of technologies (N=1 946)</c:v>
                </c:pt>
                <c:pt idx="5">
                  <c:v>Applied research (N=1 954)</c:v>
                </c:pt>
              </c:strCache>
            </c:strRef>
          </c:cat>
          <c:val>
            <c:numRef>
              <c:f>Sheet1!$F$2:$F$7</c:f>
              <c:numCache>
                <c:formatCode>0%</c:formatCode>
                <c:ptCount val="6"/>
                <c:pt idx="0">
                  <c:v>0.13</c:v>
                </c:pt>
                <c:pt idx="1">
                  <c:v>0.11</c:v>
                </c:pt>
                <c:pt idx="2">
                  <c:v>7.0000000000000007E-2</c:v>
                </c:pt>
                <c:pt idx="3">
                  <c:v>7.0000000000000007E-2</c:v>
                </c:pt>
                <c:pt idx="4">
                  <c:v>0.06</c:v>
                </c:pt>
                <c:pt idx="5">
                  <c:v>0.06</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B-D44C-4AC1-BDA9-9EA2FC8BB559}"/>
            </c:ext>
          </c:extLst>
        </c:ser>
        <c:dLbls>
          <c:dLblPos val="ctr"/>
          <c:showLegendKey val="0"/>
          <c:showVal val="1"/>
          <c:showCatName val="0"/>
          <c:showSerName val="0"/>
          <c:showPercent val="0"/>
          <c:showBubbleSize val="0"/>
        </c:dLbls>
        <c:gapWidth val="135"/>
        <c:overlap val="100"/>
        <c:axId val="835137360"/>
        <c:axId val="835137840"/>
      </c:barChart>
      <c:catAx>
        <c:axId val="83513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137840"/>
        <c:crosses val="autoZero"/>
        <c:auto val="1"/>
        <c:lblAlgn val="ctr"/>
        <c:lblOffset val="100"/>
        <c:noMultiLvlLbl val="0"/>
      </c:catAx>
      <c:valAx>
        <c:axId val="835137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5137360"/>
        <c:crosses val="autoZero"/>
        <c:crossBetween val="between"/>
        <c:majorUnit val="0.2"/>
      </c:valAx>
      <c:spPr>
        <a:noFill/>
        <a:ln>
          <a:noFill/>
        </a:ln>
        <a:effectLst/>
      </c:spPr>
    </c:plotArea>
    <c:legend>
      <c:legendPos val="b"/>
      <c:layout>
        <c:manualLayout>
          <c:xMode val="edge"/>
          <c:yMode val="edge"/>
          <c:x val="5.9392907669662889E-2"/>
          <c:y val="0.93670822397200337"/>
          <c:w val="0.899363004987353"/>
          <c:h val="6.32923001094847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difference in cumulated shock over time (blue line: scenario 2 versus scenario 1; orange line: scenario 3 versus</a:t>
            </a:r>
            <a:r>
              <a:rPr lang="en-GB" baseline="0"/>
              <a:t> scenario 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results!$A$118:$B$118</c:f>
              <c:strCache>
                <c:ptCount val="2"/>
                <c:pt idx="0">
                  <c:v>Scenario 2 vs 1</c:v>
                </c:pt>
                <c:pt idx="1">
                  <c:v>Shock difference</c:v>
                </c:pt>
              </c:strCache>
            </c:strRef>
          </c:tx>
          <c:spPr>
            <a:ln w="28575" cap="rnd">
              <a:solidFill>
                <a:schemeClr val="accent1"/>
              </a:solidFill>
              <a:round/>
            </a:ln>
            <a:effectLst/>
          </c:spPr>
          <c:marker>
            <c:symbol val="none"/>
          </c:marker>
          <c:cat>
            <c:numRef>
              <c:f>results!$C$116:$V$116</c:f>
              <c:numCache>
                <c:formatCode>General</c:formatCode>
                <c:ptCount val="8"/>
                <c:pt idx="0">
                  <c:v>1</c:v>
                </c:pt>
                <c:pt idx="1">
                  <c:v>2</c:v>
                </c:pt>
                <c:pt idx="2">
                  <c:v>3</c:v>
                </c:pt>
                <c:pt idx="3">
                  <c:v>4</c:v>
                </c:pt>
                <c:pt idx="4">
                  <c:v>5</c:v>
                </c:pt>
                <c:pt idx="5">
                  <c:v>6</c:v>
                </c:pt>
                <c:pt idx="6">
                  <c:v>7</c:v>
                </c:pt>
                <c:pt idx="7">
                  <c:v>8</c:v>
                </c:pt>
              </c:numCache>
            </c:numRef>
          </c:cat>
          <c:val>
            <c:numRef>
              <c:f>results!$C$118:$V$118</c:f>
              <c:numCache>
                <c:formatCode>0%</c:formatCode>
                <c:ptCount val="8"/>
                <c:pt idx="0">
                  <c:v>0.24999999999999994</c:v>
                </c:pt>
                <c:pt idx="1">
                  <c:v>0.24999999999999908</c:v>
                </c:pt>
                <c:pt idx="2">
                  <c:v>0.25000000000000105</c:v>
                </c:pt>
                <c:pt idx="3">
                  <c:v>0.250000000000001</c:v>
                </c:pt>
                <c:pt idx="4">
                  <c:v>0.25000000000000172</c:v>
                </c:pt>
                <c:pt idx="5">
                  <c:v>0.25000000000000172</c:v>
                </c:pt>
                <c:pt idx="6">
                  <c:v>0.2500000000000015</c:v>
                </c:pt>
                <c:pt idx="7">
                  <c:v>0.25000000000000139</c:v>
                </c:pt>
              </c:numCache>
            </c:numRef>
          </c:val>
          <c:smooth val="0"/>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0-5084-4394-B4EF-DBE2E9FD7BD6}"/>
            </c:ext>
          </c:extLst>
        </c:ser>
        <c:ser>
          <c:idx val="1"/>
          <c:order val="1"/>
          <c:tx>
            <c:strRef>
              <c:f>results!$A$121:$B$121</c:f>
              <c:strCache>
                <c:ptCount val="2"/>
                <c:pt idx="0">
                  <c:v>Scenario 3vs 1</c:v>
                </c:pt>
                <c:pt idx="1">
                  <c:v>Shock difference</c:v>
                </c:pt>
              </c:strCache>
            </c:strRef>
          </c:tx>
          <c:spPr>
            <a:ln w="28575" cap="rnd">
              <a:solidFill>
                <a:schemeClr val="accent2"/>
              </a:solidFill>
              <a:round/>
            </a:ln>
            <a:effectLst/>
          </c:spPr>
          <c:marker>
            <c:symbol val="none"/>
          </c:marker>
          <c:cat>
            <c:numRef>
              <c:f>results!$C$116:$V$116</c:f>
              <c:numCache>
                <c:formatCode>General</c:formatCode>
                <c:ptCount val="8"/>
                <c:pt idx="0">
                  <c:v>1</c:v>
                </c:pt>
                <c:pt idx="1">
                  <c:v>2</c:v>
                </c:pt>
                <c:pt idx="2">
                  <c:v>3</c:v>
                </c:pt>
                <c:pt idx="3">
                  <c:v>4</c:v>
                </c:pt>
                <c:pt idx="4">
                  <c:v>5</c:v>
                </c:pt>
                <c:pt idx="5">
                  <c:v>6</c:v>
                </c:pt>
                <c:pt idx="6">
                  <c:v>7</c:v>
                </c:pt>
                <c:pt idx="7">
                  <c:v>8</c:v>
                </c:pt>
              </c:numCache>
            </c:numRef>
          </c:cat>
          <c:val>
            <c:numRef>
              <c:f>results!$C$121:$V$121</c:f>
              <c:numCache>
                <c:formatCode>0%</c:formatCode>
                <c:ptCount val="8"/>
                <c:pt idx="0">
                  <c:v>0.49999999999999878</c:v>
                </c:pt>
                <c:pt idx="1">
                  <c:v>0.49999999999999734</c:v>
                </c:pt>
                <c:pt idx="2">
                  <c:v>0.50275977123894111</c:v>
                </c:pt>
                <c:pt idx="3">
                  <c:v>1.2488544793181742</c:v>
                </c:pt>
                <c:pt idx="4">
                  <c:v>1.2045168041254617</c:v>
                </c:pt>
                <c:pt idx="5">
                  <c:v>0.81253447853669292</c:v>
                </c:pt>
                <c:pt idx="6">
                  <c:v>0.50000000000000255</c:v>
                </c:pt>
                <c:pt idx="7">
                  <c:v>0.50000000000000255</c:v>
                </c:pt>
              </c:numCache>
            </c:numRef>
          </c:val>
          <c:smooth val="0"/>
          <c:extLs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5084-4394-B4EF-DBE2E9FD7BD6}"/>
            </c:ext>
          </c:extLst>
        </c:ser>
        <c:dLbls>
          <c:showLegendKey val="0"/>
          <c:showVal val="0"/>
          <c:showCatName val="0"/>
          <c:showSerName val="0"/>
          <c:showPercent val="0"/>
          <c:showBubbleSize val="0"/>
        </c:dLbls>
        <c:smooth val="0"/>
        <c:axId val="466808376"/>
        <c:axId val="466805096"/>
      </c:lineChart>
      <c:catAx>
        <c:axId val="46680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805096"/>
        <c:crosses val="autoZero"/>
        <c:auto val="1"/>
        <c:lblAlgn val="ctr"/>
        <c:lblOffset val="100"/>
        <c:noMultiLvlLbl val="0"/>
      </c:catAx>
      <c:valAx>
        <c:axId val="466805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808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45AE0ADC0A5A146BC27407AD9B6C988" ma:contentTypeVersion="4" ma:contentTypeDescription="Create a new document." ma:contentTypeScope="" ma:versionID="ed7c8c27d09da59a4bc83eb00e4d8010">
  <xsd:schema xmlns:xsd="http://www.w3.org/2001/XMLSchema" xmlns:xs="http://www.w3.org/2001/XMLSchema" xmlns:p="http://schemas.microsoft.com/office/2006/metadata/properties" xmlns:ns2="109fcfd2-021d-4f4d-b448-87f88c558579" targetNamespace="http://schemas.microsoft.com/office/2006/metadata/properties" ma:root="true" ma:fieldsID="aab1c0febe889a91785de4d073a6806c" ns2:_="">
    <xsd:import namespace="109fcfd2-021d-4f4d-b448-87f88c5585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fcfd2-021d-4f4d-b448-87f88c558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FD0F6D-283B-448E-9345-A78CBD58AD67}">
  <ds:schemaRefs>
    <ds:schemaRef ds:uri="http://schemas.microsoft.com/office/2006/documentManagement/types"/>
    <ds:schemaRef ds:uri="109fcfd2-021d-4f4d-b448-87f88c558579"/>
    <ds:schemaRef ds:uri="http://purl.org/dc/term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9D8F16F-886C-493A-9D5B-1BD71756C4D1}">
  <ds:schemaRefs>
    <ds:schemaRef ds:uri="http://schemas.openxmlformats.org/officeDocument/2006/bibliography"/>
  </ds:schemaRefs>
</ds:datastoreItem>
</file>

<file path=customXml/itemProps3.xml><?xml version="1.0" encoding="utf-8"?>
<ds:datastoreItem xmlns:ds="http://schemas.openxmlformats.org/officeDocument/2006/customXml" ds:itemID="{6E2AB6A0-FA9F-4A73-84A5-2DD7B8C50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fcfd2-021d-4f4d-b448-87f88c558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EAEEBE-7270-4701-A4B9-C747DE78F1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42841</Words>
  <Characters>251907</Characters>
  <Application>Microsoft Office Word</Application>
  <DocSecurity>0</DocSecurity>
  <Lines>5359</Lines>
  <Paragraphs>2357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2025-07-12T07:31:00Z</dcterms:created>
  <dcterms:modified xsi:type="dcterms:W3CDTF">2025-07-16T10:34:00Z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2025-07-10T08:46:34Z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8c3129d2-b4db-4757-8fa0-a6d0091f107c</vt:lpwstr>
  </property>
  <property fmtid="{D5CDD505-2E9C-101B-9397-08002B2CF9AE}" pid="8" name="MSIP_Label_6bd9ddd1-4d20-43f6-abfa-fc3c07406f94_ContentBits">
    <vt:lpwstr>0</vt:lpwstr>
  </property>
  <property fmtid="{D5CDD505-2E9C-101B-9397-08002B2CF9AE}" pid="9" name="ContentTypeId">
    <vt:lpwstr>0x010100C45AE0ADC0A5A146BC27407AD9B6C988</vt:lpwstr>
  </property>
  <property fmtid="{D5CDD505-2E9C-101B-9397-08002B2CF9AE}" pid="10" name="Level of sensitivity">
    <vt:lpwstr>Standard treatment</vt:lpwstr>
  </property>
  <property fmtid="{D5CDD505-2E9C-101B-9397-08002B2CF9AE}" pid="11" name="DocStatus">
    <vt:lpwstr>Green</vt:lpwstr>
  </property>
  <property fmtid="{D5CDD505-2E9C-101B-9397-08002B2CF9AE}" pid="12" name="Last edited using">
    <vt:lpwstr>LW 9.1, Build 20240808</vt:lpwstr>
  </property>
  <property fmtid="{D5CDD505-2E9C-101B-9397-08002B2CF9AE}" pid="13" name="Part">
    <vt:lpwstr>1</vt:lpwstr>
  </property>
  <property fmtid="{D5CDD505-2E9C-101B-9397-08002B2CF9AE}" pid="14" name="Total parts">
    <vt:lpwstr>1</vt:lpwstr>
  </property>
  <property fmtid="{D5CDD505-2E9C-101B-9397-08002B2CF9AE}" pid="15" name="CPTemplateID">
    <vt:lpwstr>CP-026</vt:lpwstr>
  </property>
</Properties>
</file>